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7AE40" w14:textId="77777777" w:rsidR="005D5548" w:rsidRDefault="005D5548" w:rsidP="0030777F">
      <w:pPr>
        <w:pStyle w:val="Heading1"/>
      </w:pPr>
      <w:r>
        <w:t xml:space="preserve">Preamble to disclosure report to be placed on </w:t>
      </w:r>
      <w:proofErr w:type="gramStart"/>
      <w:r>
        <w:t>website</w:t>
      </w:r>
      <w:proofErr w:type="gramEnd"/>
    </w:p>
    <w:p w14:paraId="7B82072D" w14:textId="0DC156B2" w:rsidR="00052C6B" w:rsidRDefault="00052C6B" w:rsidP="0030777F">
      <w:pPr>
        <w:pStyle w:val="Heading1"/>
      </w:pPr>
      <w:r>
        <w:t>What information does this report provide?</w:t>
      </w:r>
    </w:p>
    <w:p w14:paraId="147E7909" w14:textId="4BF44C41" w:rsidR="00052C6B" w:rsidRDefault="00052C6B" w:rsidP="00052C6B"/>
    <w:p w14:paraId="761E3120" w14:textId="55E79065" w:rsidR="00C009A3" w:rsidRDefault="00C009A3" w:rsidP="00235321">
      <w:pPr>
        <w:spacing w:line="276" w:lineRule="auto"/>
        <w:jc w:val="both"/>
      </w:pPr>
      <w:r>
        <w:t xml:space="preserve">This report provides an update on the assessment and actions by relevant Heads of Agencies of current and former Tasmanian State Service employees </w:t>
      </w:r>
      <w:r w:rsidR="00E46552">
        <w:t xml:space="preserve">referred to in </w:t>
      </w:r>
      <w:r>
        <w:t>the Commission of Inquiry (COI) report.  Heads of relevant Agencies have reviewed the</w:t>
      </w:r>
      <w:r w:rsidR="00E46552">
        <w:t xml:space="preserve"> COI report</w:t>
      </w:r>
      <w:r>
        <w:t xml:space="preserve"> in relation to a current or former </w:t>
      </w:r>
      <w:r w:rsidR="00936D42">
        <w:t>employee matters</w:t>
      </w:r>
      <w:r w:rsidR="004534CA">
        <w:t xml:space="preserve"> and these are</w:t>
      </w:r>
      <w:r>
        <w:t xml:space="preserve"> being assessed to determine whether further action</w:t>
      </w:r>
      <w:r w:rsidR="00936D42">
        <w:t xml:space="preserve"> </w:t>
      </w:r>
      <w:r>
        <w:t xml:space="preserve">under the </w:t>
      </w:r>
      <w:r w:rsidRPr="005841C7">
        <w:rPr>
          <w:i/>
          <w:iCs/>
        </w:rPr>
        <w:t>State Service Act 2000</w:t>
      </w:r>
      <w:r>
        <w:t xml:space="preserve"> is required.  </w:t>
      </w:r>
    </w:p>
    <w:p w14:paraId="6EDC916A" w14:textId="1EC38D2A" w:rsidR="00C009A3" w:rsidRDefault="00C009A3" w:rsidP="00235321">
      <w:pPr>
        <w:spacing w:line="276" w:lineRule="auto"/>
        <w:jc w:val="both"/>
      </w:pPr>
    </w:p>
    <w:p w14:paraId="4F0B4F43" w14:textId="2DFA329F" w:rsidR="00C009A3" w:rsidRDefault="00C009A3" w:rsidP="00235321">
      <w:pPr>
        <w:spacing w:line="276" w:lineRule="auto"/>
        <w:jc w:val="both"/>
      </w:pPr>
      <w:r>
        <w:t>The Premier, on</w:t>
      </w:r>
      <w:r w:rsidR="00936D42">
        <w:t xml:space="preserve"> 17</w:t>
      </w:r>
      <w:r>
        <w:t xml:space="preserve"> October committed to providing as much information as is permitted by law.  This report provides information at a whole of State Service level regarding the total number of employee matters arising from the COI report under conside</w:t>
      </w:r>
      <w:r w:rsidR="00722A6D">
        <w:t xml:space="preserve">ration by Heads of Agencies, the breakdown of former and current State Service employees, the progress of those assessments and whether actions under the </w:t>
      </w:r>
      <w:r w:rsidR="00722A6D" w:rsidRPr="00456F4F">
        <w:rPr>
          <w:i/>
          <w:iCs/>
        </w:rPr>
        <w:t>State Service Act</w:t>
      </w:r>
      <w:r w:rsidR="00722A6D">
        <w:t xml:space="preserve"> have commenced or been determined.  No individual Agency details have been identified to provide the appropriate confidentiality </w:t>
      </w:r>
      <w:r w:rsidR="00BD339F">
        <w:t xml:space="preserve">of </w:t>
      </w:r>
      <w:r w:rsidR="00722A6D">
        <w:t xml:space="preserve">employee information, particularly with processes that may be underway.  </w:t>
      </w:r>
    </w:p>
    <w:p w14:paraId="6AB53D3E" w14:textId="45FB542E" w:rsidR="00546BFF" w:rsidRDefault="00546BFF" w:rsidP="00235321">
      <w:pPr>
        <w:spacing w:line="276" w:lineRule="auto"/>
        <w:jc w:val="both"/>
      </w:pPr>
    </w:p>
    <w:p w14:paraId="55D94EB0" w14:textId="48ED321E" w:rsidR="00546BFF" w:rsidRDefault="00546BFF" w:rsidP="00235321">
      <w:pPr>
        <w:spacing w:line="276" w:lineRule="auto"/>
        <w:jc w:val="both"/>
      </w:pPr>
      <w:r>
        <w:t xml:space="preserve">The Government has accepted all 191 recommendations of the Report and the Government response to the Report </w:t>
      </w:r>
      <w:r w:rsidR="00F5564C">
        <w:t xml:space="preserve">was </w:t>
      </w:r>
      <w:r>
        <w:t xml:space="preserve">published on 1 December on how the implementation of the recommendations will progress. </w:t>
      </w:r>
    </w:p>
    <w:p w14:paraId="36BCBDD6" w14:textId="01CB9243" w:rsidR="00722A6D" w:rsidRDefault="00722A6D" w:rsidP="00235321">
      <w:pPr>
        <w:spacing w:line="276" w:lineRule="auto"/>
        <w:jc w:val="both"/>
      </w:pPr>
    </w:p>
    <w:p w14:paraId="78501D0C" w14:textId="709D7D73" w:rsidR="00722A6D" w:rsidRDefault="00722A6D" w:rsidP="00235321">
      <w:pPr>
        <w:spacing w:line="276" w:lineRule="auto"/>
        <w:jc w:val="both"/>
      </w:pPr>
      <w:r>
        <w:t>This report contains three sections:</w:t>
      </w:r>
    </w:p>
    <w:p w14:paraId="6222D216" w14:textId="196E4B1C" w:rsidR="00722A6D" w:rsidRDefault="00722A6D" w:rsidP="00235321">
      <w:pPr>
        <w:pStyle w:val="ListParagraph"/>
        <w:numPr>
          <w:ilvl w:val="0"/>
          <w:numId w:val="4"/>
        </w:numPr>
        <w:spacing w:line="276" w:lineRule="auto"/>
        <w:jc w:val="both"/>
      </w:pPr>
      <w:bookmarkStart w:id="0" w:name="_Hlk152184289"/>
      <w:r>
        <w:t xml:space="preserve">Update of </w:t>
      </w:r>
      <w:bookmarkStart w:id="1" w:name="_Hlk152184321"/>
      <w:r>
        <w:t>assessment and actions by Heads of Agency of current and former State Service employees</w:t>
      </w:r>
      <w:r w:rsidR="00D67B4B">
        <w:t xml:space="preserve"> referred to in the</w:t>
      </w:r>
      <w:r>
        <w:t xml:space="preserve"> Commission of Inquiry report</w:t>
      </w:r>
      <w:bookmarkEnd w:id="0"/>
    </w:p>
    <w:bookmarkEnd w:id="1"/>
    <w:p w14:paraId="3FB81BBB" w14:textId="45014F93" w:rsidR="00722A6D" w:rsidRDefault="00722A6D" w:rsidP="00235321">
      <w:pPr>
        <w:pStyle w:val="ListParagraph"/>
        <w:numPr>
          <w:ilvl w:val="0"/>
          <w:numId w:val="4"/>
        </w:numPr>
        <w:spacing w:line="276" w:lineRule="auto"/>
        <w:jc w:val="both"/>
      </w:pPr>
      <w:r>
        <w:t xml:space="preserve">Update of assessment and actions by Heads of Agency </w:t>
      </w:r>
      <w:bookmarkStart w:id="2" w:name="_Hlk152185555"/>
      <w:r>
        <w:t xml:space="preserve">of alleged perpetrators (current and former State Service employees) </w:t>
      </w:r>
      <w:r w:rsidR="00D67B4B">
        <w:t xml:space="preserve">referred to in </w:t>
      </w:r>
      <w:r>
        <w:t>the Commission of Inquiry report</w:t>
      </w:r>
      <w:bookmarkEnd w:id="2"/>
    </w:p>
    <w:p w14:paraId="632BD906" w14:textId="14881897" w:rsidR="00722A6D" w:rsidRDefault="00722A6D" w:rsidP="00235321">
      <w:pPr>
        <w:pStyle w:val="ListParagraph"/>
        <w:numPr>
          <w:ilvl w:val="0"/>
          <w:numId w:val="4"/>
        </w:numPr>
        <w:spacing w:line="276" w:lineRule="auto"/>
        <w:jc w:val="both"/>
      </w:pPr>
      <w:r>
        <w:t xml:space="preserve">Update of assessment and actions by the Commissioner of Police of current and former Tasmania Police officers </w:t>
      </w:r>
      <w:r w:rsidR="008022C8">
        <w:t>referred to in the Commission of Inquiry report</w:t>
      </w:r>
      <w:r w:rsidR="00D000D9">
        <w:t>.</w:t>
      </w:r>
    </w:p>
    <w:p w14:paraId="2CAAD635" w14:textId="5F0DA934" w:rsidR="00052C6B" w:rsidRDefault="00052C6B" w:rsidP="00235321">
      <w:pPr>
        <w:pStyle w:val="Heading1"/>
        <w:spacing w:line="360" w:lineRule="auto"/>
      </w:pPr>
      <w:bookmarkStart w:id="3" w:name="_Hlk152186431"/>
      <w:r>
        <w:t xml:space="preserve">When will this report be updated? </w:t>
      </w:r>
    </w:p>
    <w:bookmarkEnd w:id="3"/>
    <w:p w14:paraId="45302897" w14:textId="7DF03A82" w:rsidR="00C536F3" w:rsidRDefault="00052C6B" w:rsidP="00C34B21">
      <w:pPr>
        <w:spacing w:line="360" w:lineRule="auto"/>
      </w:pPr>
      <w:r>
        <w:t>This report will be updated on the 20</w:t>
      </w:r>
      <w:r w:rsidRPr="00052C6B">
        <w:rPr>
          <w:vertAlign w:val="superscript"/>
        </w:rPr>
        <w:t>th</w:t>
      </w:r>
      <w:r>
        <w:t xml:space="preserve"> of every month until all actions are complete.</w:t>
      </w:r>
    </w:p>
    <w:p w14:paraId="2F9C129A" w14:textId="030130AB" w:rsidR="002A2808" w:rsidRDefault="002A2808" w:rsidP="00C34B21">
      <w:pPr>
        <w:spacing w:line="360" w:lineRule="auto"/>
      </w:pPr>
      <w:r>
        <w:t xml:space="preserve">This report </w:t>
      </w:r>
      <w:r w:rsidR="00C82BEB">
        <w:t>ma</w:t>
      </w:r>
      <w:r w:rsidR="006C254C">
        <w:t xml:space="preserve">y </w:t>
      </w:r>
      <w:r>
        <w:t>be amended with additional data when the Department of Justice completes its review of all Section 34A referrals.</w:t>
      </w:r>
    </w:p>
    <w:p w14:paraId="49340231" w14:textId="0284F229" w:rsidR="00BD339F" w:rsidRDefault="00BD339F" w:rsidP="00BD339F">
      <w:pPr>
        <w:pStyle w:val="Heading1"/>
      </w:pPr>
      <w:r>
        <w:t xml:space="preserve">What else is occurring to ensure accountability and transparency? </w:t>
      </w:r>
    </w:p>
    <w:p w14:paraId="3538D29B" w14:textId="5FF45468" w:rsidR="00546BFF" w:rsidRDefault="00546BFF" w:rsidP="00235321">
      <w:pPr>
        <w:spacing w:line="276" w:lineRule="auto"/>
      </w:pPr>
    </w:p>
    <w:p w14:paraId="3B56FA4A" w14:textId="5FB4C398" w:rsidR="00546BFF" w:rsidRDefault="00BD339F" w:rsidP="00235321">
      <w:pPr>
        <w:spacing w:line="276" w:lineRule="auto"/>
      </w:pPr>
      <w:r>
        <w:t xml:space="preserve">The Government has appointed Mr Peter Woolcott AO,  former Australian Public Service Commissioner to conduct an independent review of all the actions taken in response to the information and concerns raised by the COI regarding state service employees.  This is to ensure victim survivors and the community can have confidence that we are leaving no stone unturned. </w:t>
      </w:r>
    </w:p>
    <w:p w14:paraId="541207FB" w14:textId="77777777" w:rsidR="00546BFF" w:rsidRPr="00052C6B" w:rsidRDefault="00546BFF" w:rsidP="00052C6B"/>
    <w:p w14:paraId="0D30A1A9" w14:textId="51EEDF1D" w:rsidR="00286222" w:rsidRDefault="00546BFF" w:rsidP="0030777F">
      <w:pPr>
        <w:pStyle w:val="Heading1"/>
      </w:pPr>
      <w:bookmarkStart w:id="4" w:name="_Hlk152185654"/>
      <w:r>
        <w:lastRenderedPageBreak/>
        <w:t xml:space="preserve">Section 1:  </w:t>
      </w:r>
      <w:r w:rsidR="003036D8">
        <w:t xml:space="preserve">Update of </w:t>
      </w:r>
      <w:r w:rsidR="007D6C38">
        <w:t>assessment</w:t>
      </w:r>
      <w:r w:rsidR="003036D8">
        <w:t xml:space="preserve"> and actions</w:t>
      </w:r>
      <w:r w:rsidR="007D6C38">
        <w:t xml:space="preserve"> </w:t>
      </w:r>
      <w:r w:rsidR="00F55E5F">
        <w:t xml:space="preserve">by Heads of Agency </w:t>
      </w:r>
      <w:r w:rsidR="007D6C38">
        <w:t>of</w:t>
      </w:r>
      <w:r w:rsidR="00015354">
        <w:t xml:space="preserve"> </w:t>
      </w:r>
      <w:r w:rsidR="007F2DFD">
        <w:t xml:space="preserve">current and former State Service employees </w:t>
      </w:r>
      <w:r w:rsidR="0069293A">
        <w:t xml:space="preserve">referred to in the </w:t>
      </w:r>
      <w:r w:rsidR="007F2DFD">
        <w:t xml:space="preserve">Commission of Inquiry </w:t>
      </w:r>
      <w:r w:rsidR="007D6C38">
        <w:t>report</w:t>
      </w:r>
      <w:r w:rsidR="00B60254">
        <w:t xml:space="preserve"> as </w:t>
      </w:r>
      <w:proofErr w:type="gramStart"/>
      <w:r w:rsidR="00B60254" w:rsidRPr="00FF3366">
        <w:t>at</w:t>
      </w:r>
      <w:proofErr w:type="gramEnd"/>
      <w:r w:rsidR="00B60254" w:rsidRPr="00FF3366">
        <w:t xml:space="preserve"> </w:t>
      </w:r>
      <w:r w:rsidR="00B57C1E">
        <w:t xml:space="preserve">20 </w:t>
      </w:r>
      <w:r w:rsidR="006910ED">
        <w:t>February</w:t>
      </w:r>
      <w:r w:rsidR="00B57C1E">
        <w:t xml:space="preserve"> 2024</w:t>
      </w:r>
      <w:r w:rsidR="007D6C38" w:rsidRPr="00FF3366">
        <w:t>.</w:t>
      </w:r>
    </w:p>
    <w:tbl>
      <w:tblPr>
        <w:tblW w:w="0" w:type="auto"/>
        <w:tblLook w:val="04A0" w:firstRow="1" w:lastRow="0" w:firstColumn="1" w:lastColumn="0" w:noHBand="0" w:noVBand="1"/>
      </w:tblPr>
      <w:tblGrid>
        <w:gridCol w:w="2040"/>
        <w:gridCol w:w="1405"/>
        <w:gridCol w:w="1476"/>
        <w:gridCol w:w="1549"/>
        <w:gridCol w:w="1514"/>
        <w:gridCol w:w="942"/>
        <w:gridCol w:w="1451"/>
        <w:gridCol w:w="1954"/>
        <w:gridCol w:w="1797"/>
        <w:gridCol w:w="1250"/>
      </w:tblGrid>
      <w:tr w:rsidR="009C5DA1" w14:paraId="54140700" w14:textId="77777777" w:rsidTr="00F7126B">
        <w:trPr>
          <w:trHeight w:val="2351"/>
        </w:trPr>
        <w:tc>
          <w:tcPr>
            <w:tcW w:w="0" w:type="auto"/>
            <w:vMerge w:val="restart"/>
            <w:tcBorders>
              <w:top w:val="single" w:sz="8" w:space="0" w:color="000000"/>
              <w:left w:val="single" w:sz="8" w:space="0" w:color="000000"/>
              <w:right w:val="single" w:sz="8" w:space="0" w:color="000000"/>
            </w:tcBorders>
            <w:shd w:val="clear" w:color="000000" w:fill="D9D9D9"/>
            <w:vAlign w:val="center"/>
            <w:hideMark/>
          </w:tcPr>
          <w:p w14:paraId="784FE8D8" w14:textId="77777777" w:rsidR="009C5DA1" w:rsidRDefault="009C5DA1">
            <w:pPr>
              <w:jc w:val="center"/>
              <w:rPr>
                <w:rFonts w:eastAsia="Times New Roman" w:cs="Calibri"/>
                <w:color w:val="000000"/>
              </w:rPr>
            </w:pPr>
            <w:r>
              <w:rPr>
                <w:rFonts w:cs="Calibri"/>
                <w:color w:val="000000"/>
              </w:rPr>
              <w:t> </w:t>
            </w:r>
          </w:p>
          <w:p w14:paraId="2BC4BB31" w14:textId="2CA4A58C" w:rsidR="009C5DA1" w:rsidRDefault="009C5DA1" w:rsidP="00F7126B">
            <w:pPr>
              <w:jc w:val="center"/>
              <w:rPr>
                <w:rFonts w:eastAsia="Times New Roman" w:cs="Calibri"/>
                <w:color w:val="000000"/>
              </w:rPr>
            </w:pPr>
            <w:r>
              <w:rPr>
                <w:rFonts w:cs="Calibri"/>
                <w:color w:val="000000"/>
              </w:rPr>
              <w:t xml:space="preserve">Total number of employees referred to in the COI report (headcount)  </w:t>
            </w:r>
            <w:r>
              <w:rPr>
                <w:rFonts w:cs="Calibri"/>
                <w:color w:val="000000"/>
                <w:vertAlign w:val="superscript"/>
              </w:rPr>
              <w:t>1,6, 7,</w:t>
            </w:r>
          </w:p>
        </w:tc>
        <w:tc>
          <w:tcPr>
            <w:tcW w:w="0" w:type="auto"/>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354E16E6" w14:textId="77777777" w:rsidR="009C5DA1" w:rsidRDefault="009C5DA1">
            <w:pPr>
              <w:jc w:val="center"/>
              <w:rPr>
                <w:rFonts w:cs="Calibri"/>
                <w:color w:val="000000"/>
              </w:rPr>
            </w:pPr>
            <w:r>
              <w:rPr>
                <w:rFonts w:cs="Calibri"/>
                <w:color w:val="000000"/>
              </w:rPr>
              <w:t xml:space="preserve">Former State Service employees </w:t>
            </w:r>
          </w:p>
        </w:tc>
        <w:tc>
          <w:tcPr>
            <w:tcW w:w="0" w:type="auto"/>
            <w:vMerge w:val="restart"/>
            <w:tcBorders>
              <w:top w:val="single" w:sz="8" w:space="0" w:color="000000"/>
              <w:left w:val="single" w:sz="8" w:space="0" w:color="000000"/>
              <w:bottom w:val="single" w:sz="8" w:space="0" w:color="000000"/>
              <w:right w:val="single" w:sz="12" w:space="0" w:color="auto"/>
            </w:tcBorders>
            <w:shd w:val="clear" w:color="000000" w:fill="D9D9D9"/>
            <w:vAlign w:val="center"/>
            <w:hideMark/>
          </w:tcPr>
          <w:p w14:paraId="0FD15611" w14:textId="77777777" w:rsidR="009C5DA1" w:rsidRDefault="009C5DA1">
            <w:pPr>
              <w:jc w:val="center"/>
              <w:rPr>
                <w:rFonts w:cs="Calibri"/>
                <w:color w:val="000000"/>
              </w:rPr>
            </w:pPr>
            <w:r>
              <w:rPr>
                <w:rFonts w:cs="Calibri"/>
                <w:color w:val="000000"/>
              </w:rPr>
              <w:t>Current State Service employees</w:t>
            </w:r>
            <w:r>
              <w:rPr>
                <w:rFonts w:cs="Calibri"/>
                <w:color w:val="000000"/>
                <w:vertAlign w:val="superscript"/>
              </w:rPr>
              <w:t>2</w:t>
            </w:r>
          </w:p>
        </w:tc>
        <w:tc>
          <w:tcPr>
            <w:tcW w:w="0" w:type="auto"/>
            <w:gridSpan w:val="2"/>
            <w:tcBorders>
              <w:top w:val="single" w:sz="8" w:space="0" w:color="000000"/>
              <w:left w:val="nil"/>
              <w:bottom w:val="single" w:sz="8" w:space="0" w:color="000000"/>
              <w:right w:val="single" w:sz="8" w:space="0" w:color="000000"/>
            </w:tcBorders>
            <w:shd w:val="clear" w:color="000000" w:fill="D9D9D9"/>
            <w:vAlign w:val="center"/>
            <w:hideMark/>
          </w:tcPr>
          <w:p w14:paraId="6CDF7BDA" w14:textId="77777777" w:rsidR="009C5DA1" w:rsidRDefault="009C5DA1">
            <w:pPr>
              <w:jc w:val="center"/>
              <w:rPr>
                <w:rFonts w:cs="Calibri"/>
                <w:color w:val="000000"/>
              </w:rPr>
            </w:pPr>
            <w:r>
              <w:rPr>
                <w:rFonts w:cs="Calibri"/>
                <w:color w:val="000000"/>
              </w:rPr>
              <w:t>Assessments of COI report in relation to employee commentary by relevant Heads of Agency</w:t>
            </w:r>
            <w:r>
              <w:rPr>
                <w:rFonts w:cs="Calibri"/>
                <w:color w:val="000000"/>
                <w:vertAlign w:val="superscript"/>
              </w:rPr>
              <w:t>3</w:t>
            </w:r>
          </w:p>
        </w:tc>
        <w:tc>
          <w:tcPr>
            <w:tcW w:w="0" w:type="auto"/>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549F4471" w14:textId="77777777" w:rsidR="009C5DA1" w:rsidRDefault="009C5DA1">
            <w:pPr>
              <w:jc w:val="center"/>
              <w:rPr>
                <w:rFonts w:cs="Calibri"/>
                <w:color w:val="000000"/>
              </w:rPr>
            </w:pPr>
            <w:r>
              <w:rPr>
                <w:rFonts w:cs="Calibri"/>
                <w:color w:val="000000"/>
              </w:rPr>
              <w:t>No further action</w:t>
            </w:r>
            <w:r>
              <w:rPr>
                <w:rFonts w:cs="Calibri"/>
                <w:color w:val="000000"/>
                <w:vertAlign w:val="superscript"/>
              </w:rPr>
              <w:t>4</w:t>
            </w:r>
          </w:p>
        </w:tc>
        <w:tc>
          <w:tcPr>
            <w:tcW w:w="0" w:type="auto"/>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7D1192C4" w14:textId="77777777" w:rsidR="009C5DA1" w:rsidRDefault="009C5DA1">
            <w:pPr>
              <w:jc w:val="center"/>
              <w:rPr>
                <w:rFonts w:cs="Calibri"/>
                <w:color w:val="000000"/>
              </w:rPr>
            </w:pPr>
            <w:r>
              <w:rPr>
                <w:rFonts w:cs="Calibri"/>
                <w:color w:val="000000"/>
              </w:rPr>
              <w:t>ED5 process commenced</w:t>
            </w:r>
          </w:p>
        </w:tc>
        <w:tc>
          <w:tcPr>
            <w:tcW w:w="0" w:type="auto"/>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263862BD" w14:textId="77777777" w:rsidR="009C5DA1" w:rsidRDefault="009C5DA1">
            <w:pPr>
              <w:jc w:val="center"/>
              <w:rPr>
                <w:rFonts w:cs="Calibri"/>
                <w:color w:val="000000"/>
              </w:rPr>
            </w:pPr>
            <w:r>
              <w:rPr>
                <w:rFonts w:cs="Calibri"/>
                <w:color w:val="000000"/>
              </w:rPr>
              <w:t>ED5 process will commence if re-employed in the Tasmanian State Service</w:t>
            </w:r>
            <w:r>
              <w:rPr>
                <w:rFonts w:cs="Calibri"/>
                <w:color w:val="000000"/>
                <w:vertAlign w:val="superscript"/>
              </w:rPr>
              <w:t>5</w:t>
            </w:r>
          </w:p>
        </w:tc>
        <w:tc>
          <w:tcPr>
            <w:tcW w:w="0" w:type="auto"/>
            <w:gridSpan w:val="2"/>
            <w:tcBorders>
              <w:top w:val="single" w:sz="8" w:space="0" w:color="000000"/>
              <w:left w:val="nil"/>
              <w:bottom w:val="single" w:sz="8" w:space="0" w:color="000000"/>
              <w:right w:val="single" w:sz="8" w:space="0" w:color="000000"/>
            </w:tcBorders>
            <w:shd w:val="clear" w:color="000000" w:fill="D9D9D9"/>
            <w:vAlign w:val="center"/>
            <w:hideMark/>
          </w:tcPr>
          <w:p w14:paraId="5C30B81D" w14:textId="77777777" w:rsidR="009C5DA1" w:rsidRDefault="009C5DA1">
            <w:pPr>
              <w:jc w:val="center"/>
              <w:rPr>
                <w:rFonts w:cs="Calibri"/>
                <w:color w:val="000000"/>
              </w:rPr>
            </w:pPr>
            <w:r>
              <w:rPr>
                <w:rFonts w:cs="Calibri"/>
                <w:color w:val="000000"/>
              </w:rPr>
              <w:t>ED5 findings</w:t>
            </w:r>
          </w:p>
        </w:tc>
      </w:tr>
      <w:tr w:rsidR="009C5DA1" w14:paraId="0999383B" w14:textId="77777777" w:rsidTr="00F7126B">
        <w:trPr>
          <w:trHeight w:val="2668"/>
        </w:trPr>
        <w:tc>
          <w:tcPr>
            <w:tcW w:w="0" w:type="auto"/>
            <w:vMerge/>
            <w:tcBorders>
              <w:left w:val="single" w:sz="8" w:space="0" w:color="000000"/>
              <w:bottom w:val="single" w:sz="8" w:space="0" w:color="000000"/>
              <w:right w:val="single" w:sz="8" w:space="0" w:color="000000"/>
            </w:tcBorders>
            <w:shd w:val="clear" w:color="000000" w:fill="D9D9D9"/>
            <w:vAlign w:val="center"/>
            <w:hideMark/>
          </w:tcPr>
          <w:p w14:paraId="1F5D7C5E" w14:textId="18C2C0F2" w:rsidR="009C5DA1" w:rsidRDefault="009C5DA1">
            <w:pPr>
              <w:jc w:val="center"/>
              <w:rPr>
                <w:rFonts w:cs="Calibri"/>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078F52B" w14:textId="77777777" w:rsidR="009C5DA1" w:rsidRDefault="009C5DA1">
            <w:pPr>
              <w:rPr>
                <w:rFonts w:cs="Calibri"/>
                <w:color w:val="000000"/>
              </w:rPr>
            </w:pPr>
          </w:p>
        </w:tc>
        <w:tc>
          <w:tcPr>
            <w:tcW w:w="0" w:type="auto"/>
            <w:vMerge/>
            <w:tcBorders>
              <w:top w:val="single" w:sz="8" w:space="0" w:color="000000"/>
              <w:left w:val="single" w:sz="8" w:space="0" w:color="000000"/>
              <w:bottom w:val="single" w:sz="8" w:space="0" w:color="000000"/>
              <w:right w:val="single" w:sz="12" w:space="0" w:color="auto"/>
            </w:tcBorders>
            <w:vAlign w:val="center"/>
            <w:hideMark/>
          </w:tcPr>
          <w:p w14:paraId="1B62565A" w14:textId="77777777" w:rsidR="009C5DA1" w:rsidRDefault="009C5DA1">
            <w:pPr>
              <w:rPr>
                <w:rFonts w:cs="Calibri"/>
                <w:color w:val="000000"/>
              </w:rPr>
            </w:pPr>
          </w:p>
        </w:tc>
        <w:tc>
          <w:tcPr>
            <w:tcW w:w="0" w:type="auto"/>
            <w:tcBorders>
              <w:top w:val="nil"/>
              <w:left w:val="nil"/>
              <w:bottom w:val="single" w:sz="8" w:space="0" w:color="000000"/>
              <w:right w:val="single" w:sz="8" w:space="0" w:color="000000"/>
            </w:tcBorders>
            <w:shd w:val="clear" w:color="000000" w:fill="D9D9D9"/>
            <w:vAlign w:val="center"/>
            <w:hideMark/>
          </w:tcPr>
          <w:p w14:paraId="26978B78" w14:textId="77777777" w:rsidR="009C5DA1" w:rsidRDefault="009C5DA1">
            <w:pPr>
              <w:rPr>
                <w:rFonts w:cs="Calibri"/>
                <w:color w:val="000000"/>
              </w:rPr>
            </w:pPr>
            <w:r>
              <w:rPr>
                <w:rFonts w:cs="Calibri"/>
                <w:color w:val="000000"/>
              </w:rPr>
              <w:t>Underway</w:t>
            </w:r>
          </w:p>
        </w:tc>
        <w:tc>
          <w:tcPr>
            <w:tcW w:w="0" w:type="auto"/>
            <w:tcBorders>
              <w:top w:val="nil"/>
              <w:left w:val="nil"/>
              <w:bottom w:val="single" w:sz="8" w:space="0" w:color="000000"/>
              <w:right w:val="single" w:sz="8" w:space="0" w:color="000000"/>
            </w:tcBorders>
            <w:shd w:val="clear" w:color="000000" w:fill="D9D9D9"/>
            <w:vAlign w:val="center"/>
            <w:hideMark/>
          </w:tcPr>
          <w:p w14:paraId="1ECE4D18" w14:textId="77777777" w:rsidR="009C5DA1" w:rsidRDefault="009C5DA1">
            <w:pPr>
              <w:jc w:val="center"/>
              <w:rPr>
                <w:rFonts w:cs="Calibri"/>
                <w:color w:val="000000"/>
              </w:rPr>
            </w:pPr>
            <w:r>
              <w:rPr>
                <w:rFonts w:cs="Calibri"/>
                <w:color w:val="000000"/>
              </w:rPr>
              <w:t>Complete</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B7044AB" w14:textId="77777777" w:rsidR="009C5DA1" w:rsidRDefault="009C5DA1">
            <w:pPr>
              <w:rPr>
                <w:rFonts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D0741BE" w14:textId="77777777" w:rsidR="009C5DA1" w:rsidRDefault="009C5DA1">
            <w:pPr>
              <w:rPr>
                <w:rFonts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A71E5F9" w14:textId="77777777" w:rsidR="009C5DA1" w:rsidRDefault="009C5DA1">
            <w:pPr>
              <w:rPr>
                <w:rFonts w:cs="Calibri"/>
                <w:color w:val="000000"/>
              </w:rPr>
            </w:pPr>
          </w:p>
        </w:tc>
        <w:tc>
          <w:tcPr>
            <w:tcW w:w="0" w:type="auto"/>
            <w:tcBorders>
              <w:top w:val="nil"/>
              <w:left w:val="nil"/>
              <w:bottom w:val="single" w:sz="8" w:space="0" w:color="000000"/>
              <w:right w:val="single" w:sz="8" w:space="0" w:color="000000"/>
            </w:tcBorders>
            <w:shd w:val="clear" w:color="000000" w:fill="D9D9D9"/>
            <w:vAlign w:val="center"/>
            <w:hideMark/>
          </w:tcPr>
          <w:p w14:paraId="6E905407" w14:textId="77777777" w:rsidR="009C5DA1" w:rsidRDefault="009C5DA1">
            <w:pPr>
              <w:jc w:val="center"/>
              <w:rPr>
                <w:rFonts w:cs="Calibri"/>
                <w:color w:val="000000"/>
              </w:rPr>
            </w:pPr>
            <w:r>
              <w:rPr>
                <w:rFonts w:cs="Calibri"/>
                <w:color w:val="000000"/>
              </w:rPr>
              <w:t>Breach of Code of Conduct found and sanction determined</w:t>
            </w:r>
          </w:p>
        </w:tc>
        <w:tc>
          <w:tcPr>
            <w:tcW w:w="0" w:type="auto"/>
            <w:tcBorders>
              <w:top w:val="nil"/>
              <w:left w:val="nil"/>
              <w:bottom w:val="single" w:sz="8" w:space="0" w:color="000000"/>
              <w:right w:val="single" w:sz="8" w:space="0" w:color="000000"/>
            </w:tcBorders>
            <w:shd w:val="clear" w:color="000000" w:fill="D9D9D9"/>
            <w:vAlign w:val="center"/>
            <w:hideMark/>
          </w:tcPr>
          <w:p w14:paraId="31F470D4" w14:textId="77777777" w:rsidR="009C5DA1" w:rsidRDefault="009C5DA1">
            <w:pPr>
              <w:jc w:val="center"/>
              <w:rPr>
                <w:rFonts w:cs="Calibri"/>
                <w:color w:val="000000"/>
              </w:rPr>
            </w:pPr>
            <w:r>
              <w:rPr>
                <w:rFonts w:cs="Calibri"/>
                <w:color w:val="000000"/>
              </w:rPr>
              <w:t>No breach of Code of Conduct</w:t>
            </w:r>
          </w:p>
        </w:tc>
      </w:tr>
      <w:tr w:rsidR="00055A01" w14:paraId="3DE1F063" w14:textId="77777777" w:rsidTr="009A1B22">
        <w:trPr>
          <w:trHeight w:val="1402"/>
        </w:trPr>
        <w:tc>
          <w:tcPr>
            <w:tcW w:w="0" w:type="auto"/>
            <w:tcBorders>
              <w:top w:val="nil"/>
              <w:left w:val="single" w:sz="8" w:space="0" w:color="000000"/>
              <w:bottom w:val="single" w:sz="8" w:space="0" w:color="000000"/>
              <w:right w:val="single" w:sz="8" w:space="0" w:color="000000"/>
            </w:tcBorders>
            <w:shd w:val="clear" w:color="000000" w:fill="FFFFFF"/>
            <w:vAlign w:val="center"/>
            <w:hideMark/>
          </w:tcPr>
          <w:p w14:paraId="14967ECD" w14:textId="1E5A80C4" w:rsidR="008C0078" w:rsidRPr="00633510" w:rsidRDefault="008C0078">
            <w:pPr>
              <w:jc w:val="center"/>
              <w:rPr>
                <w:rFonts w:cs="Calibri"/>
                <w:color w:val="000000"/>
              </w:rPr>
            </w:pPr>
            <w:r w:rsidRPr="00633510">
              <w:rPr>
                <w:rFonts w:cs="Calibri"/>
                <w:color w:val="000000"/>
              </w:rPr>
              <w:t xml:space="preserve">TSS total </w:t>
            </w:r>
            <w:r w:rsidR="00D763BF">
              <w:rPr>
                <w:rFonts w:cs="Calibri"/>
                <w:color w:val="000000"/>
              </w:rPr>
              <w:t>41</w:t>
            </w:r>
          </w:p>
        </w:tc>
        <w:tc>
          <w:tcPr>
            <w:tcW w:w="0" w:type="auto"/>
            <w:tcBorders>
              <w:top w:val="nil"/>
              <w:left w:val="nil"/>
              <w:bottom w:val="single" w:sz="8" w:space="0" w:color="000000"/>
              <w:right w:val="single" w:sz="8" w:space="0" w:color="000000"/>
            </w:tcBorders>
            <w:shd w:val="clear" w:color="000000" w:fill="FFFFFF"/>
            <w:vAlign w:val="center"/>
            <w:hideMark/>
          </w:tcPr>
          <w:p w14:paraId="6C8B4295" w14:textId="729AEB2C" w:rsidR="008C0078" w:rsidRPr="00633510" w:rsidRDefault="00244E1F">
            <w:pPr>
              <w:jc w:val="center"/>
              <w:rPr>
                <w:rFonts w:cs="Calibri"/>
                <w:color w:val="000000"/>
              </w:rPr>
            </w:pPr>
            <w:r>
              <w:rPr>
                <w:rFonts w:cs="Calibri"/>
                <w:color w:val="000000"/>
              </w:rPr>
              <w:t>15</w:t>
            </w:r>
          </w:p>
        </w:tc>
        <w:tc>
          <w:tcPr>
            <w:tcW w:w="0" w:type="auto"/>
            <w:tcBorders>
              <w:top w:val="nil"/>
              <w:left w:val="nil"/>
              <w:bottom w:val="single" w:sz="8" w:space="0" w:color="000000"/>
              <w:right w:val="single" w:sz="12" w:space="0" w:color="auto"/>
            </w:tcBorders>
            <w:shd w:val="clear" w:color="000000" w:fill="FFFFFF"/>
            <w:vAlign w:val="center"/>
          </w:tcPr>
          <w:p w14:paraId="35862C3D" w14:textId="06B922A8" w:rsidR="008C0078" w:rsidRPr="00633510" w:rsidRDefault="00244E1F">
            <w:pPr>
              <w:jc w:val="center"/>
              <w:rPr>
                <w:rFonts w:cs="Calibri"/>
                <w:color w:val="000000"/>
              </w:rPr>
            </w:pPr>
            <w:r>
              <w:rPr>
                <w:rFonts w:cs="Calibri"/>
                <w:color w:val="000000"/>
              </w:rPr>
              <w:t>26</w:t>
            </w:r>
          </w:p>
        </w:tc>
        <w:tc>
          <w:tcPr>
            <w:tcW w:w="0" w:type="auto"/>
            <w:tcBorders>
              <w:top w:val="nil"/>
              <w:left w:val="nil"/>
              <w:bottom w:val="single" w:sz="8" w:space="0" w:color="000000"/>
              <w:right w:val="single" w:sz="8" w:space="0" w:color="000000"/>
            </w:tcBorders>
            <w:shd w:val="clear" w:color="000000" w:fill="FFFFFF"/>
            <w:vAlign w:val="center"/>
          </w:tcPr>
          <w:p w14:paraId="775BFF64" w14:textId="2CE2F036" w:rsidR="008C0078" w:rsidRPr="00633510" w:rsidRDefault="006910ED">
            <w:pPr>
              <w:jc w:val="center"/>
              <w:rPr>
                <w:rFonts w:cs="Calibri"/>
                <w:color w:val="000000"/>
              </w:rPr>
            </w:pPr>
            <w:r>
              <w:rPr>
                <w:rFonts w:cs="Calibri"/>
                <w:color w:val="000000"/>
              </w:rPr>
              <w:t>17</w:t>
            </w:r>
          </w:p>
        </w:tc>
        <w:tc>
          <w:tcPr>
            <w:tcW w:w="0" w:type="auto"/>
            <w:tcBorders>
              <w:top w:val="nil"/>
              <w:left w:val="nil"/>
              <w:bottom w:val="single" w:sz="8" w:space="0" w:color="000000"/>
              <w:right w:val="single" w:sz="8" w:space="0" w:color="000000"/>
            </w:tcBorders>
            <w:shd w:val="clear" w:color="000000" w:fill="FFFFFF"/>
            <w:vAlign w:val="center"/>
          </w:tcPr>
          <w:p w14:paraId="1F619A5D" w14:textId="7B3FA729" w:rsidR="008C0078" w:rsidRPr="00633510" w:rsidRDefault="006910ED">
            <w:pPr>
              <w:jc w:val="center"/>
              <w:rPr>
                <w:rFonts w:cs="Calibri"/>
                <w:color w:val="000000"/>
              </w:rPr>
            </w:pPr>
            <w:r>
              <w:rPr>
                <w:rFonts w:cs="Calibri"/>
                <w:color w:val="000000"/>
              </w:rPr>
              <w:t>25</w:t>
            </w:r>
          </w:p>
        </w:tc>
        <w:tc>
          <w:tcPr>
            <w:tcW w:w="0" w:type="auto"/>
            <w:tcBorders>
              <w:top w:val="nil"/>
              <w:left w:val="nil"/>
              <w:bottom w:val="single" w:sz="8" w:space="0" w:color="000000"/>
              <w:right w:val="single" w:sz="8" w:space="0" w:color="000000"/>
            </w:tcBorders>
            <w:shd w:val="clear" w:color="000000" w:fill="FFFFFF"/>
            <w:vAlign w:val="center"/>
          </w:tcPr>
          <w:p w14:paraId="7E6B9F26" w14:textId="10E4E6A6" w:rsidR="008C0078" w:rsidRPr="00633510" w:rsidRDefault="006910ED">
            <w:pPr>
              <w:jc w:val="center"/>
              <w:rPr>
                <w:rFonts w:cs="Calibri"/>
                <w:color w:val="000000"/>
              </w:rPr>
            </w:pPr>
            <w:r>
              <w:rPr>
                <w:rFonts w:cs="Calibri"/>
                <w:color w:val="000000"/>
              </w:rPr>
              <w:t>10</w:t>
            </w:r>
          </w:p>
        </w:tc>
        <w:tc>
          <w:tcPr>
            <w:tcW w:w="0" w:type="auto"/>
            <w:tcBorders>
              <w:top w:val="nil"/>
              <w:left w:val="nil"/>
              <w:bottom w:val="single" w:sz="8" w:space="0" w:color="000000"/>
              <w:right w:val="single" w:sz="8" w:space="0" w:color="000000"/>
            </w:tcBorders>
            <w:shd w:val="clear" w:color="000000" w:fill="FFFFFF"/>
            <w:vAlign w:val="center"/>
          </w:tcPr>
          <w:p w14:paraId="01C56BF2" w14:textId="7BF5E406" w:rsidR="008C0078" w:rsidRPr="00633510" w:rsidRDefault="00244E1F">
            <w:pPr>
              <w:jc w:val="center"/>
              <w:rPr>
                <w:rFonts w:cs="Calibri"/>
                <w:color w:val="000000"/>
              </w:rPr>
            </w:pPr>
            <w:r>
              <w:rPr>
                <w:rFonts w:cs="Calibri"/>
                <w:color w:val="000000"/>
              </w:rPr>
              <w:t>8</w:t>
            </w:r>
          </w:p>
        </w:tc>
        <w:tc>
          <w:tcPr>
            <w:tcW w:w="0" w:type="auto"/>
            <w:tcBorders>
              <w:top w:val="nil"/>
              <w:left w:val="nil"/>
              <w:bottom w:val="single" w:sz="8" w:space="0" w:color="000000"/>
              <w:right w:val="single" w:sz="8" w:space="0" w:color="000000"/>
            </w:tcBorders>
            <w:shd w:val="clear" w:color="000000" w:fill="FFFFFF"/>
            <w:vAlign w:val="center"/>
          </w:tcPr>
          <w:p w14:paraId="0DCACF33" w14:textId="2339BD75" w:rsidR="008C0078" w:rsidRPr="00633510" w:rsidRDefault="00244E1F">
            <w:pPr>
              <w:jc w:val="center"/>
              <w:rPr>
                <w:rFonts w:cs="Calibri"/>
                <w:color w:val="000000"/>
              </w:rPr>
            </w:pPr>
            <w:r>
              <w:rPr>
                <w:rFonts w:cs="Calibri"/>
                <w:color w:val="000000"/>
              </w:rPr>
              <w:t>7</w:t>
            </w:r>
          </w:p>
        </w:tc>
        <w:tc>
          <w:tcPr>
            <w:tcW w:w="0" w:type="auto"/>
            <w:tcBorders>
              <w:top w:val="nil"/>
              <w:left w:val="nil"/>
              <w:bottom w:val="single" w:sz="8" w:space="0" w:color="000000"/>
              <w:right w:val="single" w:sz="8" w:space="0" w:color="000000"/>
            </w:tcBorders>
            <w:shd w:val="clear" w:color="000000" w:fill="FFFFFF"/>
            <w:vAlign w:val="center"/>
          </w:tcPr>
          <w:p w14:paraId="387B986B" w14:textId="7925EDF8" w:rsidR="008C0078" w:rsidRPr="00633510" w:rsidRDefault="00244E1F">
            <w:pPr>
              <w:jc w:val="center"/>
              <w:rPr>
                <w:rFonts w:cs="Calibri"/>
                <w:color w:val="000000"/>
              </w:rPr>
            </w:pPr>
            <w:r>
              <w:rPr>
                <w:rFonts w:cs="Calibri"/>
                <w:color w:val="000000"/>
              </w:rPr>
              <w:t>1</w:t>
            </w:r>
          </w:p>
        </w:tc>
        <w:tc>
          <w:tcPr>
            <w:tcW w:w="0" w:type="auto"/>
            <w:tcBorders>
              <w:top w:val="nil"/>
              <w:left w:val="nil"/>
              <w:bottom w:val="single" w:sz="8" w:space="0" w:color="000000"/>
              <w:right w:val="single" w:sz="8" w:space="0" w:color="000000"/>
            </w:tcBorders>
            <w:shd w:val="clear" w:color="000000" w:fill="FFFFFF"/>
            <w:vAlign w:val="center"/>
          </w:tcPr>
          <w:p w14:paraId="789316E3" w14:textId="3F273356" w:rsidR="008C0078" w:rsidRPr="00633510" w:rsidRDefault="00244E1F">
            <w:pPr>
              <w:jc w:val="center"/>
              <w:rPr>
                <w:rFonts w:cs="Calibri"/>
                <w:color w:val="000000"/>
              </w:rPr>
            </w:pPr>
            <w:r>
              <w:rPr>
                <w:rFonts w:cs="Calibri"/>
                <w:color w:val="000000"/>
              </w:rPr>
              <w:t>0</w:t>
            </w:r>
          </w:p>
        </w:tc>
      </w:tr>
      <w:tr w:rsidR="008C0078" w14:paraId="01BBD6B0" w14:textId="77777777" w:rsidTr="006A2856">
        <w:trPr>
          <w:trHeight w:val="686"/>
        </w:trPr>
        <w:tc>
          <w:tcPr>
            <w:tcW w:w="0" w:type="auto"/>
            <w:gridSpan w:val="10"/>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CFCB6D" w14:textId="77777777" w:rsidR="008C0078" w:rsidRDefault="008C0078">
            <w:pPr>
              <w:rPr>
                <w:rFonts w:cs="Calibri"/>
                <w:color w:val="000000"/>
              </w:rPr>
            </w:pPr>
            <w:r>
              <w:rPr>
                <w:rFonts w:cs="Calibri"/>
                <w:color w:val="000000"/>
              </w:rPr>
              <w:t>Explanatory Notes to Data</w:t>
            </w:r>
          </w:p>
        </w:tc>
      </w:tr>
      <w:tr w:rsidR="008C0078" w14:paraId="61F12A83" w14:textId="77777777" w:rsidTr="008C0078">
        <w:trPr>
          <w:trHeight w:val="696"/>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E27D95C" w14:textId="77777777" w:rsidR="008C0078" w:rsidRDefault="008C0078" w:rsidP="008C0078">
            <w:pPr>
              <w:spacing w:line="276" w:lineRule="auto"/>
              <w:jc w:val="center"/>
              <w:rPr>
                <w:rFonts w:cs="Calibri"/>
                <w:color w:val="000000"/>
              </w:rPr>
            </w:pPr>
            <w:r>
              <w:rPr>
                <w:rFonts w:cs="Calibri"/>
                <w:color w:val="000000"/>
              </w:rPr>
              <w:t>1</w:t>
            </w:r>
          </w:p>
        </w:tc>
        <w:tc>
          <w:tcPr>
            <w:tcW w:w="0" w:type="auto"/>
            <w:gridSpan w:val="9"/>
            <w:tcBorders>
              <w:top w:val="single" w:sz="8" w:space="0" w:color="000000"/>
              <w:left w:val="nil"/>
              <w:bottom w:val="single" w:sz="8" w:space="0" w:color="000000"/>
              <w:right w:val="single" w:sz="8" w:space="0" w:color="000000"/>
            </w:tcBorders>
            <w:shd w:val="clear" w:color="auto" w:fill="auto"/>
            <w:vAlign w:val="center"/>
            <w:hideMark/>
          </w:tcPr>
          <w:p w14:paraId="79CA5378" w14:textId="20879A7F" w:rsidR="008C0078" w:rsidRDefault="008C0078" w:rsidP="008C0078">
            <w:pPr>
              <w:spacing w:line="276" w:lineRule="auto"/>
              <w:rPr>
                <w:rFonts w:cs="Calibri"/>
                <w:color w:val="000000"/>
              </w:rPr>
            </w:pPr>
            <w:r>
              <w:rPr>
                <w:rFonts w:cs="Calibri"/>
                <w:color w:val="000000"/>
              </w:rPr>
              <w:t xml:space="preserve">Total number includes 1 misconduct finding in the Department of Health.  Total number of employees referred to in the Commission of Inquiry report expressed as </w:t>
            </w:r>
            <w:r w:rsidR="00055A01">
              <w:rPr>
                <w:rFonts w:cs="Calibri"/>
                <w:color w:val="000000"/>
              </w:rPr>
              <w:t>headcount</w:t>
            </w:r>
            <w:r>
              <w:rPr>
                <w:rFonts w:cs="Calibri"/>
                <w:color w:val="000000"/>
              </w:rPr>
              <w:t xml:space="preserve">. </w:t>
            </w:r>
            <w:r w:rsidR="005110BB">
              <w:rPr>
                <w:rFonts w:cs="Calibri"/>
                <w:color w:val="000000"/>
              </w:rPr>
              <w:t>This number may be amended when the Department of Justice completes its review of all Section 34A referrals.</w:t>
            </w:r>
          </w:p>
        </w:tc>
      </w:tr>
      <w:tr w:rsidR="008C0078" w14:paraId="11776267" w14:textId="77777777" w:rsidTr="006A2856">
        <w:trPr>
          <w:trHeight w:val="630"/>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BF8D09B" w14:textId="77777777" w:rsidR="008C0078" w:rsidRDefault="008C0078" w:rsidP="008C0078">
            <w:pPr>
              <w:spacing w:line="276" w:lineRule="auto"/>
              <w:jc w:val="center"/>
              <w:rPr>
                <w:rFonts w:cs="Calibri"/>
                <w:color w:val="000000"/>
              </w:rPr>
            </w:pPr>
            <w:r>
              <w:rPr>
                <w:rFonts w:cs="Calibri"/>
                <w:color w:val="000000"/>
              </w:rPr>
              <w:t>2</w:t>
            </w:r>
          </w:p>
        </w:tc>
        <w:tc>
          <w:tcPr>
            <w:tcW w:w="0" w:type="auto"/>
            <w:gridSpan w:val="9"/>
            <w:tcBorders>
              <w:top w:val="single" w:sz="8" w:space="0" w:color="000000"/>
              <w:left w:val="nil"/>
              <w:bottom w:val="single" w:sz="8" w:space="0" w:color="000000"/>
              <w:right w:val="single" w:sz="8" w:space="0" w:color="000000"/>
            </w:tcBorders>
            <w:shd w:val="clear" w:color="auto" w:fill="auto"/>
            <w:vAlign w:val="center"/>
            <w:hideMark/>
          </w:tcPr>
          <w:p w14:paraId="1367D587" w14:textId="77777777" w:rsidR="008C0078" w:rsidRDefault="008C0078" w:rsidP="008C0078">
            <w:pPr>
              <w:spacing w:line="276" w:lineRule="auto"/>
              <w:rPr>
                <w:rFonts w:cs="Calibri"/>
                <w:color w:val="000000"/>
              </w:rPr>
            </w:pPr>
            <w:r>
              <w:rPr>
                <w:rFonts w:cs="Calibri"/>
                <w:color w:val="000000"/>
              </w:rPr>
              <w:t xml:space="preserve">This table does not include Tasmania Police matters as not employed under the State Service Act 2000.  A separate update is provided by the Commissioner of Police for officers employed under the </w:t>
            </w:r>
            <w:r>
              <w:rPr>
                <w:rFonts w:cs="Calibri"/>
                <w:i/>
                <w:iCs/>
                <w:color w:val="000000"/>
              </w:rPr>
              <w:t>Police Service Act 2003</w:t>
            </w:r>
            <w:r>
              <w:rPr>
                <w:rFonts w:cs="Calibri"/>
                <w:color w:val="000000"/>
              </w:rPr>
              <w:t>.</w:t>
            </w:r>
          </w:p>
        </w:tc>
      </w:tr>
      <w:tr w:rsidR="008C0078" w14:paraId="695FA44B" w14:textId="77777777" w:rsidTr="006A2856">
        <w:trPr>
          <w:trHeight w:val="980"/>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2C06D266" w14:textId="77777777" w:rsidR="008C0078" w:rsidRDefault="008C0078" w:rsidP="008C0078">
            <w:pPr>
              <w:spacing w:line="276" w:lineRule="auto"/>
              <w:jc w:val="center"/>
              <w:rPr>
                <w:rFonts w:cs="Calibri"/>
                <w:color w:val="000000"/>
              </w:rPr>
            </w:pPr>
            <w:r>
              <w:rPr>
                <w:rFonts w:cs="Calibri"/>
                <w:color w:val="000000"/>
              </w:rPr>
              <w:t>3</w:t>
            </w:r>
          </w:p>
        </w:tc>
        <w:tc>
          <w:tcPr>
            <w:tcW w:w="0" w:type="auto"/>
            <w:gridSpan w:val="9"/>
            <w:tcBorders>
              <w:top w:val="single" w:sz="8" w:space="0" w:color="000000"/>
              <w:left w:val="nil"/>
              <w:bottom w:val="single" w:sz="8" w:space="0" w:color="000000"/>
              <w:right w:val="single" w:sz="8" w:space="0" w:color="000000"/>
            </w:tcBorders>
            <w:shd w:val="clear" w:color="auto" w:fill="auto"/>
            <w:vAlign w:val="center"/>
            <w:hideMark/>
          </w:tcPr>
          <w:p w14:paraId="1CC269C0" w14:textId="4026B1AE" w:rsidR="008C0078" w:rsidRDefault="008C0078" w:rsidP="008C0078">
            <w:pPr>
              <w:spacing w:line="276" w:lineRule="auto"/>
              <w:rPr>
                <w:rFonts w:cs="Calibri"/>
                <w:color w:val="000000"/>
              </w:rPr>
            </w:pPr>
            <w:r>
              <w:rPr>
                <w:rFonts w:cs="Calibri"/>
                <w:color w:val="000000"/>
              </w:rPr>
              <w:t xml:space="preserve">Heads of all relevant Agencies have reviewed the employee matters referred to in the COI report and these matters in relation to current or former employee are being assessed to determine whether further action under the </w:t>
            </w:r>
            <w:r>
              <w:rPr>
                <w:rFonts w:cs="Calibri"/>
                <w:i/>
                <w:iCs/>
                <w:color w:val="000000"/>
              </w:rPr>
              <w:t>State Service Act 2000</w:t>
            </w:r>
            <w:r>
              <w:rPr>
                <w:rFonts w:cs="Calibri"/>
                <w:color w:val="000000"/>
              </w:rPr>
              <w:t xml:space="preserve"> is required.  One employee may have more than one assessment.</w:t>
            </w:r>
            <w:r w:rsidR="00D4616A">
              <w:rPr>
                <w:rFonts w:cs="Calibri"/>
                <w:color w:val="000000"/>
              </w:rPr>
              <w:t xml:space="preserve"> This number may be amended when the Department of Justice completes its review of all Section 34A referrals</w:t>
            </w:r>
          </w:p>
        </w:tc>
      </w:tr>
      <w:tr w:rsidR="008C0078" w14:paraId="459C0328" w14:textId="77777777" w:rsidTr="00FF3366">
        <w:trPr>
          <w:trHeight w:val="300"/>
        </w:trPr>
        <w:tc>
          <w:tcPr>
            <w:tcW w:w="0" w:type="auto"/>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152EBE45" w14:textId="77777777" w:rsidR="008C0078" w:rsidRDefault="008C0078" w:rsidP="008C0078">
            <w:pPr>
              <w:spacing w:line="276" w:lineRule="auto"/>
              <w:jc w:val="center"/>
              <w:rPr>
                <w:rFonts w:cs="Calibri"/>
                <w:color w:val="000000"/>
              </w:rPr>
            </w:pPr>
            <w:r>
              <w:rPr>
                <w:rFonts w:cs="Calibri"/>
                <w:color w:val="000000"/>
              </w:rPr>
              <w:lastRenderedPageBreak/>
              <w:t>4</w:t>
            </w:r>
          </w:p>
        </w:tc>
        <w:tc>
          <w:tcPr>
            <w:tcW w:w="0" w:type="auto"/>
            <w:gridSpan w:val="9"/>
            <w:tcBorders>
              <w:top w:val="single" w:sz="4" w:space="0" w:color="auto"/>
              <w:left w:val="nil"/>
              <w:bottom w:val="nil"/>
              <w:right w:val="single" w:sz="8" w:space="0" w:color="000000"/>
            </w:tcBorders>
            <w:shd w:val="clear" w:color="auto" w:fill="auto"/>
            <w:vAlign w:val="center"/>
            <w:hideMark/>
          </w:tcPr>
          <w:p w14:paraId="3D461B8F" w14:textId="77777777" w:rsidR="008C0078" w:rsidRDefault="008C0078" w:rsidP="008C0078">
            <w:pPr>
              <w:spacing w:line="276" w:lineRule="auto"/>
              <w:rPr>
                <w:rFonts w:cs="Calibri"/>
                <w:color w:val="000000"/>
              </w:rPr>
            </w:pPr>
            <w:r>
              <w:rPr>
                <w:rFonts w:cs="Calibri"/>
                <w:color w:val="000000"/>
              </w:rPr>
              <w:t>No further action in relation to employment may be for the following reasons:</w:t>
            </w:r>
          </w:p>
        </w:tc>
      </w:tr>
      <w:tr w:rsidR="008C0078" w14:paraId="046B686D" w14:textId="77777777" w:rsidTr="008C0078">
        <w:trPr>
          <w:trHeight w:val="306"/>
        </w:trPr>
        <w:tc>
          <w:tcPr>
            <w:tcW w:w="0" w:type="auto"/>
            <w:vMerge/>
            <w:tcBorders>
              <w:top w:val="nil"/>
              <w:left w:val="single" w:sz="8" w:space="0" w:color="000000"/>
              <w:bottom w:val="single" w:sz="8" w:space="0" w:color="000000"/>
              <w:right w:val="single" w:sz="8" w:space="0" w:color="000000"/>
            </w:tcBorders>
            <w:vAlign w:val="center"/>
            <w:hideMark/>
          </w:tcPr>
          <w:p w14:paraId="0D31F6F1" w14:textId="77777777" w:rsidR="008C0078" w:rsidRDefault="008C0078" w:rsidP="008C0078">
            <w:pPr>
              <w:spacing w:line="276" w:lineRule="auto"/>
              <w:rPr>
                <w:rFonts w:cs="Calibri"/>
                <w:color w:val="000000"/>
              </w:rPr>
            </w:pPr>
          </w:p>
        </w:tc>
        <w:tc>
          <w:tcPr>
            <w:tcW w:w="0" w:type="auto"/>
            <w:gridSpan w:val="9"/>
            <w:tcBorders>
              <w:top w:val="nil"/>
              <w:left w:val="nil"/>
              <w:bottom w:val="nil"/>
              <w:right w:val="single" w:sz="8" w:space="0" w:color="000000"/>
            </w:tcBorders>
            <w:shd w:val="clear" w:color="auto" w:fill="auto"/>
            <w:vAlign w:val="center"/>
            <w:hideMark/>
          </w:tcPr>
          <w:p w14:paraId="50DB341F" w14:textId="04B35FFC" w:rsidR="008C0078" w:rsidRDefault="008C0078" w:rsidP="008C0078">
            <w:pPr>
              <w:spacing w:line="276" w:lineRule="auto"/>
              <w:rPr>
                <w:rFonts w:ascii="Symbol" w:hAnsi="Symbol" w:cs="Calibri"/>
                <w:color w:val="000000"/>
              </w:rPr>
            </w:pPr>
            <w:r>
              <w:rPr>
                <w:rFonts w:ascii="Symbol" w:hAnsi="Symbol" w:cs="Calibri"/>
                <w:color w:val="000000"/>
              </w:rPr>
              <w:t>·</w:t>
            </w:r>
            <w:r>
              <w:rPr>
                <w:color w:val="000000"/>
                <w:sz w:val="14"/>
                <w:szCs w:val="14"/>
              </w:rPr>
              <w:t xml:space="preserve">         </w:t>
            </w:r>
            <w:r>
              <w:rPr>
                <w:rFonts w:cs="Calibri"/>
                <w:color w:val="000000"/>
              </w:rPr>
              <w:t>the assessment by Head of Agency conclude</w:t>
            </w:r>
            <w:r w:rsidR="00DB173B">
              <w:rPr>
                <w:rFonts w:cs="Calibri"/>
                <w:color w:val="000000"/>
              </w:rPr>
              <w:t>d</w:t>
            </w:r>
            <w:r>
              <w:rPr>
                <w:rFonts w:cs="Calibri"/>
                <w:color w:val="000000"/>
              </w:rPr>
              <w:t xml:space="preserve"> that there is no further action required upon Head of Agency review;</w:t>
            </w:r>
          </w:p>
        </w:tc>
      </w:tr>
      <w:tr w:rsidR="008C0078" w14:paraId="224AB982" w14:textId="77777777" w:rsidTr="008C0078">
        <w:trPr>
          <w:trHeight w:val="268"/>
        </w:trPr>
        <w:tc>
          <w:tcPr>
            <w:tcW w:w="0" w:type="auto"/>
            <w:vMerge/>
            <w:tcBorders>
              <w:top w:val="nil"/>
              <w:left w:val="single" w:sz="8" w:space="0" w:color="000000"/>
              <w:bottom w:val="single" w:sz="8" w:space="0" w:color="000000"/>
              <w:right w:val="single" w:sz="8" w:space="0" w:color="000000"/>
            </w:tcBorders>
            <w:vAlign w:val="center"/>
            <w:hideMark/>
          </w:tcPr>
          <w:p w14:paraId="2791C4F0" w14:textId="77777777" w:rsidR="008C0078" w:rsidRDefault="008C0078" w:rsidP="008C0078">
            <w:pPr>
              <w:spacing w:line="276" w:lineRule="auto"/>
              <w:rPr>
                <w:rFonts w:cs="Calibri"/>
                <w:color w:val="000000"/>
              </w:rPr>
            </w:pPr>
          </w:p>
        </w:tc>
        <w:tc>
          <w:tcPr>
            <w:tcW w:w="0" w:type="auto"/>
            <w:gridSpan w:val="9"/>
            <w:tcBorders>
              <w:top w:val="nil"/>
              <w:left w:val="nil"/>
              <w:bottom w:val="nil"/>
              <w:right w:val="single" w:sz="8" w:space="0" w:color="000000"/>
            </w:tcBorders>
            <w:shd w:val="clear" w:color="auto" w:fill="auto"/>
            <w:vAlign w:val="center"/>
            <w:hideMark/>
          </w:tcPr>
          <w:p w14:paraId="1E3CEC87" w14:textId="77777777" w:rsidR="008C0078" w:rsidRDefault="008C0078" w:rsidP="008C0078">
            <w:pPr>
              <w:spacing w:line="276" w:lineRule="auto"/>
              <w:rPr>
                <w:rFonts w:ascii="Symbol" w:hAnsi="Symbol" w:cs="Calibri"/>
                <w:color w:val="000000"/>
              </w:rPr>
            </w:pPr>
            <w:r>
              <w:rPr>
                <w:rFonts w:ascii="Symbol" w:hAnsi="Symbol" w:cs="Calibri"/>
                <w:color w:val="000000"/>
              </w:rPr>
              <w:t>·</w:t>
            </w:r>
            <w:r>
              <w:rPr>
                <w:color w:val="000000"/>
                <w:sz w:val="14"/>
                <w:szCs w:val="14"/>
              </w:rPr>
              <w:t xml:space="preserve">         </w:t>
            </w:r>
            <w:r>
              <w:rPr>
                <w:rFonts w:cs="Calibri"/>
                <w:color w:val="000000"/>
              </w:rPr>
              <w:t xml:space="preserve"> the employee having already resigned from the Tasmanian State Service;</w:t>
            </w:r>
          </w:p>
        </w:tc>
      </w:tr>
      <w:tr w:rsidR="008C0078" w14:paraId="321820C1" w14:textId="77777777" w:rsidTr="008C0078">
        <w:trPr>
          <w:trHeight w:val="528"/>
        </w:trPr>
        <w:tc>
          <w:tcPr>
            <w:tcW w:w="0" w:type="auto"/>
            <w:vMerge/>
            <w:tcBorders>
              <w:top w:val="nil"/>
              <w:left w:val="single" w:sz="8" w:space="0" w:color="000000"/>
              <w:bottom w:val="single" w:sz="8" w:space="0" w:color="000000"/>
              <w:right w:val="single" w:sz="8" w:space="0" w:color="000000"/>
            </w:tcBorders>
            <w:vAlign w:val="center"/>
            <w:hideMark/>
          </w:tcPr>
          <w:p w14:paraId="27BB6820" w14:textId="77777777" w:rsidR="008C0078" w:rsidRDefault="008C0078" w:rsidP="008C0078">
            <w:pPr>
              <w:spacing w:line="276" w:lineRule="auto"/>
              <w:rPr>
                <w:rFonts w:cs="Calibri"/>
                <w:color w:val="000000"/>
              </w:rPr>
            </w:pPr>
          </w:p>
        </w:tc>
        <w:tc>
          <w:tcPr>
            <w:tcW w:w="0" w:type="auto"/>
            <w:gridSpan w:val="9"/>
            <w:tcBorders>
              <w:top w:val="nil"/>
              <w:left w:val="nil"/>
              <w:bottom w:val="nil"/>
              <w:right w:val="single" w:sz="8" w:space="0" w:color="000000"/>
            </w:tcBorders>
            <w:shd w:val="clear" w:color="auto" w:fill="auto"/>
            <w:vAlign w:val="center"/>
            <w:hideMark/>
          </w:tcPr>
          <w:p w14:paraId="5B965A6E" w14:textId="309AA0BF" w:rsidR="008C0078" w:rsidRDefault="008C0078" w:rsidP="008C0078">
            <w:pPr>
              <w:spacing w:line="276" w:lineRule="auto"/>
              <w:rPr>
                <w:rFonts w:ascii="Symbol" w:hAnsi="Symbol" w:cs="Calibri"/>
                <w:color w:val="000000"/>
              </w:rPr>
            </w:pPr>
            <w:r>
              <w:rPr>
                <w:rFonts w:ascii="Symbol" w:hAnsi="Symbol" w:cs="Calibri"/>
                <w:color w:val="000000"/>
              </w:rPr>
              <w:t>·</w:t>
            </w:r>
            <w:r>
              <w:rPr>
                <w:color w:val="000000"/>
                <w:sz w:val="14"/>
                <w:szCs w:val="14"/>
              </w:rPr>
              <w:t xml:space="preserve">         </w:t>
            </w:r>
            <w:r>
              <w:rPr>
                <w:rFonts w:cs="Calibri"/>
                <w:color w:val="000000"/>
              </w:rPr>
              <w:t xml:space="preserve">The employee having already resigned whilst a Code of Conduct investigation was underway.  The Code of </w:t>
            </w:r>
            <w:r w:rsidR="00AC6F6C">
              <w:rPr>
                <w:rFonts w:cs="Calibri"/>
                <w:color w:val="000000"/>
              </w:rPr>
              <w:t>C</w:t>
            </w:r>
            <w:r>
              <w:rPr>
                <w:rFonts w:cs="Calibri"/>
                <w:color w:val="000000"/>
              </w:rPr>
              <w:t>onduct being completed with a breach found and the employee details entered on the PPS 5 Register- for code of conduct breaches resulting in or that would have resulted in termination</w:t>
            </w:r>
          </w:p>
        </w:tc>
      </w:tr>
      <w:tr w:rsidR="008C0078" w14:paraId="6AF8DE1F" w14:textId="77777777" w:rsidTr="008C0078">
        <w:trPr>
          <w:trHeight w:val="60"/>
        </w:trPr>
        <w:tc>
          <w:tcPr>
            <w:tcW w:w="0" w:type="auto"/>
            <w:vMerge/>
            <w:tcBorders>
              <w:top w:val="nil"/>
              <w:left w:val="single" w:sz="8" w:space="0" w:color="000000"/>
              <w:bottom w:val="single" w:sz="8" w:space="0" w:color="000000"/>
              <w:right w:val="single" w:sz="8" w:space="0" w:color="000000"/>
            </w:tcBorders>
            <w:vAlign w:val="center"/>
            <w:hideMark/>
          </w:tcPr>
          <w:p w14:paraId="62AD4A14" w14:textId="77777777" w:rsidR="008C0078" w:rsidRDefault="008C0078" w:rsidP="008C0078">
            <w:pPr>
              <w:spacing w:line="276" w:lineRule="auto"/>
              <w:rPr>
                <w:rFonts w:cs="Calibri"/>
                <w:color w:val="000000"/>
              </w:rPr>
            </w:pPr>
          </w:p>
        </w:tc>
        <w:tc>
          <w:tcPr>
            <w:tcW w:w="0" w:type="auto"/>
            <w:gridSpan w:val="9"/>
            <w:tcBorders>
              <w:top w:val="nil"/>
              <w:left w:val="nil"/>
              <w:bottom w:val="single" w:sz="8" w:space="0" w:color="000000"/>
              <w:right w:val="single" w:sz="8" w:space="0" w:color="000000"/>
            </w:tcBorders>
            <w:shd w:val="clear" w:color="auto" w:fill="auto"/>
            <w:vAlign w:val="center"/>
            <w:hideMark/>
          </w:tcPr>
          <w:p w14:paraId="2CFFC36C" w14:textId="77777777" w:rsidR="008C0078" w:rsidRDefault="008C0078" w:rsidP="008C0078">
            <w:pPr>
              <w:spacing w:line="276" w:lineRule="auto"/>
              <w:rPr>
                <w:rFonts w:ascii="Symbol" w:hAnsi="Symbol" w:cs="Calibri"/>
                <w:color w:val="000000"/>
              </w:rPr>
            </w:pPr>
            <w:r>
              <w:rPr>
                <w:rFonts w:ascii="Symbol" w:hAnsi="Symbol" w:cs="Calibri"/>
                <w:color w:val="000000"/>
              </w:rPr>
              <w:t>·</w:t>
            </w:r>
            <w:r>
              <w:rPr>
                <w:color w:val="000000"/>
                <w:sz w:val="14"/>
                <w:szCs w:val="14"/>
              </w:rPr>
              <w:t xml:space="preserve">         </w:t>
            </w:r>
            <w:r>
              <w:rPr>
                <w:rFonts w:cs="Calibri"/>
                <w:color w:val="000000"/>
              </w:rPr>
              <w:t>The employee is deceased;</w:t>
            </w:r>
          </w:p>
        </w:tc>
      </w:tr>
      <w:tr w:rsidR="008C0078" w14:paraId="1A014EB4" w14:textId="77777777" w:rsidTr="008C0078">
        <w:trPr>
          <w:trHeight w:val="997"/>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86E4DEF" w14:textId="77777777" w:rsidR="008C0078" w:rsidRDefault="008C0078" w:rsidP="008C0078">
            <w:pPr>
              <w:spacing w:line="276" w:lineRule="auto"/>
              <w:jc w:val="center"/>
              <w:rPr>
                <w:rFonts w:cs="Calibri"/>
                <w:color w:val="000000"/>
              </w:rPr>
            </w:pPr>
            <w:r>
              <w:rPr>
                <w:rFonts w:cs="Calibri"/>
                <w:color w:val="000000"/>
              </w:rPr>
              <w:t>5</w:t>
            </w:r>
          </w:p>
        </w:tc>
        <w:tc>
          <w:tcPr>
            <w:tcW w:w="0" w:type="auto"/>
            <w:gridSpan w:val="9"/>
            <w:tcBorders>
              <w:top w:val="single" w:sz="8" w:space="0" w:color="000000"/>
              <w:left w:val="nil"/>
              <w:bottom w:val="single" w:sz="8" w:space="0" w:color="000000"/>
              <w:right w:val="single" w:sz="8" w:space="0" w:color="000000"/>
            </w:tcBorders>
            <w:shd w:val="clear" w:color="auto" w:fill="auto"/>
            <w:vAlign w:val="center"/>
            <w:hideMark/>
          </w:tcPr>
          <w:p w14:paraId="6AB0C1A2" w14:textId="37157C9B" w:rsidR="008C0078" w:rsidRDefault="008C0078" w:rsidP="008C0078">
            <w:pPr>
              <w:spacing w:line="276" w:lineRule="auto"/>
              <w:rPr>
                <w:rFonts w:cs="Calibri"/>
                <w:color w:val="000000"/>
              </w:rPr>
            </w:pPr>
            <w:r>
              <w:rPr>
                <w:rFonts w:cs="Calibri"/>
                <w:color w:val="000000"/>
              </w:rPr>
              <w:t>Heads of Agencies have determined that, for former employees where a Code of Conduct was not commenced prior to departure, and, following a review of matters in the COI report, an assessment by the Head of Agency that there may be matters of concern, that the Head of Agency will write to the former employee indicating this and that an ED5 process will commence if were to be re-employed within the Tasmanian State Service.</w:t>
            </w:r>
          </w:p>
        </w:tc>
      </w:tr>
      <w:tr w:rsidR="008C0078" w14:paraId="61F3D615" w14:textId="77777777" w:rsidTr="008C0078">
        <w:trPr>
          <w:trHeight w:val="685"/>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F35039E" w14:textId="77777777" w:rsidR="008C0078" w:rsidRDefault="008C0078" w:rsidP="008C0078">
            <w:pPr>
              <w:spacing w:line="276" w:lineRule="auto"/>
              <w:jc w:val="center"/>
              <w:rPr>
                <w:rFonts w:cs="Calibri"/>
                <w:color w:val="000000"/>
              </w:rPr>
            </w:pPr>
            <w:r>
              <w:rPr>
                <w:rFonts w:cs="Calibri"/>
                <w:color w:val="000000"/>
              </w:rPr>
              <w:t>6</w:t>
            </w:r>
          </w:p>
        </w:tc>
        <w:tc>
          <w:tcPr>
            <w:tcW w:w="0" w:type="auto"/>
            <w:gridSpan w:val="9"/>
            <w:tcBorders>
              <w:top w:val="single" w:sz="8" w:space="0" w:color="000000"/>
              <w:left w:val="nil"/>
              <w:bottom w:val="single" w:sz="8" w:space="0" w:color="000000"/>
              <w:right w:val="single" w:sz="8" w:space="0" w:color="000000"/>
            </w:tcBorders>
            <w:shd w:val="clear" w:color="auto" w:fill="auto"/>
            <w:vAlign w:val="center"/>
            <w:hideMark/>
          </w:tcPr>
          <w:p w14:paraId="6FD88F06" w14:textId="77777777" w:rsidR="008C0078" w:rsidRDefault="008C0078" w:rsidP="008C0078">
            <w:pPr>
              <w:spacing w:line="276" w:lineRule="auto"/>
              <w:rPr>
                <w:rFonts w:cs="Calibri"/>
                <w:color w:val="000000"/>
              </w:rPr>
            </w:pPr>
            <w:r>
              <w:rPr>
                <w:rFonts w:cs="Calibri"/>
                <w:color w:val="000000"/>
              </w:rPr>
              <w:t>Notifications to the appropriate Regulatory bodies include: Teachers Registration Board of Tasmania, Australian Health Practitioners Regulatory Authority (AHPRA), Legal Profession Board, Working with Vulnerable People Registrar</w:t>
            </w:r>
          </w:p>
        </w:tc>
      </w:tr>
      <w:tr w:rsidR="008C0078" w14:paraId="62B3AB7B" w14:textId="77777777" w:rsidTr="008C0078">
        <w:trPr>
          <w:trHeight w:val="823"/>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268DC09" w14:textId="77777777" w:rsidR="008C0078" w:rsidRDefault="008C0078" w:rsidP="008C0078">
            <w:pPr>
              <w:spacing w:line="276" w:lineRule="auto"/>
              <w:jc w:val="center"/>
              <w:rPr>
                <w:rFonts w:cs="Calibri"/>
                <w:color w:val="000000"/>
              </w:rPr>
            </w:pPr>
            <w:r>
              <w:rPr>
                <w:rFonts w:cs="Calibri"/>
                <w:color w:val="000000"/>
              </w:rPr>
              <w:t>7</w:t>
            </w:r>
          </w:p>
        </w:tc>
        <w:tc>
          <w:tcPr>
            <w:tcW w:w="0" w:type="auto"/>
            <w:gridSpan w:val="9"/>
            <w:tcBorders>
              <w:top w:val="single" w:sz="8" w:space="0" w:color="000000"/>
              <w:left w:val="nil"/>
              <w:bottom w:val="single" w:sz="8" w:space="0" w:color="000000"/>
              <w:right w:val="single" w:sz="8" w:space="0" w:color="000000"/>
            </w:tcBorders>
            <w:shd w:val="clear" w:color="auto" w:fill="auto"/>
            <w:vAlign w:val="center"/>
            <w:hideMark/>
          </w:tcPr>
          <w:p w14:paraId="6BCE4180" w14:textId="77777777" w:rsidR="008C0078" w:rsidRDefault="008C0078" w:rsidP="008C0078">
            <w:pPr>
              <w:spacing w:line="276" w:lineRule="auto"/>
              <w:rPr>
                <w:rFonts w:cs="Calibri"/>
                <w:color w:val="000000"/>
              </w:rPr>
            </w:pPr>
            <w:r>
              <w:rPr>
                <w:rFonts w:cs="Calibri"/>
                <w:color w:val="000000"/>
              </w:rPr>
              <w:t>Notification to appropriate Legal authorities: means any agency established to prevent, detect, investigate or prosecute criminal offences and other offences (including, the Australian Federal Police, Tasmania Police, Director of Public Prosecutions), a Commission of Inquiry, the Attorney-General, the Solicitor-General, the Ombudsman, the Anti-Discrimination Commissioner, the Australian Crime Commission, and the Integrity Commission</w:t>
            </w:r>
          </w:p>
        </w:tc>
      </w:tr>
      <w:bookmarkEnd w:id="4"/>
    </w:tbl>
    <w:p w14:paraId="6B08C439" w14:textId="77777777" w:rsidR="00F65517" w:rsidRDefault="00F65517" w:rsidP="004D4592"/>
    <w:p w14:paraId="7CAA531A" w14:textId="1DD0FC0F" w:rsidR="00546BFF" w:rsidRDefault="00546BFF" w:rsidP="00546BFF"/>
    <w:p w14:paraId="7562A01B" w14:textId="63A52680" w:rsidR="00546BFF" w:rsidRDefault="00546BFF" w:rsidP="00546BFF"/>
    <w:p w14:paraId="51C2FA4E" w14:textId="77777777" w:rsidR="0001170D" w:rsidRDefault="0001170D">
      <w:r>
        <w:br w:type="page"/>
      </w:r>
    </w:p>
    <w:p w14:paraId="16D7E955" w14:textId="77777777" w:rsidR="00546BFF" w:rsidRDefault="00546BFF" w:rsidP="00546BFF"/>
    <w:p w14:paraId="2A03BAA4" w14:textId="6A25E0E8" w:rsidR="00546BFF" w:rsidRPr="00871B66" w:rsidRDefault="00546BFF" w:rsidP="00546BFF">
      <w:pPr>
        <w:pStyle w:val="Heading1"/>
      </w:pPr>
      <w:r>
        <w:t xml:space="preserve">Section 2:  Update of assessment and actions by Heads of </w:t>
      </w:r>
      <w:r w:rsidRPr="00871B66">
        <w:t xml:space="preserve">Agency of alleged perpetrators (current and former State Service employees) </w:t>
      </w:r>
      <w:r w:rsidR="00DD0632" w:rsidRPr="00871B66">
        <w:t xml:space="preserve">referred to in </w:t>
      </w:r>
      <w:r w:rsidRPr="00871B66">
        <w:t xml:space="preserve">the Commission of Inquiry report as </w:t>
      </w:r>
      <w:proofErr w:type="gramStart"/>
      <w:r w:rsidRPr="00871B66">
        <w:t>at</w:t>
      </w:r>
      <w:proofErr w:type="gramEnd"/>
      <w:r w:rsidRPr="00871B66">
        <w:t xml:space="preserve"> </w:t>
      </w:r>
      <w:r w:rsidR="00B57C1E">
        <w:t xml:space="preserve">20 </w:t>
      </w:r>
      <w:r w:rsidR="006910ED">
        <w:t xml:space="preserve">February </w:t>
      </w:r>
      <w:r w:rsidR="00B57C1E">
        <w:t>2024</w:t>
      </w:r>
      <w:r w:rsidRPr="00871B66">
        <w:t>.</w:t>
      </w:r>
    </w:p>
    <w:p w14:paraId="41FC9DB3" w14:textId="759CF7E1" w:rsidR="00546BFF" w:rsidRPr="00871B66" w:rsidRDefault="00546BFF" w:rsidP="00546BFF"/>
    <w:tbl>
      <w:tblPr>
        <w:tblW w:w="13952" w:type="dxa"/>
        <w:tblLayout w:type="fixed"/>
        <w:tblLook w:val="04A0" w:firstRow="1" w:lastRow="0" w:firstColumn="1" w:lastColumn="0" w:noHBand="0" w:noVBand="1"/>
      </w:tblPr>
      <w:tblGrid>
        <w:gridCol w:w="1124"/>
        <w:gridCol w:w="1418"/>
        <w:gridCol w:w="1148"/>
        <w:gridCol w:w="1306"/>
        <w:gridCol w:w="1306"/>
        <w:gridCol w:w="1110"/>
        <w:gridCol w:w="1085"/>
        <w:gridCol w:w="803"/>
        <w:gridCol w:w="1289"/>
        <w:gridCol w:w="1177"/>
        <w:gridCol w:w="1215"/>
        <w:gridCol w:w="971"/>
      </w:tblGrid>
      <w:tr w:rsidR="00652E41" w:rsidRPr="00871B66" w14:paraId="493DC7A1" w14:textId="77777777" w:rsidTr="00AF6074">
        <w:trPr>
          <w:trHeight w:val="315"/>
        </w:trPr>
        <w:tc>
          <w:tcPr>
            <w:tcW w:w="1124" w:type="dxa"/>
            <w:tcBorders>
              <w:top w:val="single" w:sz="8" w:space="0" w:color="000000"/>
              <w:left w:val="single" w:sz="8" w:space="0" w:color="000000"/>
              <w:bottom w:val="nil"/>
              <w:right w:val="single" w:sz="8" w:space="0" w:color="000000"/>
            </w:tcBorders>
            <w:shd w:val="clear" w:color="000000" w:fill="D9D9D9"/>
            <w:vAlign w:val="center"/>
            <w:hideMark/>
          </w:tcPr>
          <w:p w14:paraId="1BDA76C4" w14:textId="77777777" w:rsidR="00652E41" w:rsidRPr="00871B66" w:rsidRDefault="00652E41" w:rsidP="00652E41">
            <w:pPr>
              <w:widowControl/>
              <w:autoSpaceDE/>
              <w:autoSpaceDN/>
              <w:jc w:val="center"/>
              <w:rPr>
                <w:rFonts w:eastAsia="Times New Roman" w:cs="Calibri"/>
                <w:color w:val="000000"/>
                <w:sz w:val="24"/>
                <w:szCs w:val="24"/>
                <w:lang w:val="en-AU" w:eastAsia="en-AU"/>
              </w:rPr>
            </w:pPr>
            <w:r w:rsidRPr="00871B66">
              <w:rPr>
                <w:rFonts w:eastAsia="Times New Roman" w:cs="Calibri"/>
                <w:color w:val="000000"/>
                <w:sz w:val="24"/>
                <w:szCs w:val="24"/>
                <w:lang w:val="en-AU" w:eastAsia="en-AU"/>
              </w:rPr>
              <w:t> </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270AFCF8" w14:textId="77777777" w:rsidR="00652E41" w:rsidRPr="00871B66" w:rsidRDefault="00652E41" w:rsidP="00652E41">
            <w:pPr>
              <w:widowControl/>
              <w:autoSpaceDE/>
              <w:autoSpaceDN/>
              <w:jc w:val="center"/>
              <w:rPr>
                <w:rFonts w:eastAsia="Times New Roman" w:cs="Calibri"/>
                <w:color w:val="000000"/>
                <w:lang w:val="en-AU" w:eastAsia="en-AU"/>
              </w:rPr>
            </w:pPr>
            <w:r w:rsidRPr="00871B66">
              <w:rPr>
                <w:rFonts w:eastAsia="Times New Roman" w:cs="Calibri"/>
                <w:color w:val="000000"/>
                <w:lang w:val="en-AU" w:eastAsia="en-AU"/>
              </w:rPr>
              <w:t xml:space="preserve">Former State Service employees </w:t>
            </w:r>
          </w:p>
        </w:tc>
        <w:tc>
          <w:tcPr>
            <w:tcW w:w="1148" w:type="dxa"/>
            <w:vMerge w:val="restart"/>
            <w:tcBorders>
              <w:top w:val="single" w:sz="8" w:space="0" w:color="000000"/>
              <w:left w:val="single" w:sz="8" w:space="0" w:color="000000"/>
              <w:bottom w:val="single" w:sz="8" w:space="0" w:color="000000"/>
              <w:right w:val="single" w:sz="8" w:space="0" w:color="auto"/>
            </w:tcBorders>
            <w:shd w:val="clear" w:color="000000" w:fill="D9D9D9"/>
            <w:vAlign w:val="center"/>
            <w:hideMark/>
          </w:tcPr>
          <w:p w14:paraId="6B977FAC" w14:textId="77777777" w:rsidR="00652E41" w:rsidRPr="00871B66" w:rsidRDefault="00652E41" w:rsidP="00652E41">
            <w:pPr>
              <w:widowControl/>
              <w:autoSpaceDE/>
              <w:autoSpaceDN/>
              <w:jc w:val="center"/>
              <w:rPr>
                <w:rFonts w:eastAsia="Times New Roman" w:cs="Calibri"/>
                <w:color w:val="000000"/>
                <w:lang w:val="en-AU" w:eastAsia="en-AU"/>
              </w:rPr>
            </w:pPr>
            <w:r w:rsidRPr="00871B66">
              <w:rPr>
                <w:rFonts w:eastAsia="Times New Roman" w:cs="Calibri"/>
                <w:color w:val="000000"/>
                <w:lang w:val="en-AU" w:eastAsia="en-AU"/>
              </w:rPr>
              <w:t>Current State Service employees</w:t>
            </w:r>
            <w:r w:rsidRPr="00871B66">
              <w:rPr>
                <w:rFonts w:eastAsia="Times New Roman" w:cs="Calibri"/>
                <w:color w:val="000000"/>
                <w:vertAlign w:val="superscript"/>
                <w:lang w:val="en-AU" w:eastAsia="en-AU"/>
              </w:rPr>
              <w:t>2</w:t>
            </w:r>
          </w:p>
        </w:tc>
        <w:tc>
          <w:tcPr>
            <w:tcW w:w="1306" w:type="dxa"/>
            <w:vMerge w:val="restart"/>
            <w:tcBorders>
              <w:top w:val="single" w:sz="8" w:space="0" w:color="000000"/>
              <w:left w:val="single" w:sz="8" w:space="0" w:color="auto"/>
              <w:bottom w:val="single" w:sz="8" w:space="0" w:color="000000"/>
              <w:right w:val="single" w:sz="8" w:space="0" w:color="auto"/>
            </w:tcBorders>
            <w:shd w:val="clear" w:color="000000" w:fill="D9D9D9"/>
            <w:vAlign w:val="center"/>
            <w:hideMark/>
          </w:tcPr>
          <w:p w14:paraId="2E09D190" w14:textId="3A29685F" w:rsidR="00652E41" w:rsidRPr="00871B66" w:rsidRDefault="00652E41" w:rsidP="00652E41">
            <w:pPr>
              <w:widowControl/>
              <w:autoSpaceDE/>
              <w:autoSpaceDN/>
              <w:jc w:val="center"/>
              <w:rPr>
                <w:rFonts w:eastAsia="Times New Roman" w:cs="Calibri"/>
                <w:color w:val="000000"/>
                <w:lang w:val="en-AU" w:eastAsia="en-AU"/>
              </w:rPr>
            </w:pPr>
            <w:r w:rsidRPr="00871B66">
              <w:rPr>
                <w:rFonts w:eastAsia="Times New Roman" w:cs="Calibri"/>
                <w:color w:val="000000"/>
                <w:lang w:val="en-AU" w:eastAsia="en-AU"/>
              </w:rPr>
              <w:t xml:space="preserve">Notifications to appropriate legal authority </w:t>
            </w:r>
            <w:r w:rsidRPr="00871B66">
              <w:rPr>
                <w:rFonts w:eastAsia="Times New Roman" w:cs="Calibri"/>
                <w:color w:val="000000"/>
                <w:vertAlign w:val="superscript"/>
                <w:lang w:val="en-AU" w:eastAsia="en-AU"/>
              </w:rPr>
              <w:t>7</w:t>
            </w:r>
          </w:p>
        </w:tc>
        <w:tc>
          <w:tcPr>
            <w:tcW w:w="1306" w:type="dxa"/>
            <w:vMerge w:val="restart"/>
            <w:tcBorders>
              <w:top w:val="single" w:sz="8" w:space="0" w:color="000000"/>
              <w:left w:val="single" w:sz="8" w:space="0" w:color="auto"/>
              <w:bottom w:val="single" w:sz="8" w:space="0" w:color="000000"/>
              <w:right w:val="single" w:sz="12" w:space="0" w:color="auto"/>
            </w:tcBorders>
            <w:shd w:val="clear" w:color="000000" w:fill="D9D9D9"/>
            <w:vAlign w:val="center"/>
            <w:hideMark/>
          </w:tcPr>
          <w:p w14:paraId="49B94054" w14:textId="77777777" w:rsidR="00652E41" w:rsidRPr="00871B66" w:rsidRDefault="00652E41" w:rsidP="00652E41">
            <w:pPr>
              <w:widowControl/>
              <w:autoSpaceDE/>
              <w:autoSpaceDN/>
              <w:jc w:val="center"/>
              <w:rPr>
                <w:rFonts w:eastAsia="Times New Roman" w:cs="Calibri"/>
                <w:color w:val="000000"/>
                <w:lang w:val="en-AU" w:eastAsia="en-AU"/>
              </w:rPr>
            </w:pPr>
            <w:r w:rsidRPr="00871B66">
              <w:rPr>
                <w:rFonts w:eastAsia="Times New Roman" w:cs="Calibri"/>
                <w:color w:val="000000"/>
                <w:lang w:val="en-AU" w:eastAsia="en-AU"/>
              </w:rPr>
              <w:t>Notifications to regulatory body (if applicable</w:t>
            </w:r>
            <w:r w:rsidRPr="00871B66">
              <w:rPr>
                <w:rFonts w:eastAsia="Times New Roman" w:cs="Calibri"/>
                <w:color w:val="000000"/>
                <w:vertAlign w:val="superscript"/>
                <w:lang w:val="en-AU" w:eastAsia="en-AU"/>
              </w:rPr>
              <w:t>) 6</w:t>
            </w:r>
          </w:p>
        </w:tc>
        <w:tc>
          <w:tcPr>
            <w:tcW w:w="2195" w:type="dxa"/>
            <w:gridSpan w:val="2"/>
            <w:vMerge w:val="restart"/>
            <w:tcBorders>
              <w:top w:val="single" w:sz="8" w:space="0" w:color="000000"/>
              <w:left w:val="single" w:sz="12" w:space="0" w:color="auto"/>
              <w:bottom w:val="single" w:sz="8" w:space="0" w:color="000000"/>
              <w:right w:val="single" w:sz="8" w:space="0" w:color="000000"/>
            </w:tcBorders>
            <w:shd w:val="clear" w:color="000000" w:fill="D9D9D9"/>
            <w:vAlign w:val="center"/>
            <w:hideMark/>
          </w:tcPr>
          <w:p w14:paraId="62E5A723" w14:textId="77777777" w:rsidR="00652E41" w:rsidRPr="00871B66" w:rsidRDefault="00652E41" w:rsidP="00652E41">
            <w:pPr>
              <w:widowControl/>
              <w:autoSpaceDE/>
              <w:autoSpaceDN/>
              <w:jc w:val="center"/>
              <w:rPr>
                <w:rFonts w:eastAsia="Times New Roman" w:cs="Calibri"/>
                <w:color w:val="000000"/>
                <w:lang w:val="en-AU" w:eastAsia="en-AU"/>
              </w:rPr>
            </w:pPr>
            <w:r w:rsidRPr="00871B66">
              <w:rPr>
                <w:rFonts w:eastAsia="Times New Roman" w:cs="Calibri"/>
                <w:color w:val="000000"/>
                <w:lang w:val="en-AU" w:eastAsia="en-AU"/>
              </w:rPr>
              <w:t>Assessments of COI report in relation to employee commentary by relevant Heads of Agency</w:t>
            </w:r>
            <w:r w:rsidRPr="00871B66">
              <w:rPr>
                <w:rFonts w:eastAsia="Times New Roman" w:cs="Calibri"/>
                <w:color w:val="000000"/>
                <w:vertAlign w:val="superscript"/>
                <w:lang w:val="en-AU" w:eastAsia="en-AU"/>
              </w:rPr>
              <w:t>3</w:t>
            </w:r>
          </w:p>
        </w:tc>
        <w:tc>
          <w:tcPr>
            <w:tcW w:w="803" w:type="dxa"/>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1F49D4A4" w14:textId="77777777" w:rsidR="00652E41" w:rsidRPr="00871B66" w:rsidRDefault="00652E41" w:rsidP="00652E41">
            <w:pPr>
              <w:widowControl/>
              <w:autoSpaceDE/>
              <w:autoSpaceDN/>
              <w:jc w:val="center"/>
              <w:rPr>
                <w:rFonts w:eastAsia="Times New Roman" w:cs="Calibri"/>
                <w:color w:val="000000"/>
                <w:lang w:val="en-AU" w:eastAsia="en-AU"/>
              </w:rPr>
            </w:pPr>
            <w:r w:rsidRPr="00871B66">
              <w:rPr>
                <w:rFonts w:eastAsia="Times New Roman" w:cs="Calibri"/>
                <w:color w:val="000000"/>
                <w:lang w:val="en-AU" w:eastAsia="en-AU"/>
              </w:rPr>
              <w:t>No further action</w:t>
            </w:r>
            <w:r w:rsidRPr="00871B66">
              <w:rPr>
                <w:rFonts w:eastAsia="Times New Roman" w:cs="Calibri"/>
                <w:color w:val="000000"/>
                <w:vertAlign w:val="superscript"/>
                <w:lang w:val="en-AU" w:eastAsia="en-AU"/>
              </w:rPr>
              <w:t>4</w:t>
            </w:r>
          </w:p>
        </w:tc>
        <w:tc>
          <w:tcPr>
            <w:tcW w:w="1289" w:type="dxa"/>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6E6F52C5" w14:textId="77777777" w:rsidR="00652E41" w:rsidRPr="00871B66" w:rsidRDefault="00652E41" w:rsidP="00652E41">
            <w:pPr>
              <w:widowControl/>
              <w:autoSpaceDE/>
              <w:autoSpaceDN/>
              <w:jc w:val="center"/>
              <w:rPr>
                <w:rFonts w:eastAsia="Times New Roman" w:cs="Calibri"/>
                <w:color w:val="000000"/>
                <w:lang w:val="en-AU" w:eastAsia="en-AU"/>
              </w:rPr>
            </w:pPr>
            <w:r w:rsidRPr="00871B66">
              <w:rPr>
                <w:rFonts w:eastAsia="Times New Roman" w:cs="Calibri"/>
                <w:color w:val="000000"/>
                <w:lang w:val="en-AU" w:eastAsia="en-AU"/>
              </w:rPr>
              <w:t>ED5 process commenced</w:t>
            </w:r>
          </w:p>
        </w:tc>
        <w:tc>
          <w:tcPr>
            <w:tcW w:w="1177" w:type="dxa"/>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3FC73C70" w14:textId="77777777" w:rsidR="00652E41" w:rsidRPr="00871B66" w:rsidRDefault="00652E41" w:rsidP="00652E41">
            <w:pPr>
              <w:widowControl/>
              <w:autoSpaceDE/>
              <w:autoSpaceDN/>
              <w:jc w:val="center"/>
              <w:rPr>
                <w:rFonts w:eastAsia="Times New Roman" w:cs="Calibri"/>
                <w:color w:val="000000"/>
                <w:lang w:val="en-AU" w:eastAsia="en-AU"/>
              </w:rPr>
            </w:pPr>
            <w:r w:rsidRPr="00871B66">
              <w:rPr>
                <w:rFonts w:eastAsia="Times New Roman" w:cs="Calibri"/>
                <w:color w:val="000000"/>
                <w:lang w:val="en-AU" w:eastAsia="en-AU"/>
              </w:rPr>
              <w:t xml:space="preserve">ED5 process will commence if re-employed in the Tasmanian State Service </w:t>
            </w:r>
            <w:r w:rsidRPr="00871B66">
              <w:rPr>
                <w:rFonts w:eastAsia="Times New Roman" w:cs="Calibri"/>
                <w:color w:val="000000"/>
                <w:vertAlign w:val="superscript"/>
                <w:lang w:val="en-AU" w:eastAsia="en-AU"/>
              </w:rPr>
              <w:t>5</w:t>
            </w:r>
          </w:p>
        </w:tc>
        <w:tc>
          <w:tcPr>
            <w:tcW w:w="2186" w:type="dxa"/>
            <w:gridSpan w:val="2"/>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59666BAE" w14:textId="77777777" w:rsidR="00652E41" w:rsidRPr="00871B66" w:rsidRDefault="00652E41" w:rsidP="00652E41">
            <w:pPr>
              <w:widowControl/>
              <w:autoSpaceDE/>
              <w:autoSpaceDN/>
              <w:jc w:val="center"/>
              <w:rPr>
                <w:rFonts w:eastAsia="Times New Roman" w:cs="Calibri"/>
                <w:color w:val="000000"/>
                <w:lang w:val="en-AU" w:eastAsia="en-AU"/>
              </w:rPr>
            </w:pPr>
            <w:r w:rsidRPr="00871B66">
              <w:rPr>
                <w:rFonts w:eastAsia="Times New Roman" w:cs="Calibri"/>
                <w:color w:val="000000"/>
                <w:lang w:val="en-AU" w:eastAsia="en-AU"/>
              </w:rPr>
              <w:t>ED5 findings</w:t>
            </w:r>
          </w:p>
        </w:tc>
      </w:tr>
      <w:tr w:rsidR="009C5DA1" w:rsidRPr="00871B66" w14:paraId="69A940CA" w14:textId="77777777" w:rsidTr="007F5E0C">
        <w:trPr>
          <w:trHeight w:val="1983"/>
        </w:trPr>
        <w:tc>
          <w:tcPr>
            <w:tcW w:w="1124" w:type="dxa"/>
            <w:vMerge w:val="restart"/>
            <w:tcBorders>
              <w:top w:val="nil"/>
              <w:left w:val="single" w:sz="8" w:space="0" w:color="000000"/>
              <w:right w:val="single" w:sz="8" w:space="0" w:color="000000"/>
            </w:tcBorders>
            <w:shd w:val="clear" w:color="000000" w:fill="D9D9D9"/>
            <w:vAlign w:val="center"/>
            <w:hideMark/>
          </w:tcPr>
          <w:p w14:paraId="7BE6760E" w14:textId="77777777" w:rsidR="009C5DA1" w:rsidRPr="00871B66" w:rsidRDefault="009C5DA1" w:rsidP="00652E41">
            <w:pPr>
              <w:widowControl/>
              <w:autoSpaceDE/>
              <w:autoSpaceDN/>
              <w:jc w:val="center"/>
              <w:rPr>
                <w:rFonts w:eastAsia="Times New Roman" w:cs="Calibri"/>
                <w:color w:val="000000"/>
                <w:sz w:val="24"/>
                <w:szCs w:val="24"/>
                <w:lang w:val="en-AU" w:eastAsia="en-AU"/>
              </w:rPr>
            </w:pPr>
            <w:r w:rsidRPr="00871B66">
              <w:rPr>
                <w:rFonts w:eastAsia="Times New Roman" w:cs="Calibri"/>
                <w:color w:val="000000"/>
                <w:sz w:val="24"/>
                <w:szCs w:val="24"/>
                <w:lang w:val="en-AU" w:eastAsia="en-AU"/>
              </w:rPr>
              <w:t xml:space="preserve">Total number of employees referred to in the COI report </w:t>
            </w:r>
            <w:r w:rsidRPr="00871B66">
              <w:rPr>
                <w:rFonts w:eastAsia="Times New Roman" w:cs="Calibri"/>
                <w:color w:val="000000"/>
                <w:sz w:val="24"/>
                <w:szCs w:val="24"/>
                <w:vertAlign w:val="superscript"/>
                <w:lang w:val="en-AU" w:eastAsia="en-AU"/>
              </w:rPr>
              <w:t>1</w:t>
            </w:r>
          </w:p>
          <w:p w14:paraId="62204806" w14:textId="534BFC88" w:rsidR="009C5DA1" w:rsidRPr="00871B66" w:rsidRDefault="009C5DA1" w:rsidP="00652E41">
            <w:pPr>
              <w:widowControl/>
              <w:autoSpaceDE/>
              <w:autoSpaceDN/>
              <w:jc w:val="center"/>
              <w:rPr>
                <w:rFonts w:eastAsia="Times New Roman" w:cs="Calibri"/>
                <w:color w:val="000000"/>
                <w:sz w:val="24"/>
                <w:szCs w:val="24"/>
                <w:lang w:val="en-AU" w:eastAsia="en-AU"/>
              </w:rPr>
            </w:pPr>
            <w:r w:rsidRPr="00871B66">
              <w:rPr>
                <w:rFonts w:eastAsia="Times New Roman" w:cs="Calibri"/>
                <w:color w:val="000000"/>
                <w:lang w:val="en-AU" w:eastAsia="en-AU"/>
              </w:rPr>
              <w:t> </w:t>
            </w: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0B77F489" w14:textId="77777777" w:rsidR="009C5DA1" w:rsidRPr="00871B66" w:rsidRDefault="009C5DA1" w:rsidP="00652E41">
            <w:pPr>
              <w:widowControl/>
              <w:autoSpaceDE/>
              <w:autoSpaceDN/>
              <w:rPr>
                <w:rFonts w:eastAsia="Times New Roman" w:cs="Calibri"/>
                <w:color w:val="000000"/>
                <w:lang w:val="en-AU" w:eastAsia="en-AU"/>
              </w:rPr>
            </w:pPr>
          </w:p>
        </w:tc>
        <w:tc>
          <w:tcPr>
            <w:tcW w:w="1148" w:type="dxa"/>
            <w:vMerge/>
            <w:tcBorders>
              <w:top w:val="single" w:sz="8" w:space="0" w:color="000000"/>
              <w:left w:val="single" w:sz="8" w:space="0" w:color="000000"/>
              <w:bottom w:val="single" w:sz="8" w:space="0" w:color="000000"/>
              <w:right w:val="single" w:sz="8" w:space="0" w:color="auto"/>
            </w:tcBorders>
            <w:vAlign w:val="center"/>
            <w:hideMark/>
          </w:tcPr>
          <w:p w14:paraId="13ECE3E5" w14:textId="77777777" w:rsidR="009C5DA1" w:rsidRPr="00871B66" w:rsidRDefault="009C5DA1" w:rsidP="00652E41">
            <w:pPr>
              <w:widowControl/>
              <w:autoSpaceDE/>
              <w:autoSpaceDN/>
              <w:rPr>
                <w:rFonts w:eastAsia="Times New Roman" w:cs="Calibri"/>
                <w:color w:val="000000"/>
                <w:lang w:val="en-AU" w:eastAsia="en-AU"/>
              </w:rPr>
            </w:pPr>
          </w:p>
        </w:tc>
        <w:tc>
          <w:tcPr>
            <w:tcW w:w="1306" w:type="dxa"/>
            <w:vMerge/>
            <w:tcBorders>
              <w:top w:val="single" w:sz="8" w:space="0" w:color="000000"/>
              <w:left w:val="single" w:sz="8" w:space="0" w:color="auto"/>
              <w:bottom w:val="single" w:sz="8" w:space="0" w:color="000000"/>
              <w:right w:val="single" w:sz="8" w:space="0" w:color="auto"/>
            </w:tcBorders>
            <w:vAlign w:val="center"/>
            <w:hideMark/>
          </w:tcPr>
          <w:p w14:paraId="01EF7D8B" w14:textId="77777777" w:rsidR="009C5DA1" w:rsidRPr="00871B66" w:rsidRDefault="009C5DA1" w:rsidP="00652E41">
            <w:pPr>
              <w:widowControl/>
              <w:autoSpaceDE/>
              <w:autoSpaceDN/>
              <w:rPr>
                <w:rFonts w:eastAsia="Times New Roman" w:cs="Calibri"/>
                <w:color w:val="000000"/>
                <w:lang w:val="en-AU" w:eastAsia="en-AU"/>
              </w:rPr>
            </w:pPr>
          </w:p>
        </w:tc>
        <w:tc>
          <w:tcPr>
            <w:tcW w:w="1306" w:type="dxa"/>
            <w:vMerge/>
            <w:tcBorders>
              <w:top w:val="single" w:sz="8" w:space="0" w:color="000000"/>
              <w:left w:val="single" w:sz="8" w:space="0" w:color="auto"/>
              <w:bottom w:val="single" w:sz="8" w:space="0" w:color="000000"/>
              <w:right w:val="single" w:sz="12" w:space="0" w:color="auto"/>
            </w:tcBorders>
            <w:vAlign w:val="center"/>
            <w:hideMark/>
          </w:tcPr>
          <w:p w14:paraId="5BAFFD8F" w14:textId="77777777" w:rsidR="009C5DA1" w:rsidRPr="00871B66" w:rsidRDefault="009C5DA1" w:rsidP="00652E41">
            <w:pPr>
              <w:widowControl/>
              <w:autoSpaceDE/>
              <w:autoSpaceDN/>
              <w:rPr>
                <w:rFonts w:eastAsia="Times New Roman" w:cs="Calibri"/>
                <w:color w:val="000000"/>
                <w:lang w:val="en-AU" w:eastAsia="en-AU"/>
              </w:rPr>
            </w:pPr>
          </w:p>
        </w:tc>
        <w:tc>
          <w:tcPr>
            <w:tcW w:w="2195" w:type="dxa"/>
            <w:gridSpan w:val="2"/>
            <w:vMerge/>
            <w:tcBorders>
              <w:top w:val="single" w:sz="8" w:space="0" w:color="000000"/>
              <w:left w:val="single" w:sz="12" w:space="0" w:color="auto"/>
              <w:bottom w:val="single" w:sz="8" w:space="0" w:color="000000"/>
              <w:right w:val="single" w:sz="8" w:space="0" w:color="000000"/>
            </w:tcBorders>
            <w:vAlign w:val="center"/>
            <w:hideMark/>
          </w:tcPr>
          <w:p w14:paraId="099F3C68" w14:textId="77777777" w:rsidR="009C5DA1" w:rsidRPr="00871B66" w:rsidRDefault="009C5DA1" w:rsidP="00652E41">
            <w:pPr>
              <w:widowControl/>
              <w:autoSpaceDE/>
              <w:autoSpaceDN/>
              <w:rPr>
                <w:rFonts w:eastAsia="Times New Roman" w:cs="Calibri"/>
                <w:color w:val="000000"/>
                <w:lang w:val="en-AU" w:eastAsia="en-AU"/>
              </w:rPr>
            </w:pPr>
          </w:p>
        </w:tc>
        <w:tc>
          <w:tcPr>
            <w:tcW w:w="803" w:type="dxa"/>
            <w:vMerge/>
            <w:tcBorders>
              <w:top w:val="single" w:sz="8" w:space="0" w:color="000000"/>
              <w:left w:val="single" w:sz="8" w:space="0" w:color="000000"/>
              <w:bottom w:val="single" w:sz="8" w:space="0" w:color="000000"/>
              <w:right w:val="single" w:sz="8" w:space="0" w:color="000000"/>
            </w:tcBorders>
            <w:vAlign w:val="center"/>
            <w:hideMark/>
          </w:tcPr>
          <w:p w14:paraId="3CDD2A03" w14:textId="77777777" w:rsidR="009C5DA1" w:rsidRPr="00871B66" w:rsidRDefault="009C5DA1" w:rsidP="00652E41">
            <w:pPr>
              <w:widowControl/>
              <w:autoSpaceDE/>
              <w:autoSpaceDN/>
              <w:rPr>
                <w:rFonts w:eastAsia="Times New Roman" w:cs="Calibri"/>
                <w:color w:val="000000"/>
                <w:lang w:val="en-AU" w:eastAsia="en-AU"/>
              </w:rPr>
            </w:pPr>
          </w:p>
        </w:tc>
        <w:tc>
          <w:tcPr>
            <w:tcW w:w="1289" w:type="dxa"/>
            <w:vMerge/>
            <w:tcBorders>
              <w:top w:val="single" w:sz="8" w:space="0" w:color="000000"/>
              <w:left w:val="single" w:sz="8" w:space="0" w:color="000000"/>
              <w:bottom w:val="single" w:sz="8" w:space="0" w:color="000000"/>
              <w:right w:val="single" w:sz="8" w:space="0" w:color="000000"/>
            </w:tcBorders>
            <w:vAlign w:val="center"/>
            <w:hideMark/>
          </w:tcPr>
          <w:p w14:paraId="0BA192D4" w14:textId="77777777" w:rsidR="009C5DA1" w:rsidRPr="00871B66" w:rsidRDefault="009C5DA1" w:rsidP="00652E41">
            <w:pPr>
              <w:widowControl/>
              <w:autoSpaceDE/>
              <w:autoSpaceDN/>
              <w:rPr>
                <w:rFonts w:eastAsia="Times New Roman" w:cs="Calibri"/>
                <w:color w:val="000000"/>
                <w:lang w:val="en-AU" w:eastAsia="en-AU"/>
              </w:rPr>
            </w:pPr>
          </w:p>
        </w:tc>
        <w:tc>
          <w:tcPr>
            <w:tcW w:w="1177" w:type="dxa"/>
            <w:vMerge/>
            <w:tcBorders>
              <w:top w:val="single" w:sz="8" w:space="0" w:color="000000"/>
              <w:left w:val="single" w:sz="8" w:space="0" w:color="000000"/>
              <w:bottom w:val="single" w:sz="8" w:space="0" w:color="000000"/>
              <w:right w:val="single" w:sz="8" w:space="0" w:color="000000"/>
            </w:tcBorders>
            <w:vAlign w:val="center"/>
            <w:hideMark/>
          </w:tcPr>
          <w:p w14:paraId="508A8B68" w14:textId="77777777" w:rsidR="009C5DA1" w:rsidRPr="00871B66" w:rsidRDefault="009C5DA1" w:rsidP="00652E41">
            <w:pPr>
              <w:widowControl/>
              <w:autoSpaceDE/>
              <w:autoSpaceDN/>
              <w:rPr>
                <w:rFonts w:eastAsia="Times New Roman" w:cs="Calibri"/>
                <w:color w:val="000000"/>
                <w:lang w:val="en-AU" w:eastAsia="en-AU"/>
              </w:rPr>
            </w:pPr>
          </w:p>
        </w:tc>
        <w:tc>
          <w:tcPr>
            <w:tcW w:w="2186" w:type="dxa"/>
            <w:gridSpan w:val="2"/>
            <w:vMerge/>
            <w:tcBorders>
              <w:top w:val="single" w:sz="8" w:space="0" w:color="000000"/>
              <w:left w:val="single" w:sz="8" w:space="0" w:color="000000"/>
              <w:bottom w:val="single" w:sz="8" w:space="0" w:color="000000"/>
              <w:right w:val="single" w:sz="8" w:space="0" w:color="000000"/>
            </w:tcBorders>
            <w:vAlign w:val="center"/>
            <w:hideMark/>
          </w:tcPr>
          <w:p w14:paraId="6E12FE0E" w14:textId="77777777" w:rsidR="009C5DA1" w:rsidRPr="00871B66" w:rsidRDefault="009C5DA1" w:rsidP="00652E41">
            <w:pPr>
              <w:widowControl/>
              <w:autoSpaceDE/>
              <w:autoSpaceDN/>
              <w:rPr>
                <w:rFonts w:eastAsia="Times New Roman" w:cs="Calibri"/>
                <w:color w:val="000000"/>
                <w:lang w:val="en-AU" w:eastAsia="en-AU"/>
              </w:rPr>
            </w:pPr>
          </w:p>
        </w:tc>
      </w:tr>
      <w:tr w:rsidR="009C5DA1" w:rsidRPr="00871B66" w14:paraId="242D5C13" w14:textId="77777777" w:rsidTr="000D5287">
        <w:trPr>
          <w:trHeight w:val="2380"/>
        </w:trPr>
        <w:tc>
          <w:tcPr>
            <w:tcW w:w="1124" w:type="dxa"/>
            <w:vMerge/>
            <w:tcBorders>
              <w:left w:val="single" w:sz="8" w:space="0" w:color="000000"/>
              <w:bottom w:val="single" w:sz="8" w:space="0" w:color="000000"/>
              <w:right w:val="single" w:sz="8" w:space="0" w:color="000000"/>
            </w:tcBorders>
            <w:shd w:val="clear" w:color="000000" w:fill="D9D9D9"/>
            <w:vAlign w:val="center"/>
            <w:hideMark/>
          </w:tcPr>
          <w:p w14:paraId="1D278031" w14:textId="55D966F9" w:rsidR="009C5DA1" w:rsidRPr="00871B66" w:rsidRDefault="009C5DA1" w:rsidP="00652E41">
            <w:pPr>
              <w:widowControl/>
              <w:autoSpaceDE/>
              <w:autoSpaceDN/>
              <w:jc w:val="center"/>
              <w:rPr>
                <w:rFonts w:eastAsia="Times New Roman" w:cs="Calibri"/>
                <w:color w:val="000000"/>
                <w:lang w:val="en-AU" w:eastAsia="en-AU"/>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0F6DA67B" w14:textId="77777777" w:rsidR="009C5DA1" w:rsidRPr="00871B66" w:rsidRDefault="009C5DA1" w:rsidP="00652E41">
            <w:pPr>
              <w:widowControl/>
              <w:autoSpaceDE/>
              <w:autoSpaceDN/>
              <w:rPr>
                <w:rFonts w:eastAsia="Times New Roman" w:cs="Calibri"/>
                <w:color w:val="000000"/>
                <w:lang w:val="en-AU" w:eastAsia="en-AU"/>
              </w:rPr>
            </w:pPr>
          </w:p>
        </w:tc>
        <w:tc>
          <w:tcPr>
            <w:tcW w:w="1148" w:type="dxa"/>
            <w:vMerge/>
            <w:tcBorders>
              <w:top w:val="single" w:sz="8" w:space="0" w:color="000000"/>
              <w:left w:val="single" w:sz="8" w:space="0" w:color="000000"/>
              <w:bottom w:val="single" w:sz="8" w:space="0" w:color="000000"/>
              <w:right w:val="single" w:sz="8" w:space="0" w:color="auto"/>
            </w:tcBorders>
            <w:vAlign w:val="center"/>
            <w:hideMark/>
          </w:tcPr>
          <w:p w14:paraId="7C986584" w14:textId="77777777" w:rsidR="009C5DA1" w:rsidRPr="00871B66" w:rsidRDefault="009C5DA1" w:rsidP="00652E41">
            <w:pPr>
              <w:widowControl/>
              <w:autoSpaceDE/>
              <w:autoSpaceDN/>
              <w:rPr>
                <w:rFonts w:eastAsia="Times New Roman" w:cs="Calibri"/>
                <w:color w:val="000000"/>
                <w:lang w:val="en-AU" w:eastAsia="en-AU"/>
              </w:rPr>
            </w:pPr>
          </w:p>
        </w:tc>
        <w:tc>
          <w:tcPr>
            <w:tcW w:w="1306" w:type="dxa"/>
            <w:vMerge/>
            <w:tcBorders>
              <w:top w:val="single" w:sz="8" w:space="0" w:color="000000"/>
              <w:left w:val="single" w:sz="8" w:space="0" w:color="auto"/>
              <w:bottom w:val="single" w:sz="8" w:space="0" w:color="000000"/>
              <w:right w:val="single" w:sz="8" w:space="0" w:color="auto"/>
            </w:tcBorders>
            <w:vAlign w:val="center"/>
            <w:hideMark/>
          </w:tcPr>
          <w:p w14:paraId="7D7B78ED" w14:textId="77777777" w:rsidR="009C5DA1" w:rsidRPr="00871B66" w:rsidRDefault="009C5DA1" w:rsidP="00652E41">
            <w:pPr>
              <w:widowControl/>
              <w:autoSpaceDE/>
              <w:autoSpaceDN/>
              <w:rPr>
                <w:rFonts w:eastAsia="Times New Roman" w:cs="Calibri"/>
                <w:color w:val="000000"/>
                <w:lang w:val="en-AU" w:eastAsia="en-AU"/>
              </w:rPr>
            </w:pPr>
          </w:p>
        </w:tc>
        <w:tc>
          <w:tcPr>
            <w:tcW w:w="1306" w:type="dxa"/>
            <w:vMerge/>
            <w:tcBorders>
              <w:top w:val="single" w:sz="8" w:space="0" w:color="000000"/>
              <w:left w:val="single" w:sz="8" w:space="0" w:color="auto"/>
              <w:bottom w:val="single" w:sz="8" w:space="0" w:color="000000"/>
              <w:right w:val="single" w:sz="12" w:space="0" w:color="auto"/>
            </w:tcBorders>
            <w:vAlign w:val="center"/>
            <w:hideMark/>
          </w:tcPr>
          <w:p w14:paraId="04DB2598" w14:textId="77777777" w:rsidR="009C5DA1" w:rsidRPr="00871B66" w:rsidRDefault="009C5DA1" w:rsidP="00652E41">
            <w:pPr>
              <w:widowControl/>
              <w:autoSpaceDE/>
              <w:autoSpaceDN/>
              <w:rPr>
                <w:rFonts w:eastAsia="Times New Roman" w:cs="Calibri"/>
                <w:color w:val="000000"/>
                <w:lang w:val="en-AU" w:eastAsia="en-AU"/>
              </w:rPr>
            </w:pPr>
          </w:p>
        </w:tc>
        <w:tc>
          <w:tcPr>
            <w:tcW w:w="1110" w:type="dxa"/>
            <w:tcBorders>
              <w:top w:val="nil"/>
              <w:left w:val="nil"/>
              <w:bottom w:val="single" w:sz="8" w:space="0" w:color="000000"/>
              <w:right w:val="single" w:sz="8" w:space="0" w:color="000000"/>
            </w:tcBorders>
            <w:shd w:val="clear" w:color="000000" w:fill="D9D9D9"/>
            <w:vAlign w:val="center"/>
            <w:hideMark/>
          </w:tcPr>
          <w:p w14:paraId="663DF7AE" w14:textId="77777777" w:rsidR="009C5DA1" w:rsidRPr="00871B66" w:rsidRDefault="009C5DA1" w:rsidP="00652E41">
            <w:pPr>
              <w:widowControl/>
              <w:autoSpaceDE/>
              <w:autoSpaceDN/>
              <w:jc w:val="center"/>
              <w:rPr>
                <w:rFonts w:eastAsia="Times New Roman" w:cs="Calibri"/>
                <w:color w:val="000000"/>
                <w:lang w:val="en-AU" w:eastAsia="en-AU"/>
              </w:rPr>
            </w:pPr>
            <w:r w:rsidRPr="00871B66">
              <w:rPr>
                <w:rFonts w:eastAsia="Times New Roman" w:cs="Calibri"/>
                <w:color w:val="000000"/>
                <w:lang w:val="en-AU" w:eastAsia="en-AU"/>
              </w:rPr>
              <w:t>Underway</w:t>
            </w:r>
          </w:p>
        </w:tc>
        <w:tc>
          <w:tcPr>
            <w:tcW w:w="1085" w:type="dxa"/>
            <w:tcBorders>
              <w:top w:val="nil"/>
              <w:left w:val="nil"/>
              <w:bottom w:val="single" w:sz="8" w:space="0" w:color="000000"/>
              <w:right w:val="single" w:sz="8" w:space="0" w:color="000000"/>
            </w:tcBorders>
            <w:shd w:val="clear" w:color="000000" w:fill="D9D9D9"/>
            <w:vAlign w:val="center"/>
            <w:hideMark/>
          </w:tcPr>
          <w:p w14:paraId="7253C8A4" w14:textId="77777777" w:rsidR="009C5DA1" w:rsidRPr="00871B66" w:rsidRDefault="009C5DA1" w:rsidP="00652E41">
            <w:pPr>
              <w:widowControl/>
              <w:autoSpaceDE/>
              <w:autoSpaceDN/>
              <w:jc w:val="center"/>
              <w:rPr>
                <w:rFonts w:eastAsia="Times New Roman" w:cs="Calibri"/>
                <w:color w:val="000000"/>
                <w:lang w:val="en-AU" w:eastAsia="en-AU"/>
              </w:rPr>
            </w:pPr>
            <w:r w:rsidRPr="00871B66">
              <w:rPr>
                <w:rFonts w:eastAsia="Times New Roman" w:cs="Calibri"/>
                <w:color w:val="000000"/>
                <w:lang w:val="en-AU" w:eastAsia="en-AU"/>
              </w:rPr>
              <w:t>Complete</w:t>
            </w:r>
          </w:p>
        </w:tc>
        <w:tc>
          <w:tcPr>
            <w:tcW w:w="803" w:type="dxa"/>
            <w:vMerge/>
            <w:tcBorders>
              <w:top w:val="single" w:sz="8" w:space="0" w:color="000000"/>
              <w:left w:val="single" w:sz="8" w:space="0" w:color="000000"/>
              <w:bottom w:val="single" w:sz="8" w:space="0" w:color="000000"/>
              <w:right w:val="single" w:sz="8" w:space="0" w:color="000000"/>
            </w:tcBorders>
            <w:vAlign w:val="center"/>
            <w:hideMark/>
          </w:tcPr>
          <w:p w14:paraId="13453424" w14:textId="77777777" w:rsidR="009C5DA1" w:rsidRPr="00871B66" w:rsidRDefault="009C5DA1" w:rsidP="00652E41">
            <w:pPr>
              <w:widowControl/>
              <w:autoSpaceDE/>
              <w:autoSpaceDN/>
              <w:rPr>
                <w:rFonts w:eastAsia="Times New Roman" w:cs="Calibri"/>
                <w:color w:val="000000"/>
                <w:lang w:val="en-AU" w:eastAsia="en-AU"/>
              </w:rPr>
            </w:pPr>
          </w:p>
        </w:tc>
        <w:tc>
          <w:tcPr>
            <w:tcW w:w="1289" w:type="dxa"/>
            <w:vMerge/>
            <w:tcBorders>
              <w:top w:val="single" w:sz="8" w:space="0" w:color="000000"/>
              <w:left w:val="single" w:sz="8" w:space="0" w:color="000000"/>
              <w:bottom w:val="single" w:sz="8" w:space="0" w:color="000000"/>
              <w:right w:val="single" w:sz="8" w:space="0" w:color="000000"/>
            </w:tcBorders>
            <w:vAlign w:val="center"/>
            <w:hideMark/>
          </w:tcPr>
          <w:p w14:paraId="60EE0698" w14:textId="77777777" w:rsidR="009C5DA1" w:rsidRPr="00871B66" w:rsidRDefault="009C5DA1" w:rsidP="00652E41">
            <w:pPr>
              <w:widowControl/>
              <w:autoSpaceDE/>
              <w:autoSpaceDN/>
              <w:rPr>
                <w:rFonts w:eastAsia="Times New Roman" w:cs="Calibri"/>
                <w:color w:val="000000"/>
                <w:lang w:val="en-AU" w:eastAsia="en-AU"/>
              </w:rPr>
            </w:pPr>
          </w:p>
        </w:tc>
        <w:tc>
          <w:tcPr>
            <w:tcW w:w="1177" w:type="dxa"/>
            <w:vMerge/>
            <w:tcBorders>
              <w:top w:val="single" w:sz="8" w:space="0" w:color="000000"/>
              <w:left w:val="single" w:sz="8" w:space="0" w:color="000000"/>
              <w:bottom w:val="single" w:sz="8" w:space="0" w:color="000000"/>
              <w:right w:val="single" w:sz="8" w:space="0" w:color="000000"/>
            </w:tcBorders>
            <w:vAlign w:val="center"/>
            <w:hideMark/>
          </w:tcPr>
          <w:p w14:paraId="267FD3EE" w14:textId="77777777" w:rsidR="009C5DA1" w:rsidRPr="00871B66" w:rsidRDefault="009C5DA1" w:rsidP="00652E41">
            <w:pPr>
              <w:widowControl/>
              <w:autoSpaceDE/>
              <w:autoSpaceDN/>
              <w:rPr>
                <w:rFonts w:eastAsia="Times New Roman" w:cs="Calibri"/>
                <w:color w:val="000000"/>
                <w:lang w:val="en-AU" w:eastAsia="en-AU"/>
              </w:rPr>
            </w:pPr>
          </w:p>
        </w:tc>
        <w:tc>
          <w:tcPr>
            <w:tcW w:w="1215" w:type="dxa"/>
            <w:tcBorders>
              <w:top w:val="nil"/>
              <w:left w:val="nil"/>
              <w:bottom w:val="single" w:sz="8" w:space="0" w:color="000000"/>
              <w:right w:val="single" w:sz="8" w:space="0" w:color="000000"/>
            </w:tcBorders>
            <w:shd w:val="clear" w:color="000000" w:fill="D9D9D9"/>
            <w:vAlign w:val="center"/>
            <w:hideMark/>
          </w:tcPr>
          <w:p w14:paraId="10F21BB8" w14:textId="4A3BF0B2" w:rsidR="009C5DA1" w:rsidRPr="00871B66" w:rsidRDefault="00D12676" w:rsidP="00652E41">
            <w:pPr>
              <w:widowControl/>
              <w:autoSpaceDE/>
              <w:autoSpaceDN/>
              <w:jc w:val="center"/>
              <w:rPr>
                <w:rFonts w:eastAsia="Times New Roman" w:cs="Calibri"/>
                <w:color w:val="000000"/>
                <w:lang w:val="en-AU" w:eastAsia="en-AU"/>
              </w:rPr>
            </w:pPr>
            <w:r w:rsidRPr="00652E41">
              <w:rPr>
                <w:rFonts w:eastAsia="Times New Roman" w:cs="Calibri"/>
                <w:color w:val="000000"/>
                <w:lang w:val="en-AU" w:eastAsia="en-AU"/>
              </w:rPr>
              <w:t>Breach of Code of Conduct found</w:t>
            </w:r>
            <w:r>
              <w:rPr>
                <w:rFonts w:eastAsia="Times New Roman" w:cs="Calibri"/>
                <w:color w:val="000000"/>
                <w:lang w:val="en-AU" w:eastAsia="en-AU"/>
              </w:rPr>
              <w:t xml:space="preserve"> in relation to child sexual abuse and </w:t>
            </w:r>
            <w:r w:rsidRPr="00652E41">
              <w:rPr>
                <w:rFonts w:eastAsia="Times New Roman" w:cs="Calibri"/>
                <w:color w:val="000000"/>
                <w:lang w:val="en-AU" w:eastAsia="en-AU"/>
              </w:rPr>
              <w:t xml:space="preserve">sanction </w:t>
            </w:r>
            <w:r w:rsidRPr="008B5407">
              <w:rPr>
                <w:rFonts w:eastAsia="Times New Roman" w:cs="Calibri"/>
                <w:color w:val="000000"/>
                <w:lang w:val="en-AU" w:eastAsia="en-AU"/>
              </w:rPr>
              <w:t>determined</w:t>
            </w:r>
          </w:p>
        </w:tc>
        <w:tc>
          <w:tcPr>
            <w:tcW w:w="971" w:type="dxa"/>
            <w:tcBorders>
              <w:top w:val="nil"/>
              <w:left w:val="nil"/>
              <w:bottom w:val="single" w:sz="8" w:space="0" w:color="000000"/>
              <w:right w:val="single" w:sz="8" w:space="0" w:color="000000"/>
            </w:tcBorders>
            <w:shd w:val="clear" w:color="000000" w:fill="D9D9D9"/>
            <w:vAlign w:val="center"/>
            <w:hideMark/>
          </w:tcPr>
          <w:p w14:paraId="331E158C" w14:textId="50B9BA6F" w:rsidR="009C5DA1" w:rsidRPr="00871B66" w:rsidRDefault="00161CFC" w:rsidP="00652E41">
            <w:pPr>
              <w:widowControl/>
              <w:autoSpaceDE/>
              <w:autoSpaceDN/>
              <w:jc w:val="center"/>
              <w:rPr>
                <w:rFonts w:eastAsia="Times New Roman" w:cs="Calibri"/>
                <w:color w:val="000000"/>
                <w:lang w:val="en-AU" w:eastAsia="en-AU"/>
              </w:rPr>
            </w:pPr>
            <w:r w:rsidRPr="00652E41">
              <w:rPr>
                <w:rFonts w:eastAsia="Times New Roman" w:cs="Calibri"/>
                <w:color w:val="000000"/>
                <w:lang w:val="en-AU" w:eastAsia="en-AU"/>
              </w:rPr>
              <w:t>No breach of Code of Conduct</w:t>
            </w:r>
            <w:r>
              <w:rPr>
                <w:rFonts w:eastAsia="Times New Roman" w:cs="Calibri"/>
                <w:color w:val="000000"/>
                <w:lang w:val="en-AU" w:eastAsia="en-AU"/>
              </w:rPr>
              <w:t xml:space="preserve"> in relation to child sexual abuse</w:t>
            </w:r>
          </w:p>
        </w:tc>
      </w:tr>
      <w:tr w:rsidR="00652E41" w:rsidRPr="00652E41" w14:paraId="1EA54A39" w14:textId="77777777" w:rsidTr="009A1B22">
        <w:trPr>
          <w:trHeight w:val="960"/>
        </w:trPr>
        <w:tc>
          <w:tcPr>
            <w:tcW w:w="1124" w:type="dxa"/>
            <w:tcBorders>
              <w:top w:val="nil"/>
              <w:left w:val="single" w:sz="8" w:space="0" w:color="000000"/>
              <w:bottom w:val="single" w:sz="8" w:space="0" w:color="000000"/>
              <w:right w:val="single" w:sz="8" w:space="0" w:color="000000"/>
            </w:tcBorders>
            <w:shd w:val="clear" w:color="000000" w:fill="FFFFFF"/>
            <w:vAlign w:val="center"/>
            <w:hideMark/>
          </w:tcPr>
          <w:p w14:paraId="32FF9D57" w14:textId="493409A1" w:rsidR="006A2856" w:rsidRDefault="00652E41" w:rsidP="006A2856">
            <w:pPr>
              <w:widowControl/>
              <w:autoSpaceDE/>
              <w:autoSpaceDN/>
              <w:jc w:val="center"/>
              <w:rPr>
                <w:rFonts w:eastAsia="Times New Roman" w:cs="Calibri"/>
                <w:color w:val="000000"/>
                <w:sz w:val="24"/>
                <w:szCs w:val="24"/>
                <w:lang w:val="en-AU" w:eastAsia="en-AU"/>
              </w:rPr>
            </w:pPr>
            <w:r w:rsidRPr="00871B66">
              <w:rPr>
                <w:rFonts w:eastAsia="Times New Roman" w:cs="Calibri"/>
                <w:color w:val="000000"/>
                <w:sz w:val="24"/>
                <w:szCs w:val="24"/>
                <w:lang w:val="en-AU" w:eastAsia="en-AU"/>
              </w:rPr>
              <w:t>TSS tota</w:t>
            </w:r>
            <w:r w:rsidR="00384B4A">
              <w:rPr>
                <w:rFonts w:eastAsia="Times New Roman" w:cs="Calibri"/>
                <w:color w:val="000000"/>
                <w:sz w:val="24"/>
                <w:szCs w:val="24"/>
                <w:lang w:val="en-AU" w:eastAsia="en-AU"/>
              </w:rPr>
              <w:t xml:space="preserve">l </w:t>
            </w:r>
            <w:r w:rsidR="00362DBA">
              <w:rPr>
                <w:rFonts w:eastAsia="Times New Roman" w:cs="Calibri"/>
                <w:color w:val="000000"/>
                <w:sz w:val="24"/>
                <w:szCs w:val="24"/>
                <w:lang w:val="en-AU" w:eastAsia="en-AU"/>
              </w:rPr>
              <w:t>22</w:t>
            </w:r>
          </w:p>
          <w:p w14:paraId="3994D03A" w14:textId="463FEC3D" w:rsidR="00652E41" w:rsidRPr="00871B66" w:rsidRDefault="00652E41" w:rsidP="006A2856">
            <w:pPr>
              <w:widowControl/>
              <w:autoSpaceDE/>
              <w:autoSpaceDN/>
              <w:jc w:val="center"/>
              <w:rPr>
                <w:rFonts w:eastAsia="Times New Roman" w:cs="Calibri"/>
                <w:color w:val="000000"/>
                <w:sz w:val="24"/>
                <w:szCs w:val="24"/>
                <w:lang w:val="en-AU" w:eastAsia="en-AU"/>
              </w:rPr>
            </w:pPr>
          </w:p>
        </w:tc>
        <w:tc>
          <w:tcPr>
            <w:tcW w:w="1418" w:type="dxa"/>
            <w:tcBorders>
              <w:top w:val="nil"/>
              <w:left w:val="nil"/>
              <w:bottom w:val="single" w:sz="8" w:space="0" w:color="000000"/>
              <w:right w:val="single" w:sz="8" w:space="0" w:color="000000"/>
            </w:tcBorders>
            <w:shd w:val="clear" w:color="000000" w:fill="FFFFFF"/>
            <w:vAlign w:val="center"/>
          </w:tcPr>
          <w:p w14:paraId="1D05075B" w14:textId="2D1E3274" w:rsidR="00652E41" w:rsidRPr="00871B66" w:rsidRDefault="000C7CEC" w:rsidP="006A2856">
            <w:pPr>
              <w:widowControl/>
              <w:autoSpaceDE/>
              <w:autoSpaceDN/>
              <w:jc w:val="center"/>
              <w:rPr>
                <w:rFonts w:eastAsia="Times New Roman" w:cs="Calibri"/>
                <w:color w:val="000000"/>
                <w:sz w:val="24"/>
                <w:szCs w:val="24"/>
                <w:lang w:val="en-AU" w:eastAsia="en-AU"/>
              </w:rPr>
            </w:pPr>
            <w:r>
              <w:rPr>
                <w:rFonts w:eastAsia="Times New Roman" w:cs="Calibri"/>
                <w:color w:val="000000"/>
                <w:sz w:val="24"/>
                <w:szCs w:val="24"/>
                <w:lang w:val="en-AU" w:eastAsia="en-AU"/>
              </w:rPr>
              <w:t>15</w:t>
            </w:r>
          </w:p>
        </w:tc>
        <w:tc>
          <w:tcPr>
            <w:tcW w:w="1148" w:type="dxa"/>
            <w:tcBorders>
              <w:top w:val="nil"/>
              <w:left w:val="nil"/>
              <w:bottom w:val="single" w:sz="8" w:space="0" w:color="000000"/>
              <w:right w:val="single" w:sz="8" w:space="0" w:color="auto"/>
            </w:tcBorders>
            <w:shd w:val="clear" w:color="000000" w:fill="FFFFFF"/>
            <w:vAlign w:val="center"/>
          </w:tcPr>
          <w:p w14:paraId="64F7F012" w14:textId="7A825604" w:rsidR="00652E41" w:rsidRPr="00871B66" w:rsidRDefault="000C7CEC" w:rsidP="006A2856">
            <w:pPr>
              <w:widowControl/>
              <w:autoSpaceDE/>
              <w:autoSpaceDN/>
              <w:jc w:val="center"/>
              <w:rPr>
                <w:rFonts w:eastAsia="Times New Roman" w:cs="Calibri"/>
                <w:color w:val="000000"/>
                <w:sz w:val="24"/>
                <w:szCs w:val="24"/>
                <w:lang w:val="en-AU" w:eastAsia="en-AU"/>
              </w:rPr>
            </w:pPr>
            <w:r>
              <w:rPr>
                <w:rFonts w:eastAsia="Times New Roman" w:cs="Calibri"/>
                <w:color w:val="000000"/>
                <w:sz w:val="24"/>
                <w:szCs w:val="24"/>
                <w:lang w:val="en-AU" w:eastAsia="en-AU"/>
              </w:rPr>
              <w:t>7</w:t>
            </w:r>
          </w:p>
        </w:tc>
        <w:tc>
          <w:tcPr>
            <w:tcW w:w="1306" w:type="dxa"/>
            <w:tcBorders>
              <w:top w:val="nil"/>
              <w:left w:val="nil"/>
              <w:bottom w:val="single" w:sz="8" w:space="0" w:color="000000"/>
              <w:right w:val="single" w:sz="8" w:space="0" w:color="auto"/>
            </w:tcBorders>
            <w:shd w:val="clear" w:color="000000" w:fill="FFFFFF"/>
            <w:vAlign w:val="center"/>
          </w:tcPr>
          <w:p w14:paraId="16C1BD5B" w14:textId="082FD351" w:rsidR="00652E41" w:rsidRPr="00871B66" w:rsidRDefault="000C7CEC" w:rsidP="006A2856">
            <w:pPr>
              <w:widowControl/>
              <w:autoSpaceDE/>
              <w:autoSpaceDN/>
              <w:jc w:val="center"/>
              <w:rPr>
                <w:rFonts w:eastAsia="Times New Roman" w:cs="Calibri"/>
                <w:color w:val="000000"/>
                <w:sz w:val="24"/>
                <w:szCs w:val="24"/>
                <w:lang w:val="en-AU" w:eastAsia="en-AU"/>
              </w:rPr>
            </w:pPr>
            <w:r>
              <w:rPr>
                <w:rFonts w:eastAsia="Times New Roman" w:cs="Calibri"/>
                <w:color w:val="000000"/>
                <w:sz w:val="24"/>
                <w:szCs w:val="24"/>
                <w:lang w:val="en-AU" w:eastAsia="en-AU"/>
              </w:rPr>
              <w:t>21</w:t>
            </w:r>
          </w:p>
        </w:tc>
        <w:tc>
          <w:tcPr>
            <w:tcW w:w="1306" w:type="dxa"/>
            <w:tcBorders>
              <w:top w:val="nil"/>
              <w:left w:val="nil"/>
              <w:bottom w:val="single" w:sz="8" w:space="0" w:color="000000"/>
              <w:right w:val="single" w:sz="12" w:space="0" w:color="auto"/>
            </w:tcBorders>
            <w:shd w:val="clear" w:color="000000" w:fill="FFFFFF"/>
            <w:vAlign w:val="center"/>
          </w:tcPr>
          <w:p w14:paraId="218A053B" w14:textId="0E6ED622" w:rsidR="00652E41" w:rsidRPr="00871B66" w:rsidRDefault="001B638D" w:rsidP="006A2856">
            <w:pPr>
              <w:widowControl/>
              <w:autoSpaceDE/>
              <w:autoSpaceDN/>
              <w:jc w:val="center"/>
              <w:rPr>
                <w:rFonts w:eastAsia="Times New Roman" w:cs="Calibri"/>
                <w:color w:val="000000"/>
                <w:sz w:val="24"/>
                <w:szCs w:val="24"/>
                <w:lang w:val="en-AU" w:eastAsia="en-AU"/>
              </w:rPr>
            </w:pPr>
            <w:r>
              <w:rPr>
                <w:rFonts w:eastAsia="Times New Roman" w:cs="Calibri"/>
                <w:color w:val="000000"/>
                <w:sz w:val="24"/>
                <w:szCs w:val="24"/>
                <w:lang w:val="en-AU" w:eastAsia="en-AU"/>
              </w:rPr>
              <w:t>22</w:t>
            </w:r>
          </w:p>
        </w:tc>
        <w:tc>
          <w:tcPr>
            <w:tcW w:w="1110" w:type="dxa"/>
            <w:tcBorders>
              <w:top w:val="nil"/>
              <w:left w:val="nil"/>
              <w:bottom w:val="single" w:sz="8" w:space="0" w:color="000000"/>
              <w:right w:val="single" w:sz="8" w:space="0" w:color="000000"/>
            </w:tcBorders>
            <w:shd w:val="clear" w:color="000000" w:fill="FFFFFF"/>
            <w:vAlign w:val="center"/>
          </w:tcPr>
          <w:p w14:paraId="46F7729D" w14:textId="4D198F12" w:rsidR="00652E41" w:rsidRPr="00871B66" w:rsidRDefault="001B638D" w:rsidP="006A2856">
            <w:pPr>
              <w:widowControl/>
              <w:autoSpaceDE/>
              <w:autoSpaceDN/>
              <w:jc w:val="center"/>
              <w:rPr>
                <w:rFonts w:eastAsia="Times New Roman" w:cs="Calibri"/>
                <w:color w:val="000000"/>
                <w:sz w:val="24"/>
                <w:szCs w:val="24"/>
                <w:lang w:val="en-AU" w:eastAsia="en-AU"/>
              </w:rPr>
            </w:pPr>
            <w:r>
              <w:rPr>
                <w:rFonts w:eastAsia="Times New Roman" w:cs="Calibri"/>
                <w:color w:val="000000"/>
                <w:sz w:val="24"/>
                <w:szCs w:val="24"/>
                <w:lang w:val="en-AU" w:eastAsia="en-AU"/>
              </w:rPr>
              <w:t>2</w:t>
            </w:r>
          </w:p>
        </w:tc>
        <w:tc>
          <w:tcPr>
            <w:tcW w:w="1085" w:type="dxa"/>
            <w:tcBorders>
              <w:top w:val="nil"/>
              <w:left w:val="nil"/>
              <w:bottom w:val="single" w:sz="8" w:space="0" w:color="000000"/>
              <w:right w:val="single" w:sz="8" w:space="0" w:color="000000"/>
            </w:tcBorders>
            <w:shd w:val="clear" w:color="000000" w:fill="FFFFFF"/>
            <w:vAlign w:val="center"/>
          </w:tcPr>
          <w:p w14:paraId="1DF4C422" w14:textId="5A103CAC" w:rsidR="00652E41" w:rsidRPr="00871B66" w:rsidRDefault="001B638D" w:rsidP="006A2856">
            <w:pPr>
              <w:widowControl/>
              <w:autoSpaceDE/>
              <w:autoSpaceDN/>
              <w:jc w:val="center"/>
              <w:rPr>
                <w:rFonts w:eastAsia="Times New Roman" w:cs="Calibri"/>
                <w:color w:val="000000"/>
                <w:sz w:val="24"/>
                <w:szCs w:val="24"/>
                <w:lang w:val="en-AU" w:eastAsia="en-AU"/>
              </w:rPr>
            </w:pPr>
            <w:r>
              <w:rPr>
                <w:rFonts w:eastAsia="Times New Roman" w:cs="Calibri"/>
                <w:color w:val="000000"/>
                <w:sz w:val="24"/>
                <w:szCs w:val="24"/>
                <w:lang w:val="en-AU" w:eastAsia="en-AU"/>
              </w:rPr>
              <w:t>23</w:t>
            </w:r>
          </w:p>
        </w:tc>
        <w:tc>
          <w:tcPr>
            <w:tcW w:w="803" w:type="dxa"/>
            <w:tcBorders>
              <w:top w:val="nil"/>
              <w:left w:val="nil"/>
              <w:bottom w:val="single" w:sz="8" w:space="0" w:color="000000"/>
              <w:right w:val="single" w:sz="8" w:space="0" w:color="000000"/>
            </w:tcBorders>
            <w:shd w:val="clear" w:color="000000" w:fill="FFFFFF"/>
            <w:vAlign w:val="center"/>
          </w:tcPr>
          <w:p w14:paraId="521510AF" w14:textId="2D1D049B" w:rsidR="00652E41" w:rsidRPr="00871B66" w:rsidRDefault="001B638D" w:rsidP="006A2856">
            <w:pPr>
              <w:widowControl/>
              <w:autoSpaceDE/>
              <w:autoSpaceDN/>
              <w:jc w:val="center"/>
              <w:rPr>
                <w:rFonts w:eastAsia="Times New Roman" w:cs="Calibri"/>
                <w:color w:val="000000"/>
                <w:sz w:val="24"/>
                <w:szCs w:val="24"/>
                <w:lang w:val="en-AU" w:eastAsia="en-AU"/>
              </w:rPr>
            </w:pPr>
            <w:r>
              <w:rPr>
                <w:rFonts w:eastAsia="Times New Roman" w:cs="Calibri"/>
                <w:color w:val="000000"/>
                <w:sz w:val="24"/>
                <w:szCs w:val="24"/>
                <w:lang w:val="en-AU" w:eastAsia="en-AU"/>
              </w:rPr>
              <w:t>11</w:t>
            </w:r>
          </w:p>
        </w:tc>
        <w:tc>
          <w:tcPr>
            <w:tcW w:w="1289" w:type="dxa"/>
            <w:tcBorders>
              <w:top w:val="nil"/>
              <w:left w:val="nil"/>
              <w:bottom w:val="single" w:sz="8" w:space="0" w:color="000000"/>
              <w:right w:val="single" w:sz="8" w:space="0" w:color="000000"/>
            </w:tcBorders>
            <w:shd w:val="clear" w:color="000000" w:fill="FFFFFF"/>
            <w:vAlign w:val="center"/>
          </w:tcPr>
          <w:p w14:paraId="0D2DFC98" w14:textId="4D4689B8" w:rsidR="00652E41" w:rsidRPr="00871B66" w:rsidRDefault="001B638D" w:rsidP="006A2856">
            <w:pPr>
              <w:widowControl/>
              <w:autoSpaceDE/>
              <w:autoSpaceDN/>
              <w:jc w:val="center"/>
              <w:rPr>
                <w:rFonts w:eastAsia="Times New Roman" w:cs="Calibri"/>
                <w:color w:val="000000"/>
                <w:sz w:val="24"/>
                <w:szCs w:val="24"/>
                <w:lang w:val="en-AU" w:eastAsia="en-AU"/>
              </w:rPr>
            </w:pPr>
            <w:r>
              <w:rPr>
                <w:rFonts w:eastAsia="Times New Roman" w:cs="Calibri"/>
                <w:color w:val="000000"/>
                <w:sz w:val="24"/>
                <w:szCs w:val="24"/>
                <w:lang w:val="en-AU" w:eastAsia="en-AU"/>
              </w:rPr>
              <w:t>7</w:t>
            </w:r>
          </w:p>
        </w:tc>
        <w:tc>
          <w:tcPr>
            <w:tcW w:w="1177" w:type="dxa"/>
            <w:tcBorders>
              <w:top w:val="nil"/>
              <w:left w:val="nil"/>
              <w:bottom w:val="single" w:sz="8" w:space="0" w:color="000000"/>
              <w:right w:val="single" w:sz="8" w:space="0" w:color="000000"/>
            </w:tcBorders>
            <w:shd w:val="clear" w:color="000000" w:fill="FFFFFF"/>
            <w:vAlign w:val="center"/>
          </w:tcPr>
          <w:p w14:paraId="383FFFBA" w14:textId="261E48C3" w:rsidR="00652E41" w:rsidRPr="00871B66" w:rsidRDefault="001B638D" w:rsidP="006A2856">
            <w:pPr>
              <w:widowControl/>
              <w:autoSpaceDE/>
              <w:autoSpaceDN/>
              <w:jc w:val="center"/>
              <w:rPr>
                <w:rFonts w:eastAsia="Times New Roman" w:cs="Calibri"/>
                <w:color w:val="000000"/>
                <w:sz w:val="24"/>
                <w:szCs w:val="24"/>
                <w:lang w:val="en-AU" w:eastAsia="en-AU"/>
              </w:rPr>
            </w:pPr>
            <w:r>
              <w:rPr>
                <w:rFonts w:eastAsia="Times New Roman" w:cs="Calibri"/>
                <w:color w:val="000000"/>
                <w:sz w:val="24"/>
                <w:szCs w:val="24"/>
                <w:lang w:val="en-AU" w:eastAsia="en-AU"/>
              </w:rPr>
              <w:t>2</w:t>
            </w:r>
          </w:p>
        </w:tc>
        <w:tc>
          <w:tcPr>
            <w:tcW w:w="1215" w:type="dxa"/>
            <w:tcBorders>
              <w:top w:val="nil"/>
              <w:left w:val="nil"/>
              <w:bottom w:val="single" w:sz="8" w:space="0" w:color="000000"/>
              <w:right w:val="single" w:sz="8" w:space="0" w:color="000000"/>
            </w:tcBorders>
            <w:shd w:val="clear" w:color="000000" w:fill="FFFFFF"/>
            <w:vAlign w:val="center"/>
          </w:tcPr>
          <w:p w14:paraId="0A42585E" w14:textId="72DA3069" w:rsidR="00652E41" w:rsidRPr="00871B66" w:rsidRDefault="001B638D" w:rsidP="006A2856">
            <w:pPr>
              <w:widowControl/>
              <w:autoSpaceDE/>
              <w:autoSpaceDN/>
              <w:jc w:val="center"/>
              <w:rPr>
                <w:rFonts w:eastAsia="Times New Roman" w:cs="Calibri"/>
                <w:color w:val="000000"/>
                <w:sz w:val="24"/>
                <w:szCs w:val="24"/>
                <w:lang w:val="en-AU" w:eastAsia="en-AU"/>
              </w:rPr>
            </w:pPr>
            <w:r>
              <w:rPr>
                <w:rFonts w:eastAsia="Times New Roman" w:cs="Calibri"/>
                <w:color w:val="000000"/>
                <w:sz w:val="24"/>
                <w:szCs w:val="24"/>
                <w:lang w:val="en-AU" w:eastAsia="en-AU"/>
              </w:rPr>
              <w:t>2</w:t>
            </w:r>
          </w:p>
        </w:tc>
        <w:tc>
          <w:tcPr>
            <w:tcW w:w="971" w:type="dxa"/>
            <w:tcBorders>
              <w:top w:val="nil"/>
              <w:left w:val="nil"/>
              <w:bottom w:val="single" w:sz="8" w:space="0" w:color="000000"/>
              <w:right w:val="single" w:sz="8" w:space="0" w:color="000000"/>
            </w:tcBorders>
            <w:shd w:val="clear" w:color="000000" w:fill="FFFFFF"/>
            <w:vAlign w:val="center"/>
          </w:tcPr>
          <w:p w14:paraId="2E44C0CD" w14:textId="3780289A" w:rsidR="00652E41" w:rsidRPr="00871B66" w:rsidRDefault="001B638D" w:rsidP="006A2856">
            <w:pPr>
              <w:widowControl/>
              <w:autoSpaceDE/>
              <w:autoSpaceDN/>
              <w:jc w:val="center"/>
              <w:rPr>
                <w:rFonts w:eastAsia="Times New Roman" w:cs="Calibri"/>
                <w:color w:val="000000"/>
                <w:sz w:val="24"/>
                <w:szCs w:val="24"/>
                <w:lang w:val="en-AU" w:eastAsia="en-AU"/>
              </w:rPr>
            </w:pPr>
            <w:r>
              <w:rPr>
                <w:rFonts w:eastAsia="Times New Roman" w:cs="Calibri"/>
                <w:color w:val="000000"/>
                <w:sz w:val="24"/>
                <w:szCs w:val="24"/>
                <w:lang w:val="en-AU" w:eastAsia="en-AU"/>
              </w:rPr>
              <w:t>1</w:t>
            </w:r>
          </w:p>
        </w:tc>
      </w:tr>
      <w:tr w:rsidR="00652E41" w:rsidRPr="00652E41" w14:paraId="6762917E" w14:textId="77777777" w:rsidTr="006A2856">
        <w:trPr>
          <w:trHeight w:val="601"/>
        </w:trPr>
        <w:tc>
          <w:tcPr>
            <w:tcW w:w="13952" w:type="dxa"/>
            <w:gridSpan w:val="1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1D26B4" w14:textId="77777777" w:rsidR="00652E41" w:rsidRPr="00652E41" w:rsidRDefault="00652E41" w:rsidP="00652E41">
            <w:pPr>
              <w:widowControl/>
              <w:autoSpaceDE/>
              <w:autoSpaceDN/>
              <w:spacing w:line="360" w:lineRule="auto"/>
              <w:rPr>
                <w:rFonts w:eastAsia="Times New Roman" w:cs="Calibri"/>
                <w:color w:val="000000"/>
                <w:lang w:val="en-AU" w:eastAsia="en-AU"/>
              </w:rPr>
            </w:pPr>
            <w:r w:rsidRPr="00652E41">
              <w:rPr>
                <w:rFonts w:eastAsia="Times New Roman" w:cs="Calibri"/>
                <w:color w:val="000000"/>
                <w:lang w:val="en-AU" w:eastAsia="en-AU"/>
              </w:rPr>
              <w:t>Explanatory Notes to Data</w:t>
            </w:r>
          </w:p>
        </w:tc>
      </w:tr>
      <w:tr w:rsidR="00652E41" w:rsidRPr="00652E41" w14:paraId="5C17AF2C" w14:textId="77777777" w:rsidTr="00AF6074">
        <w:trPr>
          <w:trHeight w:val="678"/>
        </w:trPr>
        <w:tc>
          <w:tcPr>
            <w:tcW w:w="1124" w:type="dxa"/>
            <w:tcBorders>
              <w:top w:val="nil"/>
              <w:left w:val="single" w:sz="8" w:space="0" w:color="000000"/>
              <w:bottom w:val="single" w:sz="8" w:space="0" w:color="000000"/>
              <w:right w:val="single" w:sz="8" w:space="0" w:color="000000"/>
            </w:tcBorders>
            <w:shd w:val="clear" w:color="auto" w:fill="auto"/>
            <w:vAlign w:val="center"/>
            <w:hideMark/>
          </w:tcPr>
          <w:p w14:paraId="4B748143" w14:textId="77777777" w:rsidR="00652E41" w:rsidRPr="00652E41" w:rsidRDefault="00652E41" w:rsidP="00AF6074">
            <w:pPr>
              <w:widowControl/>
              <w:autoSpaceDE/>
              <w:autoSpaceDN/>
              <w:spacing w:line="276" w:lineRule="auto"/>
              <w:jc w:val="center"/>
              <w:rPr>
                <w:rFonts w:eastAsia="Times New Roman" w:cs="Calibri"/>
                <w:color w:val="000000"/>
                <w:lang w:val="en-AU" w:eastAsia="en-AU"/>
              </w:rPr>
            </w:pPr>
            <w:r w:rsidRPr="00652E41">
              <w:rPr>
                <w:rFonts w:eastAsia="Times New Roman" w:cs="Calibri"/>
                <w:color w:val="000000"/>
                <w:lang w:val="en-AU" w:eastAsia="en-AU"/>
              </w:rPr>
              <w:t>1</w:t>
            </w:r>
          </w:p>
        </w:tc>
        <w:tc>
          <w:tcPr>
            <w:tcW w:w="12828" w:type="dxa"/>
            <w:gridSpan w:val="11"/>
            <w:tcBorders>
              <w:top w:val="single" w:sz="8" w:space="0" w:color="000000"/>
              <w:left w:val="nil"/>
              <w:bottom w:val="single" w:sz="8" w:space="0" w:color="000000"/>
              <w:right w:val="single" w:sz="8" w:space="0" w:color="000000"/>
            </w:tcBorders>
            <w:shd w:val="clear" w:color="auto" w:fill="auto"/>
            <w:hideMark/>
          </w:tcPr>
          <w:p w14:paraId="4F8FD628" w14:textId="77777777" w:rsidR="00652E41" w:rsidRPr="00652E41" w:rsidRDefault="00652E41" w:rsidP="00AF6074">
            <w:pPr>
              <w:widowControl/>
              <w:autoSpaceDE/>
              <w:autoSpaceDN/>
              <w:spacing w:line="276" w:lineRule="auto"/>
              <w:rPr>
                <w:rFonts w:eastAsia="Times New Roman" w:cs="Calibri"/>
                <w:color w:val="000000"/>
                <w:lang w:val="en-AU" w:eastAsia="en-AU"/>
              </w:rPr>
            </w:pPr>
            <w:r w:rsidRPr="00652E41">
              <w:rPr>
                <w:rFonts w:eastAsia="Times New Roman" w:cs="Calibri"/>
                <w:color w:val="000000"/>
                <w:lang w:val="en-AU" w:eastAsia="en-AU"/>
              </w:rPr>
              <w:t>This column indicates the total number of employees who have been referred to in the COI report relating to alleged perpetrators that may be current or former Tasmanian State Service employees.</w:t>
            </w:r>
          </w:p>
        </w:tc>
      </w:tr>
      <w:tr w:rsidR="00652E41" w:rsidRPr="00652E41" w14:paraId="38161692" w14:textId="77777777" w:rsidTr="00AF6074">
        <w:trPr>
          <w:trHeight w:val="688"/>
        </w:trPr>
        <w:tc>
          <w:tcPr>
            <w:tcW w:w="1124" w:type="dxa"/>
            <w:tcBorders>
              <w:top w:val="nil"/>
              <w:left w:val="single" w:sz="8" w:space="0" w:color="000000"/>
              <w:bottom w:val="single" w:sz="8" w:space="0" w:color="000000"/>
              <w:right w:val="single" w:sz="8" w:space="0" w:color="000000"/>
            </w:tcBorders>
            <w:shd w:val="clear" w:color="auto" w:fill="auto"/>
            <w:vAlign w:val="center"/>
            <w:hideMark/>
          </w:tcPr>
          <w:p w14:paraId="13A80161" w14:textId="77777777" w:rsidR="00652E41" w:rsidRPr="00652E41" w:rsidRDefault="00652E41" w:rsidP="00AF6074">
            <w:pPr>
              <w:widowControl/>
              <w:autoSpaceDE/>
              <w:autoSpaceDN/>
              <w:spacing w:line="276" w:lineRule="auto"/>
              <w:jc w:val="center"/>
              <w:rPr>
                <w:rFonts w:eastAsia="Times New Roman" w:cs="Calibri"/>
                <w:color w:val="000000"/>
                <w:lang w:val="en-AU" w:eastAsia="en-AU"/>
              </w:rPr>
            </w:pPr>
            <w:r w:rsidRPr="00652E41">
              <w:rPr>
                <w:rFonts w:eastAsia="Times New Roman" w:cs="Calibri"/>
                <w:color w:val="000000"/>
                <w:lang w:val="en-AU" w:eastAsia="en-AU"/>
              </w:rPr>
              <w:t>2</w:t>
            </w:r>
          </w:p>
        </w:tc>
        <w:tc>
          <w:tcPr>
            <w:tcW w:w="12828" w:type="dxa"/>
            <w:gridSpan w:val="11"/>
            <w:tcBorders>
              <w:top w:val="single" w:sz="8" w:space="0" w:color="000000"/>
              <w:left w:val="nil"/>
              <w:bottom w:val="single" w:sz="8" w:space="0" w:color="000000"/>
              <w:right w:val="single" w:sz="8" w:space="0" w:color="000000"/>
            </w:tcBorders>
            <w:shd w:val="clear" w:color="auto" w:fill="auto"/>
            <w:hideMark/>
          </w:tcPr>
          <w:p w14:paraId="2F49AA46" w14:textId="77777777" w:rsidR="00652E41" w:rsidRPr="00652E41" w:rsidRDefault="00652E41" w:rsidP="00AF6074">
            <w:pPr>
              <w:widowControl/>
              <w:autoSpaceDE/>
              <w:autoSpaceDN/>
              <w:spacing w:line="276" w:lineRule="auto"/>
              <w:rPr>
                <w:rFonts w:eastAsia="Times New Roman" w:cs="Calibri"/>
                <w:color w:val="000000"/>
                <w:lang w:val="en-AU" w:eastAsia="en-AU"/>
              </w:rPr>
            </w:pPr>
            <w:r w:rsidRPr="00652E41">
              <w:rPr>
                <w:rFonts w:eastAsia="Times New Roman" w:cs="Calibri"/>
                <w:color w:val="000000"/>
                <w:lang w:val="en-AU" w:eastAsia="en-AU"/>
              </w:rPr>
              <w:t xml:space="preserve">This table does not include Tasmania Police matters as not employed under the State Service Act 2000.  A separate update is provided by the Commissioner of Police for officers employed under the </w:t>
            </w:r>
            <w:r w:rsidRPr="00652E41">
              <w:rPr>
                <w:rFonts w:eastAsia="Times New Roman" w:cs="Calibri"/>
                <w:i/>
                <w:iCs/>
                <w:color w:val="000000"/>
                <w:lang w:val="en-AU" w:eastAsia="en-AU"/>
              </w:rPr>
              <w:t>Police Service Act 2003</w:t>
            </w:r>
            <w:r w:rsidRPr="00652E41">
              <w:rPr>
                <w:rFonts w:eastAsia="Times New Roman" w:cs="Calibri"/>
                <w:color w:val="000000"/>
                <w:lang w:val="en-AU" w:eastAsia="en-AU"/>
              </w:rPr>
              <w:t>.</w:t>
            </w:r>
          </w:p>
        </w:tc>
      </w:tr>
      <w:tr w:rsidR="00652E41" w:rsidRPr="00652E41" w14:paraId="4B7D5AA6" w14:textId="77777777" w:rsidTr="000D5287">
        <w:trPr>
          <w:trHeight w:val="751"/>
        </w:trPr>
        <w:tc>
          <w:tcPr>
            <w:tcW w:w="1124"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426CC265" w14:textId="77777777" w:rsidR="00652E41" w:rsidRPr="00652E41" w:rsidRDefault="00652E41" w:rsidP="00AF6074">
            <w:pPr>
              <w:widowControl/>
              <w:autoSpaceDE/>
              <w:autoSpaceDN/>
              <w:spacing w:line="276" w:lineRule="auto"/>
              <w:jc w:val="center"/>
              <w:rPr>
                <w:rFonts w:eastAsia="Times New Roman" w:cs="Calibri"/>
                <w:color w:val="000000"/>
                <w:lang w:val="en-AU" w:eastAsia="en-AU"/>
              </w:rPr>
            </w:pPr>
            <w:r w:rsidRPr="00652E41">
              <w:rPr>
                <w:rFonts w:eastAsia="Times New Roman" w:cs="Calibri"/>
                <w:color w:val="000000"/>
                <w:lang w:val="en-AU" w:eastAsia="en-AU"/>
              </w:rPr>
              <w:t>3</w:t>
            </w:r>
          </w:p>
        </w:tc>
        <w:tc>
          <w:tcPr>
            <w:tcW w:w="12828" w:type="dxa"/>
            <w:gridSpan w:val="11"/>
            <w:tcBorders>
              <w:top w:val="single" w:sz="8" w:space="0" w:color="000000"/>
              <w:left w:val="nil"/>
              <w:bottom w:val="single" w:sz="8" w:space="0" w:color="000000"/>
              <w:right w:val="single" w:sz="8" w:space="0" w:color="000000"/>
            </w:tcBorders>
            <w:shd w:val="clear" w:color="auto" w:fill="auto"/>
            <w:hideMark/>
          </w:tcPr>
          <w:p w14:paraId="616A70FC" w14:textId="77777777" w:rsidR="00652E41" w:rsidRPr="00652E41" w:rsidRDefault="00652E41" w:rsidP="00AF6074">
            <w:pPr>
              <w:widowControl/>
              <w:autoSpaceDE/>
              <w:autoSpaceDN/>
              <w:spacing w:line="276" w:lineRule="auto"/>
              <w:rPr>
                <w:rFonts w:eastAsia="Times New Roman" w:cs="Calibri"/>
                <w:color w:val="000000"/>
                <w:lang w:val="en-AU" w:eastAsia="en-AU"/>
              </w:rPr>
            </w:pPr>
            <w:r w:rsidRPr="00652E41">
              <w:rPr>
                <w:rFonts w:eastAsia="Times New Roman" w:cs="Calibri"/>
                <w:color w:val="000000"/>
                <w:lang w:val="en-AU" w:eastAsia="en-AU"/>
              </w:rPr>
              <w:t xml:space="preserve">Heads of all relevant Agencies have reviewed the employee matters referred to in the COI report and these matters in relation to current or former employee are being assessed to determine whether further action under the </w:t>
            </w:r>
            <w:r w:rsidRPr="00652E41">
              <w:rPr>
                <w:rFonts w:eastAsia="Times New Roman" w:cs="Calibri"/>
                <w:i/>
                <w:iCs/>
                <w:color w:val="000000"/>
                <w:lang w:val="en-AU" w:eastAsia="en-AU"/>
              </w:rPr>
              <w:t>State Service Act 2000</w:t>
            </w:r>
            <w:r w:rsidRPr="00652E41">
              <w:rPr>
                <w:rFonts w:eastAsia="Times New Roman" w:cs="Calibri"/>
                <w:color w:val="000000"/>
                <w:lang w:val="en-AU" w:eastAsia="en-AU"/>
              </w:rPr>
              <w:t xml:space="preserve"> is required.  One employee may have more than one assessment.</w:t>
            </w:r>
          </w:p>
        </w:tc>
      </w:tr>
      <w:tr w:rsidR="00652E41" w:rsidRPr="00652E41" w14:paraId="68718A6C" w14:textId="77777777" w:rsidTr="00AF6074">
        <w:trPr>
          <w:trHeight w:val="300"/>
        </w:trPr>
        <w:tc>
          <w:tcPr>
            <w:tcW w:w="1124"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230B69C0" w14:textId="77777777" w:rsidR="00652E41" w:rsidRPr="00652E41" w:rsidRDefault="00652E41" w:rsidP="00AF6074">
            <w:pPr>
              <w:widowControl/>
              <w:autoSpaceDE/>
              <w:autoSpaceDN/>
              <w:spacing w:line="276" w:lineRule="auto"/>
              <w:jc w:val="center"/>
              <w:rPr>
                <w:rFonts w:eastAsia="Times New Roman" w:cs="Calibri"/>
                <w:color w:val="000000"/>
                <w:lang w:val="en-AU" w:eastAsia="en-AU"/>
              </w:rPr>
            </w:pPr>
            <w:r w:rsidRPr="00652E41">
              <w:rPr>
                <w:rFonts w:eastAsia="Times New Roman" w:cs="Calibri"/>
                <w:color w:val="000000"/>
                <w:lang w:val="en-AU" w:eastAsia="en-AU"/>
              </w:rPr>
              <w:lastRenderedPageBreak/>
              <w:t>4</w:t>
            </w:r>
          </w:p>
        </w:tc>
        <w:tc>
          <w:tcPr>
            <w:tcW w:w="12828" w:type="dxa"/>
            <w:gridSpan w:val="11"/>
            <w:tcBorders>
              <w:top w:val="single" w:sz="8" w:space="0" w:color="000000"/>
              <w:left w:val="nil"/>
              <w:bottom w:val="nil"/>
              <w:right w:val="single" w:sz="8" w:space="0" w:color="000000"/>
            </w:tcBorders>
            <w:shd w:val="clear" w:color="auto" w:fill="auto"/>
            <w:hideMark/>
          </w:tcPr>
          <w:p w14:paraId="07E49D41" w14:textId="77777777" w:rsidR="00652E41" w:rsidRPr="00652E41" w:rsidRDefault="00652E41" w:rsidP="00AF6074">
            <w:pPr>
              <w:widowControl/>
              <w:autoSpaceDE/>
              <w:autoSpaceDN/>
              <w:spacing w:line="276" w:lineRule="auto"/>
              <w:rPr>
                <w:rFonts w:eastAsia="Times New Roman" w:cs="Calibri"/>
                <w:color w:val="000000"/>
                <w:lang w:val="en-AU" w:eastAsia="en-AU"/>
              </w:rPr>
            </w:pPr>
            <w:r w:rsidRPr="00652E41">
              <w:rPr>
                <w:rFonts w:eastAsia="Times New Roman" w:cs="Calibri"/>
                <w:color w:val="000000"/>
                <w:lang w:val="en-AU" w:eastAsia="en-AU"/>
              </w:rPr>
              <w:t>No further action in relation to employment may be for the following reasons:</w:t>
            </w:r>
          </w:p>
        </w:tc>
      </w:tr>
      <w:tr w:rsidR="00652E41" w:rsidRPr="00652E41" w14:paraId="0BB7E242" w14:textId="77777777" w:rsidTr="00AF6074">
        <w:trPr>
          <w:trHeight w:val="600"/>
        </w:trPr>
        <w:tc>
          <w:tcPr>
            <w:tcW w:w="1124" w:type="dxa"/>
            <w:vMerge/>
            <w:tcBorders>
              <w:top w:val="nil"/>
              <w:left w:val="single" w:sz="8" w:space="0" w:color="000000"/>
              <w:bottom w:val="single" w:sz="8" w:space="0" w:color="000000"/>
              <w:right w:val="single" w:sz="8" w:space="0" w:color="000000"/>
            </w:tcBorders>
            <w:vAlign w:val="center"/>
            <w:hideMark/>
          </w:tcPr>
          <w:p w14:paraId="66D839D5" w14:textId="77777777" w:rsidR="00652E41" w:rsidRPr="00652E41" w:rsidRDefault="00652E41" w:rsidP="00AF6074">
            <w:pPr>
              <w:widowControl/>
              <w:autoSpaceDE/>
              <w:autoSpaceDN/>
              <w:spacing w:line="276" w:lineRule="auto"/>
              <w:rPr>
                <w:rFonts w:eastAsia="Times New Roman" w:cs="Calibri"/>
                <w:color w:val="000000"/>
                <w:lang w:val="en-AU" w:eastAsia="en-AU"/>
              </w:rPr>
            </w:pPr>
          </w:p>
        </w:tc>
        <w:tc>
          <w:tcPr>
            <w:tcW w:w="12828" w:type="dxa"/>
            <w:gridSpan w:val="11"/>
            <w:tcBorders>
              <w:top w:val="nil"/>
              <w:left w:val="nil"/>
              <w:bottom w:val="nil"/>
              <w:right w:val="single" w:sz="8" w:space="0" w:color="000000"/>
            </w:tcBorders>
            <w:shd w:val="clear" w:color="auto" w:fill="auto"/>
            <w:hideMark/>
          </w:tcPr>
          <w:p w14:paraId="102F901A" w14:textId="77777777" w:rsidR="00652E41" w:rsidRPr="00652E41" w:rsidRDefault="00652E41" w:rsidP="00AF6074">
            <w:pPr>
              <w:widowControl/>
              <w:autoSpaceDE/>
              <w:autoSpaceDN/>
              <w:spacing w:line="276" w:lineRule="auto"/>
              <w:rPr>
                <w:rFonts w:ascii="Symbol" w:eastAsia="Times New Roman" w:hAnsi="Symbol" w:cs="Calibri"/>
                <w:color w:val="000000"/>
                <w:lang w:val="en-AU" w:eastAsia="en-AU"/>
              </w:rPr>
            </w:pPr>
            <w:r w:rsidRPr="00652E41">
              <w:rPr>
                <w:rFonts w:ascii="Symbol" w:eastAsia="Times New Roman" w:hAnsi="Symbol" w:cs="Calibri"/>
                <w:color w:val="000000"/>
                <w:lang w:val="en-AU" w:eastAsia="en-AU"/>
              </w:rPr>
              <w:t>·</w:t>
            </w:r>
            <w:r w:rsidRPr="00652E41">
              <w:rPr>
                <w:rFonts w:ascii="Times New Roman" w:eastAsia="Times New Roman" w:hAnsi="Times New Roman" w:cs="Times New Roman"/>
                <w:color w:val="000000"/>
                <w:sz w:val="14"/>
                <w:szCs w:val="14"/>
                <w:lang w:val="en-AU" w:eastAsia="en-AU"/>
              </w:rPr>
              <w:t xml:space="preserve">         </w:t>
            </w:r>
            <w:r w:rsidRPr="00652E41">
              <w:rPr>
                <w:rFonts w:eastAsia="Times New Roman" w:cs="Calibri"/>
                <w:color w:val="000000"/>
                <w:lang w:val="en-AU" w:eastAsia="en-AU"/>
              </w:rPr>
              <w:t>the assessment by Head of Agency concludes that there is no further action required upon Head of Agency review of all matters arising from and related to the COI report;</w:t>
            </w:r>
          </w:p>
        </w:tc>
      </w:tr>
      <w:tr w:rsidR="00652E41" w:rsidRPr="00652E41" w14:paraId="23B9462A" w14:textId="77777777" w:rsidTr="00AF6074">
        <w:trPr>
          <w:trHeight w:val="300"/>
        </w:trPr>
        <w:tc>
          <w:tcPr>
            <w:tcW w:w="1124" w:type="dxa"/>
            <w:vMerge/>
            <w:tcBorders>
              <w:top w:val="nil"/>
              <w:left w:val="single" w:sz="8" w:space="0" w:color="000000"/>
              <w:bottom w:val="single" w:sz="8" w:space="0" w:color="000000"/>
              <w:right w:val="single" w:sz="8" w:space="0" w:color="000000"/>
            </w:tcBorders>
            <w:vAlign w:val="center"/>
            <w:hideMark/>
          </w:tcPr>
          <w:p w14:paraId="286FA2EB" w14:textId="77777777" w:rsidR="00652E41" w:rsidRPr="00652E41" w:rsidRDefault="00652E41" w:rsidP="00AF6074">
            <w:pPr>
              <w:widowControl/>
              <w:autoSpaceDE/>
              <w:autoSpaceDN/>
              <w:spacing w:line="276" w:lineRule="auto"/>
              <w:rPr>
                <w:rFonts w:eastAsia="Times New Roman" w:cs="Calibri"/>
                <w:color w:val="000000"/>
                <w:lang w:val="en-AU" w:eastAsia="en-AU"/>
              </w:rPr>
            </w:pPr>
          </w:p>
        </w:tc>
        <w:tc>
          <w:tcPr>
            <w:tcW w:w="12828" w:type="dxa"/>
            <w:gridSpan w:val="11"/>
            <w:tcBorders>
              <w:top w:val="nil"/>
              <w:left w:val="nil"/>
              <w:bottom w:val="nil"/>
              <w:right w:val="single" w:sz="8" w:space="0" w:color="000000"/>
            </w:tcBorders>
            <w:shd w:val="clear" w:color="auto" w:fill="auto"/>
            <w:hideMark/>
          </w:tcPr>
          <w:p w14:paraId="5DC9D9E6" w14:textId="77777777" w:rsidR="00652E41" w:rsidRPr="00652E41" w:rsidRDefault="00652E41" w:rsidP="00AF6074">
            <w:pPr>
              <w:widowControl/>
              <w:autoSpaceDE/>
              <w:autoSpaceDN/>
              <w:spacing w:line="276" w:lineRule="auto"/>
              <w:rPr>
                <w:rFonts w:ascii="Symbol" w:eastAsia="Times New Roman" w:hAnsi="Symbol" w:cs="Calibri"/>
                <w:color w:val="000000"/>
                <w:lang w:val="en-AU" w:eastAsia="en-AU"/>
              </w:rPr>
            </w:pPr>
            <w:r w:rsidRPr="00652E41">
              <w:rPr>
                <w:rFonts w:ascii="Symbol" w:eastAsia="Times New Roman" w:hAnsi="Symbol" w:cs="Calibri"/>
                <w:color w:val="000000"/>
                <w:lang w:val="en-AU" w:eastAsia="en-AU"/>
              </w:rPr>
              <w:t>·</w:t>
            </w:r>
            <w:r w:rsidRPr="00652E41">
              <w:rPr>
                <w:rFonts w:ascii="Times New Roman" w:eastAsia="Times New Roman" w:hAnsi="Times New Roman" w:cs="Times New Roman"/>
                <w:color w:val="000000"/>
                <w:sz w:val="14"/>
                <w:szCs w:val="14"/>
                <w:lang w:val="en-AU" w:eastAsia="en-AU"/>
              </w:rPr>
              <w:t xml:space="preserve">         </w:t>
            </w:r>
            <w:r w:rsidRPr="00652E41">
              <w:rPr>
                <w:rFonts w:eastAsia="Times New Roman" w:cs="Calibri"/>
                <w:color w:val="000000"/>
                <w:lang w:val="en-AU" w:eastAsia="en-AU"/>
              </w:rPr>
              <w:t>the employee having already resigned from the Tasmanian State Service;</w:t>
            </w:r>
          </w:p>
        </w:tc>
      </w:tr>
      <w:tr w:rsidR="00652E41" w:rsidRPr="00652E41" w14:paraId="066DB98D" w14:textId="77777777" w:rsidTr="00AF6074">
        <w:trPr>
          <w:trHeight w:val="960"/>
        </w:trPr>
        <w:tc>
          <w:tcPr>
            <w:tcW w:w="1124" w:type="dxa"/>
            <w:vMerge/>
            <w:tcBorders>
              <w:top w:val="nil"/>
              <w:left w:val="single" w:sz="8" w:space="0" w:color="000000"/>
              <w:bottom w:val="single" w:sz="8" w:space="0" w:color="000000"/>
              <w:right w:val="single" w:sz="8" w:space="0" w:color="000000"/>
            </w:tcBorders>
            <w:vAlign w:val="center"/>
            <w:hideMark/>
          </w:tcPr>
          <w:p w14:paraId="15C58B88" w14:textId="77777777" w:rsidR="00652E41" w:rsidRPr="00652E41" w:rsidRDefault="00652E41" w:rsidP="00AF6074">
            <w:pPr>
              <w:widowControl/>
              <w:autoSpaceDE/>
              <w:autoSpaceDN/>
              <w:spacing w:line="276" w:lineRule="auto"/>
              <w:rPr>
                <w:rFonts w:eastAsia="Times New Roman" w:cs="Calibri"/>
                <w:color w:val="000000"/>
                <w:lang w:val="en-AU" w:eastAsia="en-AU"/>
              </w:rPr>
            </w:pPr>
          </w:p>
        </w:tc>
        <w:tc>
          <w:tcPr>
            <w:tcW w:w="12828" w:type="dxa"/>
            <w:gridSpan w:val="11"/>
            <w:tcBorders>
              <w:top w:val="nil"/>
              <w:left w:val="nil"/>
              <w:bottom w:val="nil"/>
              <w:right w:val="single" w:sz="8" w:space="0" w:color="000000"/>
            </w:tcBorders>
            <w:shd w:val="clear" w:color="auto" w:fill="auto"/>
            <w:hideMark/>
          </w:tcPr>
          <w:p w14:paraId="5686A4D1" w14:textId="77777777" w:rsidR="00652E41" w:rsidRPr="00652E41" w:rsidRDefault="00652E41" w:rsidP="00AF6074">
            <w:pPr>
              <w:widowControl/>
              <w:autoSpaceDE/>
              <w:autoSpaceDN/>
              <w:spacing w:line="276" w:lineRule="auto"/>
              <w:rPr>
                <w:rFonts w:ascii="Symbol" w:eastAsia="Times New Roman" w:hAnsi="Symbol" w:cs="Calibri"/>
                <w:color w:val="000000"/>
                <w:lang w:val="en-AU" w:eastAsia="en-AU"/>
              </w:rPr>
            </w:pPr>
            <w:r w:rsidRPr="00652E41">
              <w:rPr>
                <w:rFonts w:ascii="Symbol" w:eastAsia="Times New Roman" w:hAnsi="Symbol" w:cs="Calibri"/>
                <w:color w:val="000000"/>
                <w:lang w:val="en-AU" w:eastAsia="en-AU"/>
              </w:rPr>
              <w:t>·</w:t>
            </w:r>
            <w:r w:rsidRPr="00652E41">
              <w:rPr>
                <w:rFonts w:ascii="Times New Roman" w:eastAsia="Times New Roman" w:hAnsi="Times New Roman" w:cs="Times New Roman"/>
                <w:color w:val="000000"/>
                <w:sz w:val="14"/>
                <w:szCs w:val="14"/>
                <w:lang w:val="en-AU" w:eastAsia="en-AU"/>
              </w:rPr>
              <w:t xml:space="preserve">         </w:t>
            </w:r>
            <w:r w:rsidRPr="00652E41">
              <w:rPr>
                <w:rFonts w:eastAsia="Times New Roman" w:cs="Calibri"/>
                <w:color w:val="000000"/>
                <w:lang w:val="en-AU" w:eastAsia="en-AU"/>
              </w:rPr>
              <w:t>the employee having already resigned whilst a Code of Conduct investigation was underway.  The Code of conduct being completed with a breach found and the employee details entered on the PPS 5 Register- for code of conduct breaches resulting in or that would have resulted in termination</w:t>
            </w:r>
          </w:p>
        </w:tc>
      </w:tr>
      <w:tr w:rsidR="00652E41" w:rsidRPr="00652E41" w14:paraId="60F11999" w14:textId="77777777" w:rsidTr="00AF6074">
        <w:trPr>
          <w:trHeight w:val="330"/>
        </w:trPr>
        <w:tc>
          <w:tcPr>
            <w:tcW w:w="1124" w:type="dxa"/>
            <w:vMerge/>
            <w:tcBorders>
              <w:top w:val="nil"/>
              <w:left w:val="single" w:sz="8" w:space="0" w:color="000000"/>
              <w:bottom w:val="single" w:sz="8" w:space="0" w:color="000000"/>
              <w:right w:val="single" w:sz="8" w:space="0" w:color="000000"/>
            </w:tcBorders>
            <w:vAlign w:val="center"/>
            <w:hideMark/>
          </w:tcPr>
          <w:p w14:paraId="3A73FE9C" w14:textId="77777777" w:rsidR="00652E41" w:rsidRPr="00652E41" w:rsidRDefault="00652E41" w:rsidP="00AF6074">
            <w:pPr>
              <w:widowControl/>
              <w:autoSpaceDE/>
              <w:autoSpaceDN/>
              <w:spacing w:line="276" w:lineRule="auto"/>
              <w:rPr>
                <w:rFonts w:eastAsia="Times New Roman" w:cs="Calibri"/>
                <w:color w:val="000000"/>
                <w:lang w:val="en-AU" w:eastAsia="en-AU"/>
              </w:rPr>
            </w:pPr>
          </w:p>
        </w:tc>
        <w:tc>
          <w:tcPr>
            <w:tcW w:w="12828" w:type="dxa"/>
            <w:gridSpan w:val="11"/>
            <w:tcBorders>
              <w:top w:val="nil"/>
              <w:left w:val="nil"/>
              <w:bottom w:val="single" w:sz="8" w:space="0" w:color="000000"/>
              <w:right w:val="single" w:sz="8" w:space="0" w:color="000000"/>
            </w:tcBorders>
            <w:shd w:val="clear" w:color="auto" w:fill="auto"/>
            <w:hideMark/>
          </w:tcPr>
          <w:p w14:paraId="0EFB7CD8" w14:textId="77777777" w:rsidR="00652E41" w:rsidRPr="00652E41" w:rsidRDefault="00652E41" w:rsidP="00AF6074">
            <w:pPr>
              <w:widowControl/>
              <w:autoSpaceDE/>
              <w:autoSpaceDN/>
              <w:spacing w:line="276" w:lineRule="auto"/>
              <w:rPr>
                <w:rFonts w:ascii="Symbol" w:eastAsia="Times New Roman" w:hAnsi="Symbol" w:cs="Calibri"/>
                <w:color w:val="000000"/>
                <w:lang w:val="en-AU" w:eastAsia="en-AU"/>
              </w:rPr>
            </w:pPr>
            <w:r w:rsidRPr="00652E41">
              <w:rPr>
                <w:rFonts w:ascii="Symbol" w:eastAsia="Times New Roman" w:hAnsi="Symbol" w:cs="Calibri"/>
                <w:color w:val="000000"/>
                <w:lang w:val="en-AU" w:eastAsia="en-AU"/>
              </w:rPr>
              <w:t>·</w:t>
            </w:r>
            <w:r w:rsidRPr="00652E41">
              <w:rPr>
                <w:rFonts w:ascii="Times New Roman" w:eastAsia="Times New Roman" w:hAnsi="Times New Roman" w:cs="Times New Roman"/>
                <w:color w:val="000000"/>
                <w:sz w:val="14"/>
                <w:szCs w:val="14"/>
                <w:lang w:val="en-AU" w:eastAsia="en-AU"/>
              </w:rPr>
              <w:t xml:space="preserve">         </w:t>
            </w:r>
            <w:r w:rsidRPr="00652E41">
              <w:rPr>
                <w:rFonts w:eastAsia="Times New Roman" w:cs="Calibri"/>
                <w:color w:val="000000"/>
                <w:lang w:val="en-AU" w:eastAsia="en-AU"/>
              </w:rPr>
              <w:t>the employee is deceased;</w:t>
            </w:r>
          </w:p>
        </w:tc>
      </w:tr>
      <w:tr w:rsidR="00652E41" w:rsidRPr="00652E41" w14:paraId="6173B591" w14:textId="77777777" w:rsidTr="00AF6074">
        <w:trPr>
          <w:trHeight w:val="1200"/>
        </w:trPr>
        <w:tc>
          <w:tcPr>
            <w:tcW w:w="1124" w:type="dxa"/>
            <w:tcBorders>
              <w:top w:val="nil"/>
              <w:left w:val="single" w:sz="8" w:space="0" w:color="000000"/>
              <w:bottom w:val="single" w:sz="8" w:space="0" w:color="000000"/>
              <w:right w:val="single" w:sz="8" w:space="0" w:color="000000"/>
            </w:tcBorders>
            <w:shd w:val="clear" w:color="auto" w:fill="auto"/>
            <w:vAlign w:val="center"/>
            <w:hideMark/>
          </w:tcPr>
          <w:p w14:paraId="1C6FE617" w14:textId="77777777" w:rsidR="00652E41" w:rsidRPr="00652E41" w:rsidRDefault="00652E41" w:rsidP="00AF6074">
            <w:pPr>
              <w:widowControl/>
              <w:autoSpaceDE/>
              <w:autoSpaceDN/>
              <w:spacing w:line="276" w:lineRule="auto"/>
              <w:jc w:val="center"/>
              <w:rPr>
                <w:rFonts w:eastAsia="Times New Roman" w:cs="Calibri"/>
                <w:color w:val="000000"/>
                <w:lang w:val="en-AU" w:eastAsia="en-AU"/>
              </w:rPr>
            </w:pPr>
            <w:r w:rsidRPr="00652E41">
              <w:rPr>
                <w:rFonts w:eastAsia="Times New Roman" w:cs="Calibri"/>
                <w:color w:val="000000"/>
                <w:lang w:val="en-AU" w:eastAsia="en-AU"/>
              </w:rPr>
              <w:t>5</w:t>
            </w:r>
          </w:p>
        </w:tc>
        <w:tc>
          <w:tcPr>
            <w:tcW w:w="12828" w:type="dxa"/>
            <w:gridSpan w:val="11"/>
            <w:tcBorders>
              <w:top w:val="single" w:sz="8" w:space="0" w:color="000000"/>
              <w:left w:val="nil"/>
              <w:bottom w:val="single" w:sz="8" w:space="0" w:color="000000"/>
              <w:right w:val="single" w:sz="8" w:space="0" w:color="000000"/>
            </w:tcBorders>
            <w:shd w:val="clear" w:color="auto" w:fill="auto"/>
            <w:hideMark/>
          </w:tcPr>
          <w:p w14:paraId="0BDABC3A" w14:textId="77777777" w:rsidR="00652E41" w:rsidRPr="00652E41" w:rsidRDefault="00652E41" w:rsidP="00AF6074">
            <w:pPr>
              <w:widowControl/>
              <w:autoSpaceDE/>
              <w:autoSpaceDN/>
              <w:spacing w:line="276" w:lineRule="auto"/>
              <w:rPr>
                <w:rFonts w:eastAsia="Times New Roman" w:cs="Calibri"/>
                <w:color w:val="000000"/>
                <w:lang w:val="en-AU" w:eastAsia="en-AU"/>
              </w:rPr>
            </w:pPr>
            <w:r w:rsidRPr="00652E41">
              <w:rPr>
                <w:rFonts w:eastAsia="Times New Roman" w:cs="Calibri"/>
                <w:color w:val="000000"/>
                <w:lang w:val="en-AU" w:eastAsia="en-AU"/>
              </w:rPr>
              <w:t>Heads of Agencies have determined that, for former employees where a Code of Conduct was not commenced prior to departure, and, following a review of matters in the COI report, an assessment by the Head of Agency that there may be matters of concern, that the Head of Agency will write to the former employee indicating this and that and ED5 process will commence if were to be re-employed within the Tasmanian State Service.</w:t>
            </w:r>
          </w:p>
        </w:tc>
      </w:tr>
      <w:tr w:rsidR="00652E41" w:rsidRPr="00652E41" w14:paraId="0FBA0BEC" w14:textId="77777777" w:rsidTr="00AF6074">
        <w:trPr>
          <w:trHeight w:val="570"/>
        </w:trPr>
        <w:tc>
          <w:tcPr>
            <w:tcW w:w="1124" w:type="dxa"/>
            <w:tcBorders>
              <w:top w:val="nil"/>
              <w:left w:val="single" w:sz="8" w:space="0" w:color="000000"/>
              <w:bottom w:val="single" w:sz="8" w:space="0" w:color="000000"/>
              <w:right w:val="single" w:sz="8" w:space="0" w:color="000000"/>
            </w:tcBorders>
            <w:shd w:val="clear" w:color="auto" w:fill="auto"/>
            <w:vAlign w:val="center"/>
            <w:hideMark/>
          </w:tcPr>
          <w:p w14:paraId="2F0953DE" w14:textId="77777777" w:rsidR="00652E41" w:rsidRPr="00652E41" w:rsidRDefault="00652E41" w:rsidP="00AF6074">
            <w:pPr>
              <w:widowControl/>
              <w:autoSpaceDE/>
              <w:autoSpaceDN/>
              <w:spacing w:line="276" w:lineRule="auto"/>
              <w:jc w:val="center"/>
              <w:rPr>
                <w:rFonts w:eastAsia="Times New Roman" w:cs="Calibri"/>
                <w:color w:val="000000"/>
                <w:lang w:val="en-AU" w:eastAsia="en-AU"/>
              </w:rPr>
            </w:pPr>
            <w:r w:rsidRPr="00652E41">
              <w:rPr>
                <w:rFonts w:eastAsia="Times New Roman" w:cs="Calibri"/>
                <w:color w:val="000000"/>
                <w:lang w:val="en-AU" w:eastAsia="en-AU"/>
              </w:rPr>
              <w:t>6</w:t>
            </w:r>
          </w:p>
        </w:tc>
        <w:tc>
          <w:tcPr>
            <w:tcW w:w="12828" w:type="dxa"/>
            <w:gridSpan w:val="11"/>
            <w:tcBorders>
              <w:top w:val="single" w:sz="8" w:space="0" w:color="000000"/>
              <w:left w:val="nil"/>
              <w:bottom w:val="single" w:sz="8" w:space="0" w:color="000000"/>
              <w:right w:val="single" w:sz="8" w:space="0" w:color="000000"/>
            </w:tcBorders>
            <w:shd w:val="clear" w:color="auto" w:fill="auto"/>
            <w:hideMark/>
          </w:tcPr>
          <w:p w14:paraId="13E33D79" w14:textId="77777777" w:rsidR="00652E41" w:rsidRPr="00652E41" w:rsidRDefault="00652E41" w:rsidP="00AF6074">
            <w:pPr>
              <w:widowControl/>
              <w:autoSpaceDE/>
              <w:autoSpaceDN/>
              <w:spacing w:line="276" w:lineRule="auto"/>
              <w:rPr>
                <w:rFonts w:eastAsia="Times New Roman" w:cs="Calibri"/>
                <w:color w:val="000000"/>
                <w:lang w:val="en-AU" w:eastAsia="en-AU"/>
              </w:rPr>
            </w:pPr>
            <w:r w:rsidRPr="00652E41">
              <w:rPr>
                <w:rFonts w:eastAsia="Times New Roman" w:cs="Calibri"/>
                <w:color w:val="000000"/>
                <w:lang w:val="en-AU" w:eastAsia="en-AU"/>
              </w:rPr>
              <w:t>Notifications to the appropriate Regulatory bodies include: Teachers Registration Board of Tasmania, Australian Health Practitioners Regulatory Authority (AHPRA), Legal Profession Board, Working with Vulnerable People Registrar</w:t>
            </w:r>
          </w:p>
        </w:tc>
      </w:tr>
      <w:tr w:rsidR="00652E41" w:rsidRPr="00652E41" w14:paraId="2EBB5058" w14:textId="77777777" w:rsidTr="00AF6074">
        <w:trPr>
          <w:trHeight w:val="1215"/>
        </w:trPr>
        <w:tc>
          <w:tcPr>
            <w:tcW w:w="1124" w:type="dxa"/>
            <w:tcBorders>
              <w:top w:val="nil"/>
              <w:left w:val="single" w:sz="8" w:space="0" w:color="000000"/>
              <w:bottom w:val="single" w:sz="8" w:space="0" w:color="000000"/>
              <w:right w:val="single" w:sz="8" w:space="0" w:color="000000"/>
            </w:tcBorders>
            <w:shd w:val="clear" w:color="auto" w:fill="auto"/>
            <w:vAlign w:val="center"/>
            <w:hideMark/>
          </w:tcPr>
          <w:p w14:paraId="6F6822B7" w14:textId="77777777" w:rsidR="00652E41" w:rsidRPr="00652E41" w:rsidRDefault="00652E41" w:rsidP="00AF6074">
            <w:pPr>
              <w:widowControl/>
              <w:autoSpaceDE/>
              <w:autoSpaceDN/>
              <w:spacing w:line="276" w:lineRule="auto"/>
              <w:jc w:val="center"/>
              <w:rPr>
                <w:rFonts w:eastAsia="Times New Roman" w:cs="Calibri"/>
                <w:color w:val="000000"/>
                <w:lang w:val="en-AU" w:eastAsia="en-AU"/>
              </w:rPr>
            </w:pPr>
            <w:r w:rsidRPr="00652E41">
              <w:rPr>
                <w:rFonts w:eastAsia="Times New Roman" w:cs="Calibri"/>
                <w:color w:val="000000"/>
                <w:lang w:val="en-AU" w:eastAsia="en-AU"/>
              </w:rPr>
              <w:t>7</w:t>
            </w:r>
          </w:p>
        </w:tc>
        <w:tc>
          <w:tcPr>
            <w:tcW w:w="12828" w:type="dxa"/>
            <w:gridSpan w:val="11"/>
            <w:tcBorders>
              <w:top w:val="single" w:sz="8" w:space="0" w:color="000000"/>
              <w:left w:val="nil"/>
              <w:bottom w:val="single" w:sz="8" w:space="0" w:color="000000"/>
              <w:right w:val="single" w:sz="8" w:space="0" w:color="000000"/>
            </w:tcBorders>
            <w:shd w:val="clear" w:color="auto" w:fill="auto"/>
            <w:hideMark/>
          </w:tcPr>
          <w:p w14:paraId="0908B959" w14:textId="77777777" w:rsidR="00652E41" w:rsidRPr="00652E41" w:rsidRDefault="00652E41" w:rsidP="00AF6074">
            <w:pPr>
              <w:widowControl/>
              <w:autoSpaceDE/>
              <w:autoSpaceDN/>
              <w:spacing w:line="276" w:lineRule="auto"/>
              <w:rPr>
                <w:rFonts w:eastAsia="Times New Roman" w:cs="Calibri"/>
                <w:color w:val="000000"/>
                <w:lang w:val="en-AU" w:eastAsia="en-AU"/>
              </w:rPr>
            </w:pPr>
            <w:r w:rsidRPr="00652E41">
              <w:rPr>
                <w:rFonts w:eastAsia="Times New Roman" w:cs="Calibri"/>
                <w:color w:val="000000"/>
                <w:lang w:val="en-AU" w:eastAsia="en-AU"/>
              </w:rPr>
              <w:t>Notification to appropriate Legal authorities: means any agency established to prevent, detect, investigate or prosecute criminal offences and other offences (including, the Australian Federal Police, Tasmania Police, Director of Public Prosecutions), a Commission of Inquiry, the Attorney-General, the Solicitor-General, the Ombudsman, the Anti-Discrimination Commissioner, the Australian Crime Commission, and the Integrity Commission</w:t>
            </w:r>
          </w:p>
        </w:tc>
      </w:tr>
    </w:tbl>
    <w:p w14:paraId="3E526A3E" w14:textId="77777777" w:rsidR="00801E22" w:rsidRDefault="000A14BC" w:rsidP="00652E41">
      <w:pPr>
        <w:pStyle w:val="Heading1"/>
      </w:pPr>
      <w:r w:rsidRPr="00AE253D">
        <w:t xml:space="preserve"> </w:t>
      </w:r>
    </w:p>
    <w:p w14:paraId="15EB6CB0" w14:textId="77777777" w:rsidR="00801E22" w:rsidRDefault="00801E22">
      <w:pPr>
        <w:rPr>
          <w:rFonts w:asciiTheme="majorHAnsi" w:eastAsiaTheme="majorEastAsia" w:hAnsiTheme="majorHAnsi" w:cstheme="majorBidi"/>
          <w:color w:val="365F91" w:themeColor="accent1" w:themeShade="BF"/>
          <w:sz w:val="32"/>
          <w:szCs w:val="32"/>
        </w:rPr>
      </w:pPr>
      <w:r>
        <w:br w:type="page"/>
      </w:r>
    </w:p>
    <w:p w14:paraId="2C844AF9" w14:textId="0E6BD140" w:rsidR="00F7665C" w:rsidRDefault="00F7665C" w:rsidP="00652E41">
      <w:pPr>
        <w:pStyle w:val="Heading1"/>
      </w:pPr>
      <w:r w:rsidRPr="008A2622">
        <w:lastRenderedPageBreak/>
        <w:t xml:space="preserve">Section 3:  Update of assessment and actions by the Commissioner of Police of current and former Tasmania Police officers in relation to matters </w:t>
      </w:r>
      <w:r w:rsidR="00F36846">
        <w:t xml:space="preserve">referred to in the </w:t>
      </w:r>
      <w:r w:rsidRPr="008A2622">
        <w:t xml:space="preserve">Commission of Inquiry report as </w:t>
      </w:r>
      <w:proofErr w:type="gramStart"/>
      <w:r w:rsidRPr="008A2622">
        <w:t>at</w:t>
      </w:r>
      <w:proofErr w:type="gramEnd"/>
      <w:r w:rsidRPr="008A2622">
        <w:t xml:space="preserve"> </w:t>
      </w:r>
      <w:r w:rsidR="00B57C1E">
        <w:t>20</w:t>
      </w:r>
      <w:r w:rsidR="006910ED">
        <w:t xml:space="preserve"> February</w:t>
      </w:r>
      <w:r w:rsidR="00B57C1E">
        <w:t xml:space="preserve"> 2024</w:t>
      </w:r>
      <w:r w:rsidRPr="008A2622">
        <w:t>.</w:t>
      </w:r>
    </w:p>
    <w:p w14:paraId="539E26B3" w14:textId="753F7432" w:rsidR="00652E41" w:rsidRDefault="00652E41" w:rsidP="00F7665C"/>
    <w:tbl>
      <w:tblPr>
        <w:tblW w:w="13540" w:type="dxa"/>
        <w:tblLook w:val="04A0" w:firstRow="1" w:lastRow="0" w:firstColumn="1" w:lastColumn="0" w:noHBand="0" w:noVBand="1"/>
      </w:tblPr>
      <w:tblGrid>
        <w:gridCol w:w="1603"/>
        <w:gridCol w:w="1021"/>
        <w:gridCol w:w="1021"/>
        <w:gridCol w:w="1222"/>
        <w:gridCol w:w="1428"/>
        <w:gridCol w:w="1148"/>
        <w:gridCol w:w="1358"/>
        <w:gridCol w:w="1409"/>
        <w:gridCol w:w="1503"/>
        <w:gridCol w:w="1605"/>
        <w:gridCol w:w="222"/>
      </w:tblGrid>
      <w:tr w:rsidR="00652E41" w:rsidRPr="00652E41" w14:paraId="5FB98CE0" w14:textId="77777777" w:rsidTr="009C5DA1">
        <w:trPr>
          <w:gridAfter w:val="1"/>
          <w:wAfter w:w="222" w:type="dxa"/>
          <w:trHeight w:val="315"/>
        </w:trPr>
        <w:tc>
          <w:tcPr>
            <w:tcW w:w="1603" w:type="dxa"/>
            <w:tcBorders>
              <w:top w:val="single" w:sz="8" w:space="0" w:color="000000"/>
              <w:left w:val="single" w:sz="8" w:space="0" w:color="000000"/>
              <w:bottom w:val="nil"/>
              <w:right w:val="single" w:sz="8" w:space="0" w:color="000000"/>
            </w:tcBorders>
            <w:shd w:val="clear" w:color="000000" w:fill="D9D9D9"/>
            <w:vAlign w:val="center"/>
            <w:hideMark/>
          </w:tcPr>
          <w:p w14:paraId="0A2C2C56" w14:textId="77777777" w:rsidR="00652E41" w:rsidRPr="00652E41" w:rsidRDefault="00652E41" w:rsidP="00652E41">
            <w:pPr>
              <w:widowControl/>
              <w:autoSpaceDE/>
              <w:autoSpaceDN/>
              <w:jc w:val="center"/>
              <w:rPr>
                <w:rFonts w:eastAsia="Times New Roman" w:cs="Calibri"/>
                <w:color w:val="000000"/>
                <w:sz w:val="24"/>
                <w:szCs w:val="24"/>
                <w:lang w:val="en-AU" w:eastAsia="en-AU"/>
              </w:rPr>
            </w:pPr>
            <w:r w:rsidRPr="00652E41">
              <w:rPr>
                <w:rFonts w:eastAsia="Times New Roman" w:cs="Calibri"/>
                <w:color w:val="000000"/>
                <w:sz w:val="24"/>
                <w:szCs w:val="24"/>
                <w:lang w:val="en-AU" w:eastAsia="en-AU"/>
              </w:rPr>
              <w:t> </w:t>
            </w:r>
          </w:p>
        </w:tc>
        <w:tc>
          <w:tcPr>
            <w:tcW w:w="1021" w:type="dxa"/>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5BAD9BAC" w14:textId="77777777" w:rsidR="00652E41" w:rsidRPr="00652E41" w:rsidRDefault="00652E41" w:rsidP="00652E41">
            <w:pPr>
              <w:widowControl/>
              <w:autoSpaceDE/>
              <w:autoSpaceDN/>
              <w:jc w:val="center"/>
              <w:rPr>
                <w:rFonts w:eastAsia="Times New Roman" w:cs="Calibri"/>
                <w:color w:val="000000"/>
                <w:lang w:val="en-AU" w:eastAsia="en-AU"/>
              </w:rPr>
            </w:pPr>
            <w:r w:rsidRPr="00652E41">
              <w:rPr>
                <w:rFonts w:eastAsia="Times New Roman" w:cs="Calibri"/>
                <w:color w:val="000000"/>
                <w:lang w:val="en-AU" w:eastAsia="en-AU"/>
              </w:rPr>
              <w:t xml:space="preserve">Former Tasmania Police officer </w:t>
            </w:r>
          </w:p>
        </w:tc>
        <w:tc>
          <w:tcPr>
            <w:tcW w:w="1021" w:type="dxa"/>
            <w:vMerge w:val="restart"/>
            <w:tcBorders>
              <w:top w:val="single" w:sz="8" w:space="0" w:color="000000"/>
              <w:left w:val="single" w:sz="8" w:space="0" w:color="000000"/>
              <w:bottom w:val="single" w:sz="8" w:space="0" w:color="000000"/>
              <w:right w:val="single" w:sz="12" w:space="0" w:color="auto"/>
            </w:tcBorders>
            <w:shd w:val="clear" w:color="000000" w:fill="D9D9D9"/>
            <w:vAlign w:val="center"/>
            <w:hideMark/>
          </w:tcPr>
          <w:p w14:paraId="2E39EF10" w14:textId="77777777" w:rsidR="00652E41" w:rsidRPr="00652E41" w:rsidRDefault="00652E41" w:rsidP="00652E41">
            <w:pPr>
              <w:widowControl/>
              <w:autoSpaceDE/>
              <w:autoSpaceDN/>
              <w:jc w:val="center"/>
              <w:rPr>
                <w:rFonts w:eastAsia="Times New Roman" w:cs="Calibri"/>
                <w:color w:val="000000"/>
                <w:lang w:val="en-AU" w:eastAsia="en-AU"/>
              </w:rPr>
            </w:pPr>
            <w:r w:rsidRPr="00652E41">
              <w:rPr>
                <w:rFonts w:eastAsia="Times New Roman" w:cs="Calibri"/>
                <w:color w:val="000000"/>
                <w:lang w:val="en-AU" w:eastAsia="en-AU"/>
              </w:rPr>
              <w:t>Current Tasmania Police officer</w:t>
            </w:r>
          </w:p>
        </w:tc>
        <w:tc>
          <w:tcPr>
            <w:tcW w:w="2650" w:type="dxa"/>
            <w:gridSpan w:val="2"/>
            <w:vMerge w:val="restart"/>
            <w:tcBorders>
              <w:top w:val="single" w:sz="8" w:space="0" w:color="000000"/>
              <w:left w:val="single" w:sz="12" w:space="0" w:color="auto"/>
              <w:bottom w:val="single" w:sz="8" w:space="0" w:color="000000"/>
              <w:right w:val="single" w:sz="8" w:space="0" w:color="000000"/>
            </w:tcBorders>
            <w:shd w:val="clear" w:color="000000" w:fill="D9D9D9"/>
            <w:vAlign w:val="center"/>
            <w:hideMark/>
          </w:tcPr>
          <w:p w14:paraId="7F95053C" w14:textId="77777777" w:rsidR="00652E41" w:rsidRPr="00652E41" w:rsidRDefault="00652E41" w:rsidP="00652E41">
            <w:pPr>
              <w:widowControl/>
              <w:autoSpaceDE/>
              <w:autoSpaceDN/>
              <w:jc w:val="center"/>
              <w:rPr>
                <w:rFonts w:eastAsia="Times New Roman" w:cs="Calibri"/>
                <w:color w:val="000000"/>
                <w:lang w:val="en-AU" w:eastAsia="en-AU"/>
              </w:rPr>
            </w:pPr>
            <w:r w:rsidRPr="00652E41">
              <w:rPr>
                <w:rFonts w:eastAsia="Times New Roman" w:cs="Calibri"/>
                <w:color w:val="000000"/>
                <w:lang w:val="en-AU" w:eastAsia="en-AU"/>
              </w:rPr>
              <w:t xml:space="preserve">Assessments of COI report in relation to employee commentary by the Commissioner of Police </w:t>
            </w:r>
            <w:r w:rsidRPr="00652E41">
              <w:rPr>
                <w:rFonts w:eastAsia="Times New Roman" w:cs="Calibri"/>
                <w:color w:val="000000"/>
                <w:sz w:val="24"/>
                <w:szCs w:val="24"/>
                <w:vertAlign w:val="superscript"/>
                <w:lang w:val="en-AU" w:eastAsia="en-AU"/>
              </w:rPr>
              <w:t>1</w:t>
            </w:r>
          </w:p>
        </w:tc>
        <w:tc>
          <w:tcPr>
            <w:tcW w:w="1148" w:type="dxa"/>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12F6D97E" w14:textId="77777777" w:rsidR="00652E41" w:rsidRPr="00652E41" w:rsidRDefault="00652E41" w:rsidP="00652E41">
            <w:pPr>
              <w:widowControl/>
              <w:autoSpaceDE/>
              <w:autoSpaceDN/>
              <w:jc w:val="center"/>
              <w:rPr>
                <w:rFonts w:eastAsia="Times New Roman" w:cs="Calibri"/>
                <w:color w:val="000000"/>
                <w:lang w:val="en-AU" w:eastAsia="en-AU"/>
              </w:rPr>
            </w:pPr>
            <w:r w:rsidRPr="00652E41">
              <w:rPr>
                <w:rFonts w:eastAsia="Times New Roman" w:cs="Calibri"/>
                <w:color w:val="000000"/>
                <w:lang w:val="en-AU" w:eastAsia="en-AU"/>
              </w:rPr>
              <w:t>No further action</w:t>
            </w:r>
            <w:r w:rsidRPr="00652E41">
              <w:rPr>
                <w:rFonts w:eastAsia="Times New Roman" w:cs="Calibri"/>
                <w:color w:val="000000"/>
                <w:vertAlign w:val="superscript"/>
                <w:lang w:val="en-AU" w:eastAsia="en-AU"/>
              </w:rPr>
              <w:t>2</w:t>
            </w:r>
          </w:p>
        </w:tc>
        <w:tc>
          <w:tcPr>
            <w:tcW w:w="1358" w:type="dxa"/>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230272A5" w14:textId="77777777" w:rsidR="00652E41" w:rsidRPr="00652E41" w:rsidRDefault="00652E41" w:rsidP="00652E41">
            <w:pPr>
              <w:widowControl/>
              <w:autoSpaceDE/>
              <w:autoSpaceDN/>
              <w:jc w:val="center"/>
              <w:rPr>
                <w:rFonts w:eastAsia="Times New Roman" w:cs="Calibri"/>
                <w:color w:val="000000"/>
                <w:lang w:val="en-AU" w:eastAsia="en-AU"/>
              </w:rPr>
            </w:pPr>
            <w:r w:rsidRPr="00652E41">
              <w:rPr>
                <w:rFonts w:eastAsia="Times New Roman" w:cs="Calibri"/>
                <w:color w:val="000000"/>
                <w:lang w:val="en-AU" w:eastAsia="en-AU"/>
              </w:rPr>
              <w:t>Assessment against ABACUS commenced</w:t>
            </w:r>
            <w:r w:rsidRPr="00652E41">
              <w:rPr>
                <w:rFonts w:eastAsia="Times New Roman" w:cs="Calibri"/>
                <w:color w:val="000000"/>
                <w:vertAlign w:val="superscript"/>
                <w:lang w:val="en-AU" w:eastAsia="en-AU"/>
              </w:rPr>
              <w:t>3</w:t>
            </w:r>
          </w:p>
        </w:tc>
        <w:tc>
          <w:tcPr>
            <w:tcW w:w="4517" w:type="dxa"/>
            <w:gridSpan w:val="3"/>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2FF4DC70" w14:textId="77777777" w:rsidR="00652E41" w:rsidRPr="00652E41" w:rsidRDefault="00652E41" w:rsidP="00652E41">
            <w:pPr>
              <w:widowControl/>
              <w:autoSpaceDE/>
              <w:autoSpaceDN/>
              <w:jc w:val="center"/>
              <w:rPr>
                <w:rFonts w:eastAsia="Times New Roman" w:cs="Calibri"/>
                <w:color w:val="000000"/>
                <w:lang w:val="en-AU" w:eastAsia="en-AU"/>
              </w:rPr>
            </w:pPr>
            <w:r w:rsidRPr="00652E41">
              <w:rPr>
                <w:rFonts w:eastAsia="Times New Roman" w:cs="Calibri"/>
                <w:color w:val="000000"/>
                <w:lang w:val="en-AU" w:eastAsia="en-AU"/>
              </w:rPr>
              <w:t>Professional Standards inquiry or investigation findings</w:t>
            </w:r>
          </w:p>
        </w:tc>
      </w:tr>
      <w:tr w:rsidR="009C5DA1" w:rsidRPr="00652E41" w14:paraId="4EF9AA0D" w14:textId="77777777" w:rsidTr="009C5DA1">
        <w:trPr>
          <w:gridAfter w:val="1"/>
          <w:wAfter w:w="222" w:type="dxa"/>
          <w:trHeight w:val="1275"/>
        </w:trPr>
        <w:tc>
          <w:tcPr>
            <w:tcW w:w="1603" w:type="dxa"/>
            <w:vMerge w:val="restart"/>
            <w:tcBorders>
              <w:top w:val="nil"/>
              <w:left w:val="single" w:sz="8" w:space="0" w:color="000000"/>
              <w:right w:val="single" w:sz="8" w:space="0" w:color="000000"/>
            </w:tcBorders>
            <w:shd w:val="clear" w:color="000000" w:fill="D9D9D9"/>
            <w:vAlign w:val="center"/>
            <w:hideMark/>
          </w:tcPr>
          <w:p w14:paraId="2FA57588" w14:textId="77777777" w:rsidR="009C5DA1" w:rsidRPr="00652E41" w:rsidRDefault="009C5DA1" w:rsidP="00652E41">
            <w:pPr>
              <w:widowControl/>
              <w:autoSpaceDE/>
              <w:autoSpaceDN/>
              <w:jc w:val="center"/>
              <w:rPr>
                <w:rFonts w:eastAsia="Times New Roman" w:cs="Calibri"/>
                <w:color w:val="000000"/>
                <w:sz w:val="24"/>
                <w:szCs w:val="24"/>
                <w:lang w:val="en-AU" w:eastAsia="en-AU"/>
              </w:rPr>
            </w:pPr>
            <w:r w:rsidRPr="00652E41">
              <w:rPr>
                <w:rFonts w:eastAsia="Times New Roman" w:cs="Calibri"/>
                <w:color w:val="000000"/>
                <w:sz w:val="24"/>
                <w:szCs w:val="24"/>
                <w:lang w:val="en-AU" w:eastAsia="en-AU"/>
              </w:rPr>
              <w:t xml:space="preserve">Total number of employees referred in  the COI report </w:t>
            </w:r>
          </w:p>
          <w:p w14:paraId="6C5E658F" w14:textId="799AB68C" w:rsidR="009C5DA1" w:rsidRPr="00652E41" w:rsidRDefault="009C5DA1" w:rsidP="00652E41">
            <w:pPr>
              <w:widowControl/>
              <w:autoSpaceDE/>
              <w:autoSpaceDN/>
              <w:jc w:val="center"/>
              <w:rPr>
                <w:rFonts w:eastAsia="Times New Roman" w:cs="Calibri"/>
                <w:color w:val="000000"/>
                <w:sz w:val="24"/>
                <w:szCs w:val="24"/>
                <w:lang w:val="en-AU" w:eastAsia="en-AU"/>
              </w:rPr>
            </w:pPr>
            <w:r w:rsidRPr="00652E41">
              <w:rPr>
                <w:rFonts w:eastAsia="Times New Roman" w:cs="Calibri"/>
                <w:color w:val="000000"/>
                <w:lang w:val="en-AU" w:eastAsia="en-AU"/>
              </w:rPr>
              <w:t> </w:t>
            </w:r>
          </w:p>
        </w:tc>
        <w:tc>
          <w:tcPr>
            <w:tcW w:w="1021" w:type="dxa"/>
            <w:vMerge/>
            <w:tcBorders>
              <w:top w:val="single" w:sz="8" w:space="0" w:color="000000"/>
              <w:left w:val="single" w:sz="8" w:space="0" w:color="000000"/>
              <w:bottom w:val="single" w:sz="8" w:space="0" w:color="000000"/>
              <w:right w:val="single" w:sz="8" w:space="0" w:color="000000"/>
            </w:tcBorders>
            <w:vAlign w:val="center"/>
            <w:hideMark/>
          </w:tcPr>
          <w:p w14:paraId="7C6B0646" w14:textId="77777777" w:rsidR="009C5DA1" w:rsidRPr="00652E41" w:rsidRDefault="009C5DA1" w:rsidP="00652E41">
            <w:pPr>
              <w:widowControl/>
              <w:autoSpaceDE/>
              <w:autoSpaceDN/>
              <w:rPr>
                <w:rFonts w:eastAsia="Times New Roman" w:cs="Calibri"/>
                <w:color w:val="000000"/>
                <w:lang w:val="en-AU" w:eastAsia="en-AU"/>
              </w:rPr>
            </w:pPr>
          </w:p>
        </w:tc>
        <w:tc>
          <w:tcPr>
            <w:tcW w:w="1021" w:type="dxa"/>
            <w:vMerge/>
            <w:tcBorders>
              <w:top w:val="single" w:sz="8" w:space="0" w:color="000000"/>
              <w:left w:val="single" w:sz="8" w:space="0" w:color="000000"/>
              <w:bottom w:val="single" w:sz="8" w:space="0" w:color="000000"/>
              <w:right w:val="single" w:sz="12" w:space="0" w:color="auto"/>
            </w:tcBorders>
            <w:vAlign w:val="center"/>
            <w:hideMark/>
          </w:tcPr>
          <w:p w14:paraId="30DC97DA" w14:textId="77777777" w:rsidR="009C5DA1" w:rsidRPr="00652E41" w:rsidRDefault="009C5DA1" w:rsidP="00652E41">
            <w:pPr>
              <w:widowControl/>
              <w:autoSpaceDE/>
              <w:autoSpaceDN/>
              <w:rPr>
                <w:rFonts w:eastAsia="Times New Roman" w:cs="Calibri"/>
                <w:color w:val="000000"/>
                <w:lang w:val="en-AU" w:eastAsia="en-AU"/>
              </w:rPr>
            </w:pPr>
          </w:p>
        </w:tc>
        <w:tc>
          <w:tcPr>
            <w:tcW w:w="2650" w:type="dxa"/>
            <w:gridSpan w:val="2"/>
            <w:vMerge/>
            <w:tcBorders>
              <w:top w:val="single" w:sz="8" w:space="0" w:color="000000"/>
              <w:left w:val="single" w:sz="12" w:space="0" w:color="auto"/>
              <w:bottom w:val="single" w:sz="8" w:space="0" w:color="000000"/>
              <w:right w:val="single" w:sz="8" w:space="0" w:color="000000"/>
            </w:tcBorders>
            <w:vAlign w:val="center"/>
            <w:hideMark/>
          </w:tcPr>
          <w:p w14:paraId="19BA59BE" w14:textId="77777777" w:rsidR="009C5DA1" w:rsidRPr="00652E41" w:rsidRDefault="009C5DA1" w:rsidP="00652E41">
            <w:pPr>
              <w:widowControl/>
              <w:autoSpaceDE/>
              <w:autoSpaceDN/>
              <w:rPr>
                <w:rFonts w:eastAsia="Times New Roman" w:cs="Calibri"/>
                <w:color w:val="000000"/>
                <w:lang w:val="en-AU" w:eastAsia="en-AU"/>
              </w:rPr>
            </w:pPr>
          </w:p>
        </w:tc>
        <w:tc>
          <w:tcPr>
            <w:tcW w:w="1148" w:type="dxa"/>
            <w:vMerge/>
            <w:tcBorders>
              <w:top w:val="single" w:sz="8" w:space="0" w:color="000000"/>
              <w:left w:val="single" w:sz="8" w:space="0" w:color="000000"/>
              <w:bottom w:val="single" w:sz="8" w:space="0" w:color="000000"/>
              <w:right w:val="single" w:sz="8" w:space="0" w:color="000000"/>
            </w:tcBorders>
            <w:vAlign w:val="center"/>
            <w:hideMark/>
          </w:tcPr>
          <w:p w14:paraId="1D1195CF" w14:textId="77777777" w:rsidR="009C5DA1" w:rsidRPr="00652E41" w:rsidRDefault="009C5DA1" w:rsidP="00652E41">
            <w:pPr>
              <w:widowControl/>
              <w:autoSpaceDE/>
              <w:autoSpaceDN/>
              <w:rPr>
                <w:rFonts w:eastAsia="Times New Roman" w:cs="Calibri"/>
                <w:color w:val="000000"/>
                <w:lang w:val="en-AU" w:eastAsia="en-AU"/>
              </w:rPr>
            </w:pPr>
          </w:p>
        </w:tc>
        <w:tc>
          <w:tcPr>
            <w:tcW w:w="1358" w:type="dxa"/>
            <w:vMerge/>
            <w:tcBorders>
              <w:top w:val="single" w:sz="8" w:space="0" w:color="000000"/>
              <w:left w:val="single" w:sz="8" w:space="0" w:color="000000"/>
              <w:bottom w:val="single" w:sz="8" w:space="0" w:color="000000"/>
              <w:right w:val="single" w:sz="8" w:space="0" w:color="000000"/>
            </w:tcBorders>
            <w:vAlign w:val="center"/>
            <w:hideMark/>
          </w:tcPr>
          <w:p w14:paraId="46ACDA20" w14:textId="77777777" w:rsidR="009C5DA1" w:rsidRPr="00652E41" w:rsidRDefault="009C5DA1" w:rsidP="00652E41">
            <w:pPr>
              <w:widowControl/>
              <w:autoSpaceDE/>
              <w:autoSpaceDN/>
              <w:rPr>
                <w:rFonts w:eastAsia="Times New Roman" w:cs="Calibri"/>
                <w:color w:val="000000"/>
                <w:lang w:val="en-AU" w:eastAsia="en-AU"/>
              </w:rPr>
            </w:pPr>
          </w:p>
        </w:tc>
        <w:tc>
          <w:tcPr>
            <w:tcW w:w="4517" w:type="dxa"/>
            <w:gridSpan w:val="3"/>
            <w:vMerge/>
            <w:tcBorders>
              <w:top w:val="single" w:sz="8" w:space="0" w:color="000000"/>
              <w:left w:val="single" w:sz="8" w:space="0" w:color="000000"/>
              <w:bottom w:val="single" w:sz="8" w:space="0" w:color="000000"/>
              <w:right w:val="single" w:sz="8" w:space="0" w:color="000000"/>
            </w:tcBorders>
            <w:vAlign w:val="center"/>
            <w:hideMark/>
          </w:tcPr>
          <w:p w14:paraId="7038D2BE" w14:textId="77777777" w:rsidR="009C5DA1" w:rsidRPr="00652E41" w:rsidRDefault="009C5DA1" w:rsidP="00652E41">
            <w:pPr>
              <w:widowControl/>
              <w:autoSpaceDE/>
              <w:autoSpaceDN/>
              <w:rPr>
                <w:rFonts w:eastAsia="Times New Roman" w:cs="Calibri"/>
                <w:color w:val="000000"/>
                <w:lang w:val="en-AU" w:eastAsia="en-AU"/>
              </w:rPr>
            </w:pPr>
          </w:p>
        </w:tc>
      </w:tr>
      <w:tr w:rsidR="009C5DA1" w:rsidRPr="00652E41" w14:paraId="75965722" w14:textId="77777777" w:rsidTr="009C5DA1">
        <w:trPr>
          <w:gridAfter w:val="1"/>
          <w:wAfter w:w="222" w:type="dxa"/>
          <w:trHeight w:val="1815"/>
        </w:trPr>
        <w:tc>
          <w:tcPr>
            <w:tcW w:w="1603" w:type="dxa"/>
            <w:vMerge/>
            <w:tcBorders>
              <w:left w:val="single" w:sz="8" w:space="0" w:color="000000"/>
              <w:bottom w:val="single" w:sz="8" w:space="0" w:color="000000"/>
              <w:right w:val="single" w:sz="8" w:space="0" w:color="000000"/>
            </w:tcBorders>
            <w:shd w:val="clear" w:color="000000" w:fill="D9D9D9"/>
            <w:vAlign w:val="center"/>
            <w:hideMark/>
          </w:tcPr>
          <w:p w14:paraId="5AFD8545" w14:textId="073CFEA4" w:rsidR="009C5DA1" w:rsidRPr="00652E41" w:rsidRDefault="009C5DA1" w:rsidP="00652E41">
            <w:pPr>
              <w:widowControl/>
              <w:autoSpaceDE/>
              <w:autoSpaceDN/>
              <w:jc w:val="center"/>
              <w:rPr>
                <w:rFonts w:eastAsia="Times New Roman" w:cs="Calibri"/>
                <w:color w:val="000000"/>
                <w:lang w:val="en-AU" w:eastAsia="en-AU"/>
              </w:rPr>
            </w:pPr>
          </w:p>
        </w:tc>
        <w:tc>
          <w:tcPr>
            <w:tcW w:w="1021" w:type="dxa"/>
            <w:vMerge/>
            <w:tcBorders>
              <w:top w:val="single" w:sz="8" w:space="0" w:color="000000"/>
              <w:left w:val="single" w:sz="8" w:space="0" w:color="000000"/>
              <w:bottom w:val="single" w:sz="8" w:space="0" w:color="000000"/>
              <w:right w:val="single" w:sz="8" w:space="0" w:color="000000"/>
            </w:tcBorders>
            <w:vAlign w:val="center"/>
            <w:hideMark/>
          </w:tcPr>
          <w:p w14:paraId="4AEE8C05" w14:textId="77777777" w:rsidR="009C5DA1" w:rsidRPr="00652E41" w:rsidRDefault="009C5DA1" w:rsidP="00652E41">
            <w:pPr>
              <w:widowControl/>
              <w:autoSpaceDE/>
              <w:autoSpaceDN/>
              <w:rPr>
                <w:rFonts w:eastAsia="Times New Roman" w:cs="Calibri"/>
                <w:color w:val="000000"/>
                <w:lang w:val="en-AU" w:eastAsia="en-AU"/>
              </w:rPr>
            </w:pPr>
          </w:p>
        </w:tc>
        <w:tc>
          <w:tcPr>
            <w:tcW w:w="1021" w:type="dxa"/>
            <w:vMerge/>
            <w:tcBorders>
              <w:top w:val="single" w:sz="8" w:space="0" w:color="000000"/>
              <w:left w:val="single" w:sz="8" w:space="0" w:color="000000"/>
              <w:bottom w:val="single" w:sz="8" w:space="0" w:color="000000"/>
              <w:right w:val="single" w:sz="12" w:space="0" w:color="auto"/>
            </w:tcBorders>
            <w:vAlign w:val="center"/>
            <w:hideMark/>
          </w:tcPr>
          <w:p w14:paraId="3C7E817F" w14:textId="77777777" w:rsidR="009C5DA1" w:rsidRPr="00652E41" w:rsidRDefault="009C5DA1" w:rsidP="00652E41">
            <w:pPr>
              <w:widowControl/>
              <w:autoSpaceDE/>
              <w:autoSpaceDN/>
              <w:rPr>
                <w:rFonts w:eastAsia="Times New Roman" w:cs="Calibri"/>
                <w:color w:val="000000"/>
                <w:lang w:val="en-AU" w:eastAsia="en-AU"/>
              </w:rPr>
            </w:pPr>
          </w:p>
        </w:tc>
        <w:tc>
          <w:tcPr>
            <w:tcW w:w="1222" w:type="dxa"/>
            <w:tcBorders>
              <w:top w:val="nil"/>
              <w:left w:val="nil"/>
              <w:bottom w:val="single" w:sz="8" w:space="0" w:color="000000"/>
              <w:right w:val="single" w:sz="8" w:space="0" w:color="000000"/>
            </w:tcBorders>
            <w:shd w:val="clear" w:color="000000" w:fill="D9D9D9"/>
            <w:vAlign w:val="center"/>
            <w:hideMark/>
          </w:tcPr>
          <w:p w14:paraId="5C3AAB45" w14:textId="77777777" w:rsidR="009C5DA1" w:rsidRPr="00652E41" w:rsidRDefault="009C5DA1" w:rsidP="00652E41">
            <w:pPr>
              <w:widowControl/>
              <w:autoSpaceDE/>
              <w:autoSpaceDN/>
              <w:jc w:val="center"/>
              <w:rPr>
                <w:rFonts w:eastAsia="Times New Roman" w:cs="Calibri"/>
                <w:color w:val="000000"/>
                <w:lang w:val="en-AU" w:eastAsia="en-AU"/>
              </w:rPr>
            </w:pPr>
            <w:r w:rsidRPr="00652E41">
              <w:rPr>
                <w:rFonts w:eastAsia="Times New Roman" w:cs="Calibri"/>
                <w:color w:val="000000"/>
                <w:lang w:val="en-AU" w:eastAsia="en-AU"/>
              </w:rPr>
              <w:t>Underway</w:t>
            </w:r>
          </w:p>
        </w:tc>
        <w:tc>
          <w:tcPr>
            <w:tcW w:w="1428" w:type="dxa"/>
            <w:tcBorders>
              <w:top w:val="nil"/>
              <w:left w:val="nil"/>
              <w:bottom w:val="single" w:sz="8" w:space="0" w:color="000000"/>
              <w:right w:val="single" w:sz="8" w:space="0" w:color="000000"/>
            </w:tcBorders>
            <w:shd w:val="clear" w:color="000000" w:fill="D9D9D9"/>
            <w:vAlign w:val="center"/>
            <w:hideMark/>
          </w:tcPr>
          <w:p w14:paraId="51C95081" w14:textId="77777777" w:rsidR="009C5DA1" w:rsidRPr="00652E41" w:rsidRDefault="009C5DA1" w:rsidP="00652E41">
            <w:pPr>
              <w:widowControl/>
              <w:autoSpaceDE/>
              <w:autoSpaceDN/>
              <w:jc w:val="center"/>
              <w:rPr>
                <w:rFonts w:eastAsia="Times New Roman" w:cs="Calibri"/>
                <w:color w:val="000000"/>
                <w:lang w:val="en-AU" w:eastAsia="en-AU"/>
              </w:rPr>
            </w:pPr>
            <w:r w:rsidRPr="00652E41">
              <w:rPr>
                <w:rFonts w:eastAsia="Times New Roman" w:cs="Calibri"/>
                <w:color w:val="000000"/>
                <w:lang w:val="en-AU" w:eastAsia="en-AU"/>
              </w:rPr>
              <w:t>Complete</w:t>
            </w:r>
          </w:p>
        </w:tc>
        <w:tc>
          <w:tcPr>
            <w:tcW w:w="1148" w:type="dxa"/>
            <w:vMerge/>
            <w:tcBorders>
              <w:top w:val="single" w:sz="8" w:space="0" w:color="000000"/>
              <w:left w:val="single" w:sz="8" w:space="0" w:color="000000"/>
              <w:bottom w:val="single" w:sz="8" w:space="0" w:color="000000"/>
              <w:right w:val="single" w:sz="8" w:space="0" w:color="000000"/>
            </w:tcBorders>
            <w:vAlign w:val="center"/>
            <w:hideMark/>
          </w:tcPr>
          <w:p w14:paraId="332247EB" w14:textId="77777777" w:rsidR="009C5DA1" w:rsidRPr="00652E41" w:rsidRDefault="009C5DA1" w:rsidP="00652E41">
            <w:pPr>
              <w:widowControl/>
              <w:autoSpaceDE/>
              <w:autoSpaceDN/>
              <w:rPr>
                <w:rFonts w:eastAsia="Times New Roman" w:cs="Calibri"/>
                <w:color w:val="000000"/>
                <w:lang w:val="en-AU" w:eastAsia="en-AU"/>
              </w:rPr>
            </w:pPr>
          </w:p>
        </w:tc>
        <w:tc>
          <w:tcPr>
            <w:tcW w:w="1358" w:type="dxa"/>
            <w:vMerge/>
            <w:tcBorders>
              <w:top w:val="single" w:sz="8" w:space="0" w:color="000000"/>
              <w:left w:val="single" w:sz="8" w:space="0" w:color="000000"/>
              <w:bottom w:val="single" w:sz="8" w:space="0" w:color="000000"/>
              <w:right w:val="single" w:sz="8" w:space="0" w:color="000000"/>
            </w:tcBorders>
            <w:vAlign w:val="center"/>
            <w:hideMark/>
          </w:tcPr>
          <w:p w14:paraId="452DE128" w14:textId="77777777" w:rsidR="009C5DA1" w:rsidRPr="00652E41" w:rsidRDefault="009C5DA1" w:rsidP="00652E41">
            <w:pPr>
              <w:widowControl/>
              <w:autoSpaceDE/>
              <w:autoSpaceDN/>
              <w:rPr>
                <w:rFonts w:eastAsia="Times New Roman" w:cs="Calibri"/>
                <w:color w:val="000000"/>
                <w:lang w:val="en-AU" w:eastAsia="en-AU"/>
              </w:rPr>
            </w:pPr>
          </w:p>
        </w:tc>
        <w:tc>
          <w:tcPr>
            <w:tcW w:w="1409" w:type="dxa"/>
            <w:tcBorders>
              <w:top w:val="nil"/>
              <w:left w:val="nil"/>
              <w:bottom w:val="single" w:sz="8" w:space="0" w:color="000000"/>
              <w:right w:val="single" w:sz="8" w:space="0" w:color="000000"/>
            </w:tcBorders>
            <w:shd w:val="clear" w:color="auto" w:fill="auto"/>
            <w:vAlign w:val="center"/>
            <w:hideMark/>
          </w:tcPr>
          <w:p w14:paraId="0C238CC2" w14:textId="77777777" w:rsidR="009C5DA1" w:rsidRPr="00652E41" w:rsidRDefault="009C5DA1" w:rsidP="00652E41">
            <w:pPr>
              <w:widowControl/>
              <w:autoSpaceDE/>
              <w:autoSpaceDN/>
              <w:jc w:val="center"/>
              <w:rPr>
                <w:rFonts w:eastAsia="Times New Roman" w:cs="Calibri"/>
                <w:color w:val="000000"/>
                <w:lang w:val="en-AU" w:eastAsia="en-AU"/>
              </w:rPr>
            </w:pPr>
            <w:r w:rsidRPr="00652E41">
              <w:rPr>
                <w:rFonts w:eastAsia="Times New Roman" w:cs="Calibri"/>
                <w:color w:val="000000"/>
                <w:lang w:val="en-AU" w:eastAsia="en-AU"/>
              </w:rPr>
              <w:t>Breach of Code of Conduct found and sanction determined</w:t>
            </w:r>
          </w:p>
        </w:tc>
        <w:tc>
          <w:tcPr>
            <w:tcW w:w="1503" w:type="dxa"/>
            <w:tcBorders>
              <w:top w:val="nil"/>
              <w:left w:val="nil"/>
              <w:bottom w:val="single" w:sz="8" w:space="0" w:color="000000"/>
              <w:right w:val="single" w:sz="8" w:space="0" w:color="000000"/>
            </w:tcBorders>
            <w:shd w:val="clear" w:color="auto" w:fill="auto"/>
            <w:vAlign w:val="center"/>
            <w:hideMark/>
          </w:tcPr>
          <w:p w14:paraId="4ADB9E0E" w14:textId="77777777" w:rsidR="009C5DA1" w:rsidRPr="00652E41" w:rsidRDefault="009C5DA1" w:rsidP="00652E41">
            <w:pPr>
              <w:widowControl/>
              <w:autoSpaceDE/>
              <w:autoSpaceDN/>
              <w:jc w:val="center"/>
              <w:rPr>
                <w:rFonts w:eastAsia="Times New Roman" w:cs="Calibri"/>
                <w:color w:val="000000"/>
                <w:lang w:val="en-AU" w:eastAsia="en-AU"/>
              </w:rPr>
            </w:pPr>
            <w:r w:rsidRPr="00652E41">
              <w:rPr>
                <w:rFonts w:eastAsia="Times New Roman" w:cs="Calibri"/>
                <w:color w:val="000000"/>
                <w:lang w:val="en-AU" w:eastAsia="en-AU"/>
              </w:rPr>
              <w:t>Incomplete</w:t>
            </w:r>
            <w:r w:rsidRPr="00652E41">
              <w:rPr>
                <w:rFonts w:eastAsia="Times New Roman" w:cs="Calibri"/>
                <w:color w:val="000000"/>
                <w:vertAlign w:val="superscript"/>
                <w:lang w:val="en-AU" w:eastAsia="en-AU"/>
              </w:rPr>
              <w:t>4</w:t>
            </w:r>
          </w:p>
        </w:tc>
        <w:tc>
          <w:tcPr>
            <w:tcW w:w="1605" w:type="dxa"/>
            <w:tcBorders>
              <w:top w:val="nil"/>
              <w:left w:val="nil"/>
              <w:bottom w:val="single" w:sz="8" w:space="0" w:color="000000"/>
              <w:right w:val="single" w:sz="8" w:space="0" w:color="000000"/>
            </w:tcBorders>
            <w:shd w:val="clear" w:color="auto" w:fill="auto"/>
            <w:vAlign w:val="center"/>
            <w:hideMark/>
          </w:tcPr>
          <w:p w14:paraId="664B6609" w14:textId="77777777" w:rsidR="009C5DA1" w:rsidRPr="00652E41" w:rsidRDefault="009C5DA1" w:rsidP="00652E41">
            <w:pPr>
              <w:widowControl/>
              <w:autoSpaceDE/>
              <w:autoSpaceDN/>
              <w:jc w:val="center"/>
              <w:rPr>
                <w:rFonts w:eastAsia="Times New Roman" w:cs="Calibri"/>
                <w:color w:val="000000"/>
                <w:lang w:val="en-AU" w:eastAsia="en-AU"/>
              </w:rPr>
            </w:pPr>
            <w:r w:rsidRPr="00652E41">
              <w:rPr>
                <w:rFonts w:eastAsia="Times New Roman" w:cs="Calibri"/>
                <w:color w:val="000000"/>
                <w:lang w:val="en-AU" w:eastAsia="en-AU"/>
              </w:rPr>
              <w:t>No breach of Code of Conduct</w:t>
            </w:r>
          </w:p>
        </w:tc>
      </w:tr>
      <w:tr w:rsidR="00652E41" w:rsidRPr="00652E41" w14:paraId="47C4B9F5" w14:textId="77777777" w:rsidTr="009A1B22">
        <w:trPr>
          <w:gridAfter w:val="1"/>
          <w:wAfter w:w="222" w:type="dxa"/>
          <w:trHeight w:val="315"/>
        </w:trPr>
        <w:tc>
          <w:tcPr>
            <w:tcW w:w="1603" w:type="dxa"/>
            <w:vMerge w:val="restart"/>
            <w:tcBorders>
              <w:top w:val="nil"/>
              <w:left w:val="single" w:sz="8" w:space="0" w:color="000000"/>
              <w:bottom w:val="single" w:sz="8" w:space="0" w:color="000000"/>
              <w:right w:val="single" w:sz="8" w:space="0" w:color="000000"/>
            </w:tcBorders>
            <w:shd w:val="clear" w:color="auto" w:fill="auto"/>
            <w:vAlign w:val="center"/>
          </w:tcPr>
          <w:p w14:paraId="2399BAD3" w14:textId="79872EA1" w:rsidR="00652E41" w:rsidRPr="00652E41" w:rsidRDefault="00EA414D" w:rsidP="00652E41">
            <w:pPr>
              <w:widowControl/>
              <w:autoSpaceDE/>
              <w:autoSpaceDN/>
              <w:jc w:val="center"/>
              <w:rPr>
                <w:rFonts w:eastAsia="Times New Roman" w:cs="Calibri"/>
                <w:color w:val="000000"/>
                <w:sz w:val="24"/>
                <w:szCs w:val="24"/>
                <w:lang w:val="en-AU" w:eastAsia="en-AU"/>
              </w:rPr>
            </w:pPr>
            <w:r>
              <w:rPr>
                <w:rFonts w:eastAsia="Times New Roman" w:cs="Calibri"/>
                <w:color w:val="000000"/>
                <w:sz w:val="24"/>
                <w:szCs w:val="24"/>
                <w:lang w:val="en-AU" w:eastAsia="en-AU"/>
              </w:rPr>
              <w:t>6</w:t>
            </w:r>
          </w:p>
        </w:tc>
        <w:tc>
          <w:tcPr>
            <w:tcW w:w="1021" w:type="dxa"/>
            <w:vMerge w:val="restart"/>
            <w:tcBorders>
              <w:top w:val="nil"/>
              <w:left w:val="single" w:sz="8" w:space="0" w:color="000000"/>
              <w:bottom w:val="single" w:sz="8" w:space="0" w:color="000000"/>
              <w:right w:val="single" w:sz="8" w:space="0" w:color="000000"/>
            </w:tcBorders>
            <w:shd w:val="clear" w:color="auto" w:fill="auto"/>
            <w:vAlign w:val="center"/>
          </w:tcPr>
          <w:p w14:paraId="5BA0F3B6" w14:textId="5214E18E" w:rsidR="00652E41" w:rsidRPr="00652E41" w:rsidRDefault="00EA414D" w:rsidP="00652E41">
            <w:pPr>
              <w:widowControl/>
              <w:autoSpaceDE/>
              <w:autoSpaceDN/>
              <w:jc w:val="center"/>
              <w:rPr>
                <w:rFonts w:eastAsia="Times New Roman" w:cs="Calibri"/>
                <w:color w:val="000000"/>
                <w:sz w:val="24"/>
                <w:szCs w:val="24"/>
                <w:lang w:val="en-AU" w:eastAsia="en-AU"/>
              </w:rPr>
            </w:pPr>
            <w:r>
              <w:rPr>
                <w:rFonts w:eastAsia="Times New Roman" w:cs="Calibri"/>
                <w:color w:val="000000"/>
                <w:sz w:val="24"/>
                <w:szCs w:val="24"/>
                <w:lang w:val="en-AU" w:eastAsia="en-AU"/>
              </w:rPr>
              <w:t>3</w:t>
            </w:r>
          </w:p>
        </w:tc>
        <w:tc>
          <w:tcPr>
            <w:tcW w:w="1021" w:type="dxa"/>
            <w:vMerge w:val="restart"/>
            <w:tcBorders>
              <w:top w:val="nil"/>
              <w:left w:val="single" w:sz="8" w:space="0" w:color="000000"/>
              <w:bottom w:val="single" w:sz="8" w:space="0" w:color="000000"/>
              <w:right w:val="single" w:sz="12" w:space="0" w:color="auto"/>
            </w:tcBorders>
            <w:shd w:val="clear" w:color="auto" w:fill="auto"/>
            <w:vAlign w:val="center"/>
          </w:tcPr>
          <w:p w14:paraId="48B27CC3" w14:textId="061DE339" w:rsidR="00652E41" w:rsidRPr="00652E41" w:rsidRDefault="00EA414D" w:rsidP="00652E41">
            <w:pPr>
              <w:widowControl/>
              <w:autoSpaceDE/>
              <w:autoSpaceDN/>
              <w:jc w:val="center"/>
              <w:rPr>
                <w:rFonts w:eastAsia="Times New Roman" w:cs="Calibri"/>
                <w:color w:val="000000"/>
                <w:sz w:val="24"/>
                <w:szCs w:val="24"/>
                <w:lang w:val="en-AU" w:eastAsia="en-AU"/>
              </w:rPr>
            </w:pPr>
            <w:r>
              <w:rPr>
                <w:rFonts w:eastAsia="Times New Roman" w:cs="Calibri"/>
                <w:color w:val="000000"/>
                <w:sz w:val="24"/>
                <w:szCs w:val="24"/>
                <w:lang w:val="en-AU" w:eastAsia="en-AU"/>
              </w:rPr>
              <w:t>3</w:t>
            </w:r>
          </w:p>
        </w:tc>
        <w:tc>
          <w:tcPr>
            <w:tcW w:w="1222" w:type="dxa"/>
            <w:vMerge w:val="restart"/>
            <w:tcBorders>
              <w:top w:val="nil"/>
              <w:left w:val="single" w:sz="12" w:space="0" w:color="auto"/>
              <w:bottom w:val="single" w:sz="8" w:space="0" w:color="000000"/>
              <w:right w:val="single" w:sz="8" w:space="0" w:color="000000"/>
            </w:tcBorders>
            <w:shd w:val="clear" w:color="auto" w:fill="auto"/>
            <w:vAlign w:val="center"/>
          </w:tcPr>
          <w:p w14:paraId="0269110C" w14:textId="43A2C4FE" w:rsidR="00652E41" w:rsidRPr="00652E41" w:rsidRDefault="00EA414D" w:rsidP="00652E41">
            <w:pPr>
              <w:widowControl/>
              <w:autoSpaceDE/>
              <w:autoSpaceDN/>
              <w:jc w:val="center"/>
              <w:rPr>
                <w:rFonts w:eastAsia="Times New Roman" w:cs="Calibri"/>
                <w:color w:val="000000"/>
                <w:sz w:val="24"/>
                <w:szCs w:val="24"/>
                <w:lang w:val="en-AU" w:eastAsia="en-AU"/>
              </w:rPr>
            </w:pPr>
            <w:r>
              <w:rPr>
                <w:rFonts w:eastAsia="Times New Roman" w:cs="Calibri"/>
                <w:color w:val="000000"/>
                <w:sz w:val="24"/>
                <w:szCs w:val="24"/>
                <w:lang w:val="en-AU" w:eastAsia="en-AU"/>
              </w:rPr>
              <w:t>0</w:t>
            </w:r>
          </w:p>
        </w:tc>
        <w:tc>
          <w:tcPr>
            <w:tcW w:w="1428" w:type="dxa"/>
            <w:vMerge w:val="restart"/>
            <w:tcBorders>
              <w:top w:val="nil"/>
              <w:left w:val="single" w:sz="8" w:space="0" w:color="000000"/>
              <w:bottom w:val="single" w:sz="8" w:space="0" w:color="000000"/>
              <w:right w:val="single" w:sz="8" w:space="0" w:color="000000"/>
            </w:tcBorders>
            <w:shd w:val="clear" w:color="auto" w:fill="auto"/>
            <w:vAlign w:val="center"/>
          </w:tcPr>
          <w:p w14:paraId="13BFA26C" w14:textId="566C2275" w:rsidR="00652E41" w:rsidRPr="00652E41" w:rsidRDefault="00EA414D" w:rsidP="00652E41">
            <w:pPr>
              <w:widowControl/>
              <w:autoSpaceDE/>
              <w:autoSpaceDN/>
              <w:jc w:val="center"/>
              <w:rPr>
                <w:rFonts w:eastAsia="Times New Roman" w:cs="Calibri"/>
                <w:color w:val="000000"/>
                <w:sz w:val="24"/>
                <w:szCs w:val="24"/>
                <w:lang w:val="en-AU" w:eastAsia="en-AU"/>
              </w:rPr>
            </w:pPr>
            <w:r>
              <w:rPr>
                <w:rFonts w:eastAsia="Times New Roman" w:cs="Calibri"/>
                <w:color w:val="000000"/>
                <w:sz w:val="24"/>
                <w:szCs w:val="24"/>
                <w:lang w:val="en-AU" w:eastAsia="en-AU"/>
              </w:rPr>
              <w:t>6</w:t>
            </w:r>
          </w:p>
        </w:tc>
        <w:tc>
          <w:tcPr>
            <w:tcW w:w="1148" w:type="dxa"/>
            <w:vMerge w:val="restart"/>
            <w:tcBorders>
              <w:top w:val="nil"/>
              <w:left w:val="single" w:sz="8" w:space="0" w:color="000000"/>
              <w:bottom w:val="single" w:sz="8" w:space="0" w:color="000000"/>
              <w:right w:val="single" w:sz="8" w:space="0" w:color="000000"/>
            </w:tcBorders>
            <w:shd w:val="clear" w:color="auto" w:fill="auto"/>
            <w:vAlign w:val="center"/>
          </w:tcPr>
          <w:p w14:paraId="39C6D165" w14:textId="0D72C8B6" w:rsidR="00652E41" w:rsidRPr="00652E41" w:rsidRDefault="00EA414D" w:rsidP="00652E41">
            <w:pPr>
              <w:widowControl/>
              <w:autoSpaceDE/>
              <w:autoSpaceDN/>
              <w:jc w:val="center"/>
              <w:rPr>
                <w:rFonts w:eastAsia="Times New Roman" w:cs="Calibri"/>
                <w:color w:val="000000"/>
                <w:sz w:val="24"/>
                <w:szCs w:val="24"/>
                <w:lang w:val="en-AU" w:eastAsia="en-AU"/>
              </w:rPr>
            </w:pPr>
            <w:r>
              <w:rPr>
                <w:rFonts w:eastAsia="Times New Roman" w:cs="Calibri"/>
                <w:color w:val="000000"/>
                <w:sz w:val="24"/>
                <w:szCs w:val="24"/>
                <w:lang w:val="en-AU" w:eastAsia="en-AU"/>
              </w:rPr>
              <w:t>2</w:t>
            </w:r>
          </w:p>
        </w:tc>
        <w:tc>
          <w:tcPr>
            <w:tcW w:w="1358" w:type="dxa"/>
            <w:vMerge w:val="restart"/>
            <w:tcBorders>
              <w:top w:val="nil"/>
              <w:left w:val="single" w:sz="8" w:space="0" w:color="000000"/>
              <w:bottom w:val="single" w:sz="8" w:space="0" w:color="000000"/>
              <w:right w:val="single" w:sz="8" w:space="0" w:color="000000"/>
            </w:tcBorders>
            <w:shd w:val="clear" w:color="auto" w:fill="auto"/>
            <w:vAlign w:val="center"/>
          </w:tcPr>
          <w:p w14:paraId="1B5BD71A" w14:textId="078A984E" w:rsidR="00652E41" w:rsidRPr="00652E41" w:rsidRDefault="00EA414D" w:rsidP="00652E41">
            <w:pPr>
              <w:widowControl/>
              <w:autoSpaceDE/>
              <w:autoSpaceDN/>
              <w:jc w:val="center"/>
              <w:rPr>
                <w:rFonts w:eastAsia="Times New Roman" w:cs="Calibri"/>
                <w:color w:val="000000"/>
                <w:sz w:val="24"/>
                <w:szCs w:val="24"/>
                <w:lang w:val="en-AU" w:eastAsia="en-AU"/>
              </w:rPr>
            </w:pPr>
            <w:r>
              <w:rPr>
                <w:rFonts w:eastAsia="Times New Roman" w:cs="Calibri"/>
                <w:color w:val="000000"/>
                <w:sz w:val="24"/>
                <w:szCs w:val="24"/>
                <w:lang w:val="en-AU" w:eastAsia="en-AU"/>
              </w:rPr>
              <w:t>4</w:t>
            </w:r>
          </w:p>
        </w:tc>
        <w:tc>
          <w:tcPr>
            <w:tcW w:w="1409" w:type="dxa"/>
            <w:vMerge w:val="restart"/>
            <w:tcBorders>
              <w:top w:val="nil"/>
              <w:left w:val="single" w:sz="8" w:space="0" w:color="000000"/>
              <w:bottom w:val="single" w:sz="8" w:space="0" w:color="000000"/>
              <w:right w:val="single" w:sz="8" w:space="0" w:color="000000"/>
            </w:tcBorders>
            <w:shd w:val="clear" w:color="auto" w:fill="auto"/>
            <w:vAlign w:val="center"/>
          </w:tcPr>
          <w:p w14:paraId="2D57B7E5" w14:textId="6B01A5ED" w:rsidR="00652E41" w:rsidRPr="00652E41" w:rsidRDefault="00EA414D" w:rsidP="00652E41">
            <w:pPr>
              <w:widowControl/>
              <w:autoSpaceDE/>
              <w:autoSpaceDN/>
              <w:jc w:val="center"/>
              <w:rPr>
                <w:rFonts w:eastAsia="Times New Roman" w:cs="Calibri"/>
                <w:color w:val="000000"/>
                <w:sz w:val="24"/>
                <w:szCs w:val="24"/>
                <w:lang w:val="en-AU" w:eastAsia="en-AU"/>
              </w:rPr>
            </w:pPr>
            <w:r>
              <w:rPr>
                <w:rFonts w:eastAsia="Times New Roman" w:cs="Calibri"/>
                <w:color w:val="000000"/>
                <w:sz w:val="24"/>
                <w:szCs w:val="24"/>
                <w:lang w:val="en-AU" w:eastAsia="en-AU"/>
              </w:rPr>
              <w:t>3</w:t>
            </w:r>
          </w:p>
        </w:tc>
        <w:tc>
          <w:tcPr>
            <w:tcW w:w="1503" w:type="dxa"/>
            <w:vMerge w:val="restart"/>
            <w:tcBorders>
              <w:top w:val="nil"/>
              <w:left w:val="single" w:sz="8" w:space="0" w:color="000000"/>
              <w:bottom w:val="single" w:sz="8" w:space="0" w:color="000000"/>
              <w:right w:val="single" w:sz="8" w:space="0" w:color="000000"/>
            </w:tcBorders>
            <w:shd w:val="clear" w:color="auto" w:fill="auto"/>
            <w:vAlign w:val="center"/>
          </w:tcPr>
          <w:p w14:paraId="19368F8E" w14:textId="39475AC7" w:rsidR="00652E41" w:rsidRPr="00652E41" w:rsidRDefault="00EA414D" w:rsidP="00652E41">
            <w:pPr>
              <w:widowControl/>
              <w:autoSpaceDE/>
              <w:autoSpaceDN/>
              <w:ind w:firstLineChars="300" w:firstLine="720"/>
              <w:rPr>
                <w:rFonts w:eastAsia="Times New Roman" w:cs="Calibri"/>
                <w:color w:val="000000"/>
                <w:sz w:val="24"/>
                <w:szCs w:val="24"/>
                <w:lang w:val="en-AU" w:eastAsia="en-AU"/>
              </w:rPr>
            </w:pPr>
            <w:r>
              <w:rPr>
                <w:rFonts w:eastAsia="Times New Roman" w:cs="Calibri"/>
                <w:color w:val="000000"/>
                <w:sz w:val="24"/>
                <w:szCs w:val="24"/>
                <w:lang w:val="en-AU" w:eastAsia="en-AU"/>
              </w:rPr>
              <w:t>1</w:t>
            </w:r>
          </w:p>
        </w:tc>
        <w:tc>
          <w:tcPr>
            <w:tcW w:w="1605" w:type="dxa"/>
            <w:vMerge w:val="restart"/>
            <w:tcBorders>
              <w:top w:val="nil"/>
              <w:left w:val="single" w:sz="8" w:space="0" w:color="000000"/>
              <w:bottom w:val="single" w:sz="8" w:space="0" w:color="000000"/>
              <w:right w:val="single" w:sz="8" w:space="0" w:color="000000"/>
            </w:tcBorders>
            <w:shd w:val="clear" w:color="auto" w:fill="auto"/>
            <w:vAlign w:val="center"/>
          </w:tcPr>
          <w:p w14:paraId="5D2DF960" w14:textId="01724A81" w:rsidR="00652E41" w:rsidRPr="00652E41" w:rsidRDefault="00EA414D" w:rsidP="00652E41">
            <w:pPr>
              <w:widowControl/>
              <w:autoSpaceDE/>
              <w:autoSpaceDN/>
              <w:jc w:val="center"/>
              <w:rPr>
                <w:rFonts w:eastAsia="Times New Roman" w:cs="Calibri"/>
                <w:color w:val="000000"/>
                <w:sz w:val="24"/>
                <w:szCs w:val="24"/>
                <w:lang w:val="en-AU" w:eastAsia="en-AU"/>
              </w:rPr>
            </w:pPr>
            <w:r>
              <w:rPr>
                <w:rFonts w:eastAsia="Times New Roman" w:cs="Calibri"/>
                <w:color w:val="000000"/>
                <w:sz w:val="24"/>
                <w:szCs w:val="24"/>
                <w:lang w:val="en-AU" w:eastAsia="en-AU"/>
              </w:rPr>
              <w:t>0</w:t>
            </w:r>
          </w:p>
        </w:tc>
      </w:tr>
      <w:tr w:rsidR="00652E41" w:rsidRPr="00652E41" w14:paraId="0153B2B9" w14:textId="77777777" w:rsidTr="009A1B22">
        <w:trPr>
          <w:trHeight w:val="300"/>
        </w:trPr>
        <w:tc>
          <w:tcPr>
            <w:tcW w:w="1603" w:type="dxa"/>
            <w:vMerge/>
            <w:tcBorders>
              <w:top w:val="nil"/>
              <w:left w:val="single" w:sz="8" w:space="0" w:color="000000"/>
              <w:bottom w:val="single" w:sz="8" w:space="0" w:color="000000"/>
              <w:right w:val="single" w:sz="8" w:space="0" w:color="000000"/>
            </w:tcBorders>
            <w:vAlign w:val="center"/>
          </w:tcPr>
          <w:p w14:paraId="611EBCED" w14:textId="77777777" w:rsidR="00652E41" w:rsidRPr="00652E41" w:rsidRDefault="00652E41" w:rsidP="00652E41">
            <w:pPr>
              <w:widowControl/>
              <w:autoSpaceDE/>
              <w:autoSpaceDN/>
              <w:rPr>
                <w:rFonts w:eastAsia="Times New Roman" w:cs="Calibri"/>
                <w:color w:val="000000"/>
                <w:sz w:val="24"/>
                <w:szCs w:val="24"/>
                <w:lang w:val="en-AU" w:eastAsia="en-AU"/>
              </w:rPr>
            </w:pPr>
          </w:p>
        </w:tc>
        <w:tc>
          <w:tcPr>
            <w:tcW w:w="1021" w:type="dxa"/>
            <w:vMerge/>
            <w:tcBorders>
              <w:top w:val="nil"/>
              <w:left w:val="single" w:sz="8" w:space="0" w:color="000000"/>
              <w:bottom w:val="single" w:sz="8" w:space="0" w:color="000000"/>
              <w:right w:val="single" w:sz="8" w:space="0" w:color="000000"/>
            </w:tcBorders>
            <w:vAlign w:val="center"/>
          </w:tcPr>
          <w:p w14:paraId="7342B087" w14:textId="77777777" w:rsidR="00652E41" w:rsidRPr="00652E41" w:rsidRDefault="00652E41" w:rsidP="00652E41">
            <w:pPr>
              <w:widowControl/>
              <w:autoSpaceDE/>
              <w:autoSpaceDN/>
              <w:rPr>
                <w:rFonts w:eastAsia="Times New Roman" w:cs="Calibri"/>
                <w:color w:val="000000"/>
                <w:sz w:val="24"/>
                <w:szCs w:val="24"/>
                <w:lang w:val="en-AU" w:eastAsia="en-AU"/>
              </w:rPr>
            </w:pPr>
          </w:p>
        </w:tc>
        <w:tc>
          <w:tcPr>
            <w:tcW w:w="1021" w:type="dxa"/>
            <w:vMerge/>
            <w:tcBorders>
              <w:top w:val="nil"/>
              <w:left w:val="single" w:sz="8" w:space="0" w:color="000000"/>
              <w:bottom w:val="single" w:sz="8" w:space="0" w:color="000000"/>
              <w:right w:val="single" w:sz="12" w:space="0" w:color="auto"/>
            </w:tcBorders>
            <w:vAlign w:val="center"/>
          </w:tcPr>
          <w:p w14:paraId="607B227A" w14:textId="77777777" w:rsidR="00652E41" w:rsidRPr="00652E41" w:rsidRDefault="00652E41" w:rsidP="00652E41">
            <w:pPr>
              <w:widowControl/>
              <w:autoSpaceDE/>
              <w:autoSpaceDN/>
              <w:rPr>
                <w:rFonts w:eastAsia="Times New Roman" w:cs="Calibri"/>
                <w:color w:val="000000"/>
                <w:sz w:val="24"/>
                <w:szCs w:val="24"/>
                <w:lang w:val="en-AU" w:eastAsia="en-AU"/>
              </w:rPr>
            </w:pPr>
          </w:p>
        </w:tc>
        <w:tc>
          <w:tcPr>
            <w:tcW w:w="1222" w:type="dxa"/>
            <w:vMerge/>
            <w:tcBorders>
              <w:top w:val="nil"/>
              <w:left w:val="single" w:sz="12" w:space="0" w:color="auto"/>
              <w:bottom w:val="single" w:sz="8" w:space="0" w:color="000000"/>
              <w:right w:val="single" w:sz="8" w:space="0" w:color="000000"/>
            </w:tcBorders>
            <w:vAlign w:val="center"/>
          </w:tcPr>
          <w:p w14:paraId="6EE690D6" w14:textId="77777777" w:rsidR="00652E41" w:rsidRPr="00652E41" w:rsidRDefault="00652E41" w:rsidP="00652E41">
            <w:pPr>
              <w:widowControl/>
              <w:autoSpaceDE/>
              <w:autoSpaceDN/>
              <w:rPr>
                <w:rFonts w:eastAsia="Times New Roman" w:cs="Calibri"/>
                <w:color w:val="000000"/>
                <w:sz w:val="24"/>
                <w:szCs w:val="24"/>
                <w:lang w:val="en-AU" w:eastAsia="en-AU"/>
              </w:rPr>
            </w:pPr>
          </w:p>
        </w:tc>
        <w:tc>
          <w:tcPr>
            <w:tcW w:w="1428" w:type="dxa"/>
            <w:vMerge/>
            <w:tcBorders>
              <w:top w:val="nil"/>
              <w:left w:val="single" w:sz="8" w:space="0" w:color="000000"/>
              <w:bottom w:val="single" w:sz="8" w:space="0" w:color="000000"/>
              <w:right w:val="single" w:sz="8" w:space="0" w:color="000000"/>
            </w:tcBorders>
            <w:vAlign w:val="center"/>
          </w:tcPr>
          <w:p w14:paraId="1E4F5EE0" w14:textId="77777777" w:rsidR="00652E41" w:rsidRPr="00652E41" w:rsidRDefault="00652E41" w:rsidP="00652E41">
            <w:pPr>
              <w:widowControl/>
              <w:autoSpaceDE/>
              <w:autoSpaceDN/>
              <w:rPr>
                <w:rFonts w:eastAsia="Times New Roman" w:cs="Calibri"/>
                <w:color w:val="000000"/>
                <w:sz w:val="24"/>
                <w:szCs w:val="24"/>
                <w:lang w:val="en-AU" w:eastAsia="en-AU"/>
              </w:rPr>
            </w:pPr>
          </w:p>
        </w:tc>
        <w:tc>
          <w:tcPr>
            <w:tcW w:w="1148" w:type="dxa"/>
            <w:vMerge/>
            <w:tcBorders>
              <w:top w:val="nil"/>
              <w:left w:val="single" w:sz="8" w:space="0" w:color="000000"/>
              <w:bottom w:val="single" w:sz="8" w:space="0" w:color="000000"/>
              <w:right w:val="single" w:sz="8" w:space="0" w:color="000000"/>
            </w:tcBorders>
            <w:vAlign w:val="center"/>
          </w:tcPr>
          <w:p w14:paraId="65F77809" w14:textId="77777777" w:rsidR="00652E41" w:rsidRPr="00652E41" w:rsidRDefault="00652E41" w:rsidP="00652E41">
            <w:pPr>
              <w:widowControl/>
              <w:autoSpaceDE/>
              <w:autoSpaceDN/>
              <w:rPr>
                <w:rFonts w:eastAsia="Times New Roman" w:cs="Calibri"/>
                <w:color w:val="000000"/>
                <w:sz w:val="24"/>
                <w:szCs w:val="24"/>
                <w:lang w:val="en-AU" w:eastAsia="en-AU"/>
              </w:rPr>
            </w:pPr>
          </w:p>
        </w:tc>
        <w:tc>
          <w:tcPr>
            <w:tcW w:w="1358" w:type="dxa"/>
            <w:vMerge/>
            <w:tcBorders>
              <w:top w:val="nil"/>
              <w:left w:val="single" w:sz="8" w:space="0" w:color="000000"/>
              <w:bottom w:val="single" w:sz="8" w:space="0" w:color="000000"/>
              <w:right w:val="single" w:sz="8" w:space="0" w:color="000000"/>
            </w:tcBorders>
            <w:vAlign w:val="center"/>
          </w:tcPr>
          <w:p w14:paraId="61C4E81B" w14:textId="77777777" w:rsidR="00652E41" w:rsidRPr="00652E41" w:rsidRDefault="00652E41" w:rsidP="00652E41">
            <w:pPr>
              <w:widowControl/>
              <w:autoSpaceDE/>
              <w:autoSpaceDN/>
              <w:rPr>
                <w:rFonts w:eastAsia="Times New Roman" w:cs="Calibri"/>
                <w:color w:val="000000"/>
                <w:sz w:val="24"/>
                <w:szCs w:val="24"/>
                <w:lang w:val="en-AU" w:eastAsia="en-AU"/>
              </w:rPr>
            </w:pPr>
          </w:p>
        </w:tc>
        <w:tc>
          <w:tcPr>
            <w:tcW w:w="1409" w:type="dxa"/>
            <w:vMerge/>
            <w:tcBorders>
              <w:top w:val="nil"/>
              <w:left w:val="single" w:sz="8" w:space="0" w:color="000000"/>
              <w:bottom w:val="single" w:sz="8" w:space="0" w:color="000000"/>
              <w:right w:val="single" w:sz="8" w:space="0" w:color="000000"/>
            </w:tcBorders>
            <w:vAlign w:val="center"/>
          </w:tcPr>
          <w:p w14:paraId="5A0930CB" w14:textId="77777777" w:rsidR="00652E41" w:rsidRPr="00652E41" w:rsidRDefault="00652E41" w:rsidP="00652E41">
            <w:pPr>
              <w:widowControl/>
              <w:autoSpaceDE/>
              <w:autoSpaceDN/>
              <w:rPr>
                <w:rFonts w:eastAsia="Times New Roman" w:cs="Calibri"/>
                <w:color w:val="000000"/>
                <w:sz w:val="24"/>
                <w:szCs w:val="24"/>
                <w:lang w:val="en-AU" w:eastAsia="en-AU"/>
              </w:rPr>
            </w:pPr>
          </w:p>
        </w:tc>
        <w:tc>
          <w:tcPr>
            <w:tcW w:w="1503" w:type="dxa"/>
            <w:vMerge/>
            <w:tcBorders>
              <w:top w:val="nil"/>
              <w:left w:val="single" w:sz="8" w:space="0" w:color="000000"/>
              <w:bottom w:val="single" w:sz="8" w:space="0" w:color="000000"/>
              <w:right w:val="single" w:sz="8" w:space="0" w:color="000000"/>
            </w:tcBorders>
            <w:vAlign w:val="center"/>
          </w:tcPr>
          <w:p w14:paraId="2DA1C58C" w14:textId="77777777" w:rsidR="00652E41" w:rsidRPr="00652E41" w:rsidRDefault="00652E41" w:rsidP="00652E41">
            <w:pPr>
              <w:widowControl/>
              <w:autoSpaceDE/>
              <w:autoSpaceDN/>
              <w:rPr>
                <w:rFonts w:eastAsia="Times New Roman" w:cs="Calibri"/>
                <w:color w:val="000000"/>
                <w:sz w:val="24"/>
                <w:szCs w:val="24"/>
                <w:lang w:val="en-AU" w:eastAsia="en-AU"/>
              </w:rPr>
            </w:pPr>
          </w:p>
        </w:tc>
        <w:tc>
          <w:tcPr>
            <w:tcW w:w="1605" w:type="dxa"/>
            <w:vMerge/>
            <w:tcBorders>
              <w:top w:val="nil"/>
              <w:left w:val="single" w:sz="8" w:space="0" w:color="000000"/>
              <w:bottom w:val="single" w:sz="8" w:space="0" w:color="000000"/>
              <w:right w:val="single" w:sz="8" w:space="0" w:color="000000"/>
            </w:tcBorders>
            <w:vAlign w:val="center"/>
          </w:tcPr>
          <w:p w14:paraId="3224519E" w14:textId="77777777" w:rsidR="00652E41" w:rsidRPr="00652E41" w:rsidRDefault="00652E41" w:rsidP="00652E41">
            <w:pPr>
              <w:widowControl/>
              <w:autoSpaceDE/>
              <w:autoSpaceDN/>
              <w:rPr>
                <w:rFonts w:eastAsia="Times New Roman" w:cs="Calibri"/>
                <w:color w:val="000000"/>
                <w:sz w:val="24"/>
                <w:szCs w:val="24"/>
                <w:lang w:val="en-AU" w:eastAsia="en-AU"/>
              </w:rPr>
            </w:pPr>
          </w:p>
        </w:tc>
        <w:tc>
          <w:tcPr>
            <w:tcW w:w="222" w:type="dxa"/>
            <w:tcBorders>
              <w:top w:val="nil"/>
              <w:left w:val="nil"/>
              <w:bottom w:val="nil"/>
              <w:right w:val="nil"/>
            </w:tcBorders>
            <w:shd w:val="clear" w:color="auto" w:fill="auto"/>
            <w:noWrap/>
            <w:vAlign w:val="bottom"/>
            <w:hideMark/>
          </w:tcPr>
          <w:p w14:paraId="365BF85C" w14:textId="77777777" w:rsidR="00652E41" w:rsidRPr="00652E41" w:rsidRDefault="00652E41" w:rsidP="00652E41">
            <w:pPr>
              <w:widowControl/>
              <w:autoSpaceDE/>
              <w:autoSpaceDN/>
              <w:jc w:val="center"/>
              <w:rPr>
                <w:rFonts w:eastAsia="Times New Roman" w:cs="Calibri"/>
                <w:color w:val="000000"/>
                <w:sz w:val="24"/>
                <w:szCs w:val="24"/>
                <w:lang w:val="en-AU" w:eastAsia="en-AU"/>
              </w:rPr>
            </w:pPr>
          </w:p>
        </w:tc>
      </w:tr>
      <w:tr w:rsidR="00652E41" w:rsidRPr="00652E41" w14:paraId="4143D1E2" w14:textId="77777777" w:rsidTr="009A1B22">
        <w:trPr>
          <w:trHeight w:val="300"/>
        </w:trPr>
        <w:tc>
          <w:tcPr>
            <w:tcW w:w="1603" w:type="dxa"/>
            <w:vMerge/>
            <w:tcBorders>
              <w:top w:val="nil"/>
              <w:left w:val="single" w:sz="8" w:space="0" w:color="000000"/>
              <w:bottom w:val="single" w:sz="8" w:space="0" w:color="000000"/>
              <w:right w:val="single" w:sz="8" w:space="0" w:color="000000"/>
            </w:tcBorders>
            <w:vAlign w:val="center"/>
          </w:tcPr>
          <w:p w14:paraId="02FC19C2" w14:textId="77777777" w:rsidR="00652E41" w:rsidRPr="00652E41" w:rsidRDefault="00652E41" w:rsidP="00652E41">
            <w:pPr>
              <w:widowControl/>
              <w:autoSpaceDE/>
              <w:autoSpaceDN/>
              <w:rPr>
                <w:rFonts w:eastAsia="Times New Roman" w:cs="Calibri"/>
                <w:color w:val="000000"/>
                <w:sz w:val="24"/>
                <w:szCs w:val="24"/>
                <w:lang w:val="en-AU" w:eastAsia="en-AU"/>
              </w:rPr>
            </w:pPr>
          </w:p>
        </w:tc>
        <w:tc>
          <w:tcPr>
            <w:tcW w:w="1021" w:type="dxa"/>
            <w:vMerge/>
            <w:tcBorders>
              <w:top w:val="nil"/>
              <w:left w:val="single" w:sz="8" w:space="0" w:color="000000"/>
              <w:bottom w:val="single" w:sz="8" w:space="0" w:color="000000"/>
              <w:right w:val="single" w:sz="8" w:space="0" w:color="000000"/>
            </w:tcBorders>
            <w:vAlign w:val="center"/>
          </w:tcPr>
          <w:p w14:paraId="1C74E3F3" w14:textId="77777777" w:rsidR="00652E41" w:rsidRPr="00652E41" w:rsidRDefault="00652E41" w:rsidP="00652E41">
            <w:pPr>
              <w:widowControl/>
              <w:autoSpaceDE/>
              <w:autoSpaceDN/>
              <w:rPr>
                <w:rFonts w:eastAsia="Times New Roman" w:cs="Calibri"/>
                <w:color w:val="000000"/>
                <w:sz w:val="24"/>
                <w:szCs w:val="24"/>
                <w:lang w:val="en-AU" w:eastAsia="en-AU"/>
              </w:rPr>
            </w:pPr>
          </w:p>
        </w:tc>
        <w:tc>
          <w:tcPr>
            <w:tcW w:w="1021" w:type="dxa"/>
            <w:vMerge/>
            <w:tcBorders>
              <w:top w:val="nil"/>
              <w:left w:val="single" w:sz="8" w:space="0" w:color="000000"/>
              <w:bottom w:val="single" w:sz="8" w:space="0" w:color="000000"/>
              <w:right w:val="single" w:sz="12" w:space="0" w:color="auto"/>
            </w:tcBorders>
            <w:vAlign w:val="center"/>
          </w:tcPr>
          <w:p w14:paraId="4B59904B" w14:textId="77777777" w:rsidR="00652E41" w:rsidRPr="00652E41" w:rsidRDefault="00652E41" w:rsidP="00652E41">
            <w:pPr>
              <w:widowControl/>
              <w:autoSpaceDE/>
              <w:autoSpaceDN/>
              <w:rPr>
                <w:rFonts w:eastAsia="Times New Roman" w:cs="Calibri"/>
                <w:color w:val="000000"/>
                <w:sz w:val="24"/>
                <w:szCs w:val="24"/>
                <w:lang w:val="en-AU" w:eastAsia="en-AU"/>
              </w:rPr>
            </w:pPr>
          </w:p>
        </w:tc>
        <w:tc>
          <w:tcPr>
            <w:tcW w:w="1222" w:type="dxa"/>
            <w:vMerge/>
            <w:tcBorders>
              <w:top w:val="nil"/>
              <w:left w:val="single" w:sz="12" w:space="0" w:color="auto"/>
              <w:bottom w:val="single" w:sz="8" w:space="0" w:color="000000"/>
              <w:right w:val="single" w:sz="8" w:space="0" w:color="000000"/>
            </w:tcBorders>
            <w:vAlign w:val="center"/>
          </w:tcPr>
          <w:p w14:paraId="4601627A" w14:textId="77777777" w:rsidR="00652E41" w:rsidRPr="00652E41" w:rsidRDefault="00652E41" w:rsidP="00652E41">
            <w:pPr>
              <w:widowControl/>
              <w:autoSpaceDE/>
              <w:autoSpaceDN/>
              <w:rPr>
                <w:rFonts w:eastAsia="Times New Roman" w:cs="Calibri"/>
                <w:color w:val="000000"/>
                <w:sz w:val="24"/>
                <w:szCs w:val="24"/>
                <w:lang w:val="en-AU" w:eastAsia="en-AU"/>
              </w:rPr>
            </w:pPr>
          </w:p>
        </w:tc>
        <w:tc>
          <w:tcPr>
            <w:tcW w:w="1428" w:type="dxa"/>
            <w:vMerge/>
            <w:tcBorders>
              <w:top w:val="nil"/>
              <w:left w:val="single" w:sz="8" w:space="0" w:color="000000"/>
              <w:bottom w:val="single" w:sz="8" w:space="0" w:color="000000"/>
              <w:right w:val="single" w:sz="8" w:space="0" w:color="000000"/>
            </w:tcBorders>
            <w:vAlign w:val="center"/>
          </w:tcPr>
          <w:p w14:paraId="3E2BC095" w14:textId="77777777" w:rsidR="00652E41" w:rsidRPr="00652E41" w:rsidRDefault="00652E41" w:rsidP="00652E41">
            <w:pPr>
              <w:widowControl/>
              <w:autoSpaceDE/>
              <w:autoSpaceDN/>
              <w:rPr>
                <w:rFonts w:eastAsia="Times New Roman" w:cs="Calibri"/>
                <w:color w:val="000000"/>
                <w:sz w:val="24"/>
                <w:szCs w:val="24"/>
                <w:lang w:val="en-AU" w:eastAsia="en-AU"/>
              </w:rPr>
            </w:pPr>
          </w:p>
        </w:tc>
        <w:tc>
          <w:tcPr>
            <w:tcW w:w="1148" w:type="dxa"/>
            <w:vMerge/>
            <w:tcBorders>
              <w:top w:val="nil"/>
              <w:left w:val="single" w:sz="8" w:space="0" w:color="000000"/>
              <w:bottom w:val="single" w:sz="8" w:space="0" w:color="000000"/>
              <w:right w:val="single" w:sz="8" w:space="0" w:color="000000"/>
            </w:tcBorders>
            <w:vAlign w:val="center"/>
          </w:tcPr>
          <w:p w14:paraId="2F87DAF0" w14:textId="77777777" w:rsidR="00652E41" w:rsidRPr="00652E41" w:rsidRDefault="00652E41" w:rsidP="00652E41">
            <w:pPr>
              <w:widowControl/>
              <w:autoSpaceDE/>
              <w:autoSpaceDN/>
              <w:rPr>
                <w:rFonts w:eastAsia="Times New Roman" w:cs="Calibri"/>
                <w:color w:val="000000"/>
                <w:sz w:val="24"/>
                <w:szCs w:val="24"/>
                <w:lang w:val="en-AU" w:eastAsia="en-AU"/>
              </w:rPr>
            </w:pPr>
          </w:p>
        </w:tc>
        <w:tc>
          <w:tcPr>
            <w:tcW w:w="1358" w:type="dxa"/>
            <w:vMerge/>
            <w:tcBorders>
              <w:top w:val="nil"/>
              <w:left w:val="single" w:sz="8" w:space="0" w:color="000000"/>
              <w:bottom w:val="single" w:sz="8" w:space="0" w:color="000000"/>
              <w:right w:val="single" w:sz="8" w:space="0" w:color="000000"/>
            </w:tcBorders>
            <w:vAlign w:val="center"/>
          </w:tcPr>
          <w:p w14:paraId="09E6F59E" w14:textId="77777777" w:rsidR="00652E41" w:rsidRPr="00652E41" w:rsidRDefault="00652E41" w:rsidP="00652E41">
            <w:pPr>
              <w:widowControl/>
              <w:autoSpaceDE/>
              <w:autoSpaceDN/>
              <w:rPr>
                <w:rFonts w:eastAsia="Times New Roman" w:cs="Calibri"/>
                <w:color w:val="000000"/>
                <w:sz w:val="24"/>
                <w:szCs w:val="24"/>
                <w:lang w:val="en-AU" w:eastAsia="en-AU"/>
              </w:rPr>
            </w:pPr>
          </w:p>
        </w:tc>
        <w:tc>
          <w:tcPr>
            <w:tcW w:w="1409" w:type="dxa"/>
            <w:vMerge/>
            <w:tcBorders>
              <w:top w:val="nil"/>
              <w:left w:val="single" w:sz="8" w:space="0" w:color="000000"/>
              <w:bottom w:val="single" w:sz="8" w:space="0" w:color="000000"/>
              <w:right w:val="single" w:sz="8" w:space="0" w:color="000000"/>
            </w:tcBorders>
            <w:vAlign w:val="center"/>
          </w:tcPr>
          <w:p w14:paraId="7C696C5C" w14:textId="77777777" w:rsidR="00652E41" w:rsidRPr="00652E41" w:rsidRDefault="00652E41" w:rsidP="00652E41">
            <w:pPr>
              <w:widowControl/>
              <w:autoSpaceDE/>
              <w:autoSpaceDN/>
              <w:rPr>
                <w:rFonts w:eastAsia="Times New Roman" w:cs="Calibri"/>
                <w:color w:val="000000"/>
                <w:sz w:val="24"/>
                <w:szCs w:val="24"/>
                <w:lang w:val="en-AU" w:eastAsia="en-AU"/>
              </w:rPr>
            </w:pPr>
          </w:p>
        </w:tc>
        <w:tc>
          <w:tcPr>
            <w:tcW w:w="1503" w:type="dxa"/>
            <w:vMerge/>
            <w:tcBorders>
              <w:top w:val="nil"/>
              <w:left w:val="single" w:sz="8" w:space="0" w:color="000000"/>
              <w:bottom w:val="single" w:sz="8" w:space="0" w:color="000000"/>
              <w:right w:val="single" w:sz="8" w:space="0" w:color="000000"/>
            </w:tcBorders>
            <w:vAlign w:val="center"/>
          </w:tcPr>
          <w:p w14:paraId="736F0DF0" w14:textId="77777777" w:rsidR="00652E41" w:rsidRPr="00652E41" w:rsidRDefault="00652E41" w:rsidP="00652E41">
            <w:pPr>
              <w:widowControl/>
              <w:autoSpaceDE/>
              <w:autoSpaceDN/>
              <w:rPr>
                <w:rFonts w:eastAsia="Times New Roman" w:cs="Calibri"/>
                <w:color w:val="000000"/>
                <w:sz w:val="24"/>
                <w:szCs w:val="24"/>
                <w:lang w:val="en-AU" w:eastAsia="en-AU"/>
              </w:rPr>
            </w:pPr>
          </w:p>
        </w:tc>
        <w:tc>
          <w:tcPr>
            <w:tcW w:w="1605" w:type="dxa"/>
            <w:vMerge/>
            <w:tcBorders>
              <w:top w:val="nil"/>
              <w:left w:val="single" w:sz="8" w:space="0" w:color="000000"/>
              <w:bottom w:val="single" w:sz="8" w:space="0" w:color="000000"/>
              <w:right w:val="single" w:sz="8" w:space="0" w:color="000000"/>
            </w:tcBorders>
            <w:vAlign w:val="center"/>
          </w:tcPr>
          <w:p w14:paraId="0676AE98" w14:textId="77777777" w:rsidR="00652E41" w:rsidRPr="00652E41" w:rsidRDefault="00652E41" w:rsidP="00652E41">
            <w:pPr>
              <w:widowControl/>
              <w:autoSpaceDE/>
              <w:autoSpaceDN/>
              <w:rPr>
                <w:rFonts w:eastAsia="Times New Roman" w:cs="Calibri"/>
                <w:color w:val="000000"/>
                <w:sz w:val="24"/>
                <w:szCs w:val="24"/>
                <w:lang w:val="en-AU" w:eastAsia="en-AU"/>
              </w:rPr>
            </w:pPr>
          </w:p>
        </w:tc>
        <w:tc>
          <w:tcPr>
            <w:tcW w:w="222" w:type="dxa"/>
            <w:tcBorders>
              <w:top w:val="nil"/>
              <w:left w:val="nil"/>
              <w:bottom w:val="nil"/>
              <w:right w:val="nil"/>
            </w:tcBorders>
            <w:shd w:val="clear" w:color="auto" w:fill="auto"/>
            <w:noWrap/>
            <w:vAlign w:val="bottom"/>
            <w:hideMark/>
          </w:tcPr>
          <w:p w14:paraId="1214C12F" w14:textId="77777777" w:rsidR="00652E41" w:rsidRPr="00652E41" w:rsidRDefault="00652E41" w:rsidP="00652E41">
            <w:pPr>
              <w:widowControl/>
              <w:autoSpaceDE/>
              <w:autoSpaceDN/>
              <w:rPr>
                <w:rFonts w:ascii="Times New Roman" w:eastAsia="Times New Roman" w:hAnsi="Times New Roman" w:cs="Times New Roman"/>
                <w:sz w:val="20"/>
                <w:szCs w:val="20"/>
                <w:lang w:val="en-AU" w:eastAsia="en-AU"/>
              </w:rPr>
            </w:pPr>
          </w:p>
        </w:tc>
      </w:tr>
      <w:tr w:rsidR="00652E41" w:rsidRPr="00652E41" w14:paraId="65ABCD00" w14:textId="77777777" w:rsidTr="009A1B22">
        <w:trPr>
          <w:trHeight w:val="315"/>
        </w:trPr>
        <w:tc>
          <w:tcPr>
            <w:tcW w:w="1603" w:type="dxa"/>
            <w:vMerge/>
            <w:tcBorders>
              <w:top w:val="nil"/>
              <w:left w:val="single" w:sz="8" w:space="0" w:color="000000"/>
              <w:bottom w:val="single" w:sz="8" w:space="0" w:color="000000"/>
              <w:right w:val="single" w:sz="8" w:space="0" w:color="000000"/>
            </w:tcBorders>
            <w:vAlign w:val="center"/>
          </w:tcPr>
          <w:p w14:paraId="61D7B293" w14:textId="77777777" w:rsidR="00652E41" w:rsidRPr="00652E41" w:rsidRDefault="00652E41" w:rsidP="00652E41">
            <w:pPr>
              <w:widowControl/>
              <w:autoSpaceDE/>
              <w:autoSpaceDN/>
              <w:rPr>
                <w:rFonts w:eastAsia="Times New Roman" w:cs="Calibri"/>
                <w:color w:val="000000"/>
                <w:sz w:val="24"/>
                <w:szCs w:val="24"/>
                <w:lang w:val="en-AU" w:eastAsia="en-AU"/>
              </w:rPr>
            </w:pPr>
          </w:p>
        </w:tc>
        <w:tc>
          <w:tcPr>
            <w:tcW w:w="1021" w:type="dxa"/>
            <w:vMerge/>
            <w:tcBorders>
              <w:top w:val="nil"/>
              <w:left w:val="single" w:sz="8" w:space="0" w:color="000000"/>
              <w:bottom w:val="single" w:sz="8" w:space="0" w:color="000000"/>
              <w:right w:val="single" w:sz="8" w:space="0" w:color="000000"/>
            </w:tcBorders>
            <w:vAlign w:val="center"/>
          </w:tcPr>
          <w:p w14:paraId="2AEAABB0" w14:textId="77777777" w:rsidR="00652E41" w:rsidRPr="00652E41" w:rsidRDefault="00652E41" w:rsidP="00652E41">
            <w:pPr>
              <w:widowControl/>
              <w:autoSpaceDE/>
              <w:autoSpaceDN/>
              <w:rPr>
                <w:rFonts w:eastAsia="Times New Roman" w:cs="Calibri"/>
                <w:color w:val="000000"/>
                <w:sz w:val="24"/>
                <w:szCs w:val="24"/>
                <w:lang w:val="en-AU" w:eastAsia="en-AU"/>
              </w:rPr>
            </w:pPr>
          </w:p>
        </w:tc>
        <w:tc>
          <w:tcPr>
            <w:tcW w:w="1021" w:type="dxa"/>
            <w:vMerge/>
            <w:tcBorders>
              <w:top w:val="nil"/>
              <w:left w:val="single" w:sz="8" w:space="0" w:color="000000"/>
              <w:bottom w:val="single" w:sz="8" w:space="0" w:color="000000"/>
              <w:right w:val="single" w:sz="12" w:space="0" w:color="auto"/>
            </w:tcBorders>
            <w:vAlign w:val="center"/>
          </w:tcPr>
          <w:p w14:paraId="07C94333" w14:textId="77777777" w:rsidR="00652E41" w:rsidRPr="00652E41" w:rsidRDefault="00652E41" w:rsidP="00652E41">
            <w:pPr>
              <w:widowControl/>
              <w:autoSpaceDE/>
              <w:autoSpaceDN/>
              <w:rPr>
                <w:rFonts w:eastAsia="Times New Roman" w:cs="Calibri"/>
                <w:color w:val="000000"/>
                <w:sz w:val="24"/>
                <w:szCs w:val="24"/>
                <w:lang w:val="en-AU" w:eastAsia="en-AU"/>
              </w:rPr>
            </w:pPr>
          </w:p>
        </w:tc>
        <w:tc>
          <w:tcPr>
            <w:tcW w:w="1222" w:type="dxa"/>
            <w:vMerge/>
            <w:tcBorders>
              <w:top w:val="nil"/>
              <w:left w:val="single" w:sz="12" w:space="0" w:color="auto"/>
              <w:bottom w:val="single" w:sz="8" w:space="0" w:color="000000"/>
              <w:right w:val="single" w:sz="8" w:space="0" w:color="000000"/>
            </w:tcBorders>
            <w:vAlign w:val="center"/>
          </w:tcPr>
          <w:p w14:paraId="4F23C136" w14:textId="77777777" w:rsidR="00652E41" w:rsidRPr="00652E41" w:rsidRDefault="00652E41" w:rsidP="00652E41">
            <w:pPr>
              <w:widowControl/>
              <w:autoSpaceDE/>
              <w:autoSpaceDN/>
              <w:rPr>
                <w:rFonts w:eastAsia="Times New Roman" w:cs="Calibri"/>
                <w:color w:val="000000"/>
                <w:sz w:val="24"/>
                <w:szCs w:val="24"/>
                <w:lang w:val="en-AU" w:eastAsia="en-AU"/>
              </w:rPr>
            </w:pPr>
          </w:p>
        </w:tc>
        <w:tc>
          <w:tcPr>
            <w:tcW w:w="1428" w:type="dxa"/>
            <w:vMerge/>
            <w:tcBorders>
              <w:top w:val="nil"/>
              <w:left w:val="single" w:sz="8" w:space="0" w:color="000000"/>
              <w:bottom w:val="single" w:sz="8" w:space="0" w:color="000000"/>
              <w:right w:val="single" w:sz="8" w:space="0" w:color="000000"/>
            </w:tcBorders>
            <w:vAlign w:val="center"/>
          </w:tcPr>
          <w:p w14:paraId="29B80B9C" w14:textId="77777777" w:rsidR="00652E41" w:rsidRPr="00652E41" w:rsidRDefault="00652E41" w:rsidP="00652E41">
            <w:pPr>
              <w:widowControl/>
              <w:autoSpaceDE/>
              <w:autoSpaceDN/>
              <w:rPr>
                <w:rFonts w:eastAsia="Times New Roman" w:cs="Calibri"/>
                <w:color w:val="000000"/>
                <w:sz w:val="24"/>
                <w:szCs w:val="24"/>
                <w:lang w:val="en-AU" w:eastAsia="en-AU"/>
              </w:rPr>
            </w:pPr>
          </w:p>
        </w:tc>
        <w:tc>
          <w:tcPr>
            <w:tcW w:w="1148" w:type="dxa"/>
            <w:vMerge/>
            <w:tcBorders>
              <w:top w:val="nil"/>
              <w:left w:val="single" w:sz="8" w:space="0" w:color="000000"/>
              <w:bottom w:val="single" w:sz="8" w:space="0" w:color="000000"/>
              <w:right w:val="single" w:sz="8" w:space="0" w:color="000000"/>
            </w:tcBorders>
            <w:vAlign w:val="center"/>
          </w:tcPr>
          <w:p w14:paraId="14A23518" w14:textId="77777777" w:rsidR="00652E41" w:rsidRPr="00652E41" w:rsidRDefault="00652E41" w:rsidP="00652E41">
            <w:pPr>
              <w:widowControl/>
              <w:autoSpaceDE/>
              <w:autoSpaceDN/>
              <w:rPr>
                <w:rFonts w:eastAsia="Times New Roman" w:cs="Calibri"/>
                <w:color w:val="000000"/>
                <w:sz w:val="24"/>
                <w:szCs w:val="24"/>
                <w:lang w:val="en-AU" w:eastAsia="en-AU"/>
              </w:rPr>
            </w:pPr>
          </w:p>
        </w:tc>
        <w:tc>
          <w:tcPr>
            <w:tcW w:w="1358" w:type="dxa"/>
            <w:vMerge/>
            <w:tcBorders>
              <w:top w:val="nil"/>
              <w:left w:val="single" w:sz="8" w:space="0" w:color="000000"/>
              <w:bottom w:val="single" w:sz="8" w:space="0" w:color="000000"/>
              <w:right w:val="single" w:sz="8" w:space="0" w:color="000000"/>
            </w:tcBorders>
            <w:vAlign w:val="center"/>
          </w:tcPr>
          <w:p w14:paraId="2DDB8FE5" w14:textId="77777777" w:rsidR="00652E41" w:rsidRPr="00652E41" w:rsidRDefault="00652E41" w:rsidP="00652E41">
            <w:pPr>
              <w:widowControl/>
              <w:autoSpaceDE/>
              <w:autoSpaceDN/>
              <w:rPr>
                <w:rFonts w:eastAsia="Times New Roman" w:cs="Calibri"/>
                <w:color w:val="000000"/>
                <w:sz w:val="24"/>
                <w:szCs w:val="24"/>
                <w:lang w:val="en-AU" w:eastAsia="en-AU"/>
              </w:rPr>
            </w:pPr>
          </w:p>
        </w:tc>
        <w:tc>
          <w:tcPr>
            <w:tcW w:w="1409" w:type="dxa"/>
            <w:vMerge/>
            <w:tcBorders>
              <w:top w:val="nil"/>
              <w:left w:val="single" w:sz="8" w:space="0" w:color="000000"/>
              <w:bottom w:val="single" w:sz="8" w:space="0" w:color="000000"/>
              <w:right w:val="single" w:sz="8" w:space="0" w:color="000000"/>
            </w:tcBorders>
            <w:vAlign w:val="center"/>
          </w:tcPr>
          <w:p w14:paraId="5B2C042E" w14:textId="77777777" w:rsidR="00652E41" w:rsidRPr="00652E41" w:rsidRDefault="00652E41" w:rsidP="00652E41">
            <w:pPr>
              <w:widowControl/>
              <w:autoSpaceDE/>
              <w:autoSpaceDN/>
              <w:rPr>
                <w:rFonts w:eastAsia="Times New Roman" w:cs="Calibri"/>
                <w:color w:val="000000"/>
                <w:sz w:val="24"/>
                <w:szCs w:val="24"/>
                <w:lang w:val="en-AU" w:eastAsia="en-AU"/>
              </w:rPr>
            </w:pPr>
          </w:p>
        </w:tc>
        <w:tc>
          <w:tcPr>
            <w:tcW w:w="1503" w:type="dxa"/>
            <w:vMerge/>
            <w:tcBorders>
              <w:top w:val="nil"/>
              <w:left w:val="single" w:sz="8" w:space="0" w:color="000000"/>
              <w:bottom w:val="single" w:sz="8" w:space="0" w:color="000000"/>
              <w:right w:val="single" w:sz="8" w:space="0" w:color="000000"/>
            </w:tcBorders>
            <w:vAlign w:val="center"/>
          </w:tcPr>
          <w:p w14:paraId="42A93732" w14:textId="77777777" w:rsidR="00652E41" w:rsidRPr="00652E41" w:rsidRDefault="00652E41" w:rsidP="00652E41">
            <w:pPr>
              <w:widowControl/>
              <w:autoSpaceDE/>
              <w:autoSpaceDN/>
              <w:rPr>
                <w:rFonts w:eastAsia="Times New Roman" w:cs="Calibri"/>
                <w:color w:val="000000"/>
                <w:sz w:val="24"/>
                <w:szCs w:val="24"/>
                <w:lang w:val="en-AU" w:eastAsia="en-AU"/>
              </w:rPr>
            </w:pPr>
          </w:p>
        </w:tc>
        <w:tc>
          <w:tcPr>
            <w:tcW w:w="1605" w:type="dxa"/>
            <w:vMerge/>
            <w:tcBorders>
              <w:top w:val="nil"/>
              <w:left w:val="single" w:sz="8" w:space="0" w:color="000000"/>
              <w:bottom w:val="single" w:sz="8" w:space="0" w:color="000000"/>
              <w:right w:val="single" w:sz="8" w:space="0" w:color="000000"/>
            </w:tcBorders>
            <w:vAlign w:val="center"/>
          </w:tcPr>
          <w:p w14:paraId="70B754E0" w14:textId="77777777" w:rsidR="00652E41" w:rsidRPr="00652E41" w:rsidRDefault="00652E41" w:rsidP="00652E41">
            <w:pPr>
              <w:widowControl/>
              <w:autoSpaceDE/>
              <w:autoSpaceDN/>
              <w:rPr>
                <w:rFonts w:eastAsia="Times New Roman" w:cs="Calibri"/>
                <w:color w:val="000000"/>
                <w:sz w:val="24"/>
                <w:szCs w:val="24"/>
                <w:lang w:val="en-AU" w:eastAsia="en-AU"/>
              </w:rPr>
            </w:pPr>
          </w:p>
        </w:tc>
        <w:tc>
          <w:tcPr>
            <w:tcW w:w="222" w:type="dxa"/>
            <w:tcBorders>
              <w:top w:val="nil"/>
              <w:left w:val="nil"/>
              <w:bottom w:val="nil"/>
              <w:right w:val="nil"/>
            </w:tcBorders>
            <w:shd w:val="clear" w:color="auto" w:fill="auto"/>
            <w:noWrap/>
            <w:vAlign w:val="bottom"/>
            <w:hideMark/>
          </w:tcPr>
          <w:p w14:paraId="443FFBCD" w14:textId="77777777" w:rsidR="00652E41" w:rsidRPr="00652E41" w:rsidRDefault="00652E41" w:rsidP="00652E41">
            <w:pPr>
              <w:widowControl/>
              <w:autoSpaceDE/>
              <w:autoSpaceDN/>
              <w:rPr>
                <w:rFonts w:ascii="Times New Roman" w:eastAsia="Times New Roman" w:hAnsi="Times New Roman" w:cs="Times New Roman"/>
                <w:sz w:val="20"/>
                <w:szCs w:val="20"/>
                <w:lang w:val="en-AU" w:eastAsia="en-AU"/>
              </w:rPr>
            </w:pPr>
          </w:p>
        </w:tc>
      </w:tr>
      <w:tr w:rsidR="00652E41" w:rsidRPr="00652E41" w14:paraId="18FF61CC" w14:textId="77777777" w:rsidTr="009C5DA1">
        <w:trPr>
          <w:trHeight w:val="482"/>
        </w:trPr>
        <w:tc>
          <w:tcPr>
            <w:tcW w:w="13318" w:type="dxa"/>
            <w:gridSpan w:val="10"/>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E45790" w14:textId="77777777" w:rsidR="00652E41" w:rsidRPr="00652E41" w:rsidRDefault="00652E41" w:rsidP="00652E41">
            <w:pPr>
              <w:widowControl/>
              <w:autoSpaceDE/>
              <w:autoSpaceDN/>
              <w:rPr>
                <w:rFonts w:eastAsia="Times New Roman" w:cs="Calibri"/>
                <w:color w:val="000000"/>
                <w:lang w:val="en-AU" w:eastAsia="en-AU"/>
              </w:rPr>
            </w:pPr>
            <w:r w:rsidRPr="00652E41">
              <w:rPr>
                <w:rFonts w:eastAsia="Times New Roman" w:cs="Calibri"/>
                <w:color w:val="000000"/>
                <w:lang w:val="en-AU" w:eastAsia="en-AU"/>
              </w:rPr>
              <w:t>Explanatory Notes to Data</w:t>
            </w:r>
          </w:p>
        </w:tc>
        <w:tc>
          <w:tcPr>
            <w:tcW w:w="222" w:type="dxa"/>
            <w:vAlign w:val="center"/>
            <w:hideMark/>
          </w:tcPr>
          <w:p w14:paraId="74FFEBA0" w14:textId="77777777" w:rsidR="00652E41" w:rsidRPr="00652E41" w:rsidRDefault="00652E41" w:rsidP="00652E41">
            <w:pPr>
              <w:widowControl/>
              <w:autoSpaceDE/>
              <w:autoSpaceDN/>
              <w:rPr>
                <w:rFonts w:ascii="Times New Roman" w:eastAsia="Times New Roman" w:hAnsi="Times New Roman" w:cs="Times New Roman"/>
                <w:sz w:val="20"/>
                <w:szCs w:val="20"/>
                <w:lang w:val="en-AU" w:eastAsia="en-AU"/>
              </w:rPr>
            </w:pPr>
          </w:p>
        </w:tc>
      </w:tr>
      <w:tr w:rsidR="00652E41" w:rsidRPr="00652E41" w14:paraId="673C190C" w14:textId="77777777" w:rsidTr="009C5DA1">
        <w:trPr>
          <w:trHeight w:val="900"/>
        </w:trPr>
        <w:tc>
          <w:tcPr>
            <w:tcW w:w="1603" w:type="dxa"/>
            <w:tcBorders>
              <w:top w:val="nil"/>
              <w:left w:val="single" w:sz="8" w:space="0" w:color="000000"/>
              <w:bottom w:val="single" w:sz="8" w:space="0" w:color="000000"/>
              <w:right w:val="single" w:sz="8" w:space="0" w:color="000000"/>
            </w:tcBorders>
            <w:shd w:val="clear" w:color="auto" w:fill="auto"/>
            <w:vAlign w:val="center"/>
            <w:hideMark/>
          </w:tcPr>
          <w:p w14:paraId="18578E94" w14:textId="77777777" w:rsidR="00652E41" w:rsidRPr="00652E41" w:rsidRDefault="00652E41" w:rsidP="00652E41">
            <w:pPr>
              <w:widowControl/>
              <w:autoSpaceDE/>
              <w:autoSpaceDN/>
              <w:jc w:val="center"/>
              <w:rPr>
                <w:rFonts w:eastAsia="Times New Roman" w:cs="Calibri"/>
                <w:color w:val="000000"/>
                <w:lang w:val="en-AU" w:eastAsia="en-AU"/>
              </w:rPr>
            </w:pPr>
            <w:r w:rsidRPr="00652E41">
              <w:rPr>
                <w:rFonts w:eastAsia="Times New Roman" w:cs="Calibri"/>
                <w:color w:val="000000"/>
                <w:lang w:val="en-AU" w:eastAsia="en-AU"/>
              </w:rPr>
              <w:t>1</w:t>
            </w:r>
          </w:p>
        </w:tc>
        <w:tc>
          <w:tcPr>
            <w:tcW w:w="11715" w:type="dxa"/>
            <w:gridSpan w:val="9"/>
            <w:tcBorders>
              <w:top w:val="single" w:sz="8" w:space="0" w:color="000000"/>
              <w:left w:val="nil"/>
              <w:bottom w:val="single" w:sz="8" w:space="0" w:color="000000"/>
              <w:right w:val="single" w:sz="8" w:space="0" w:color="000000"/>
            </w:tcBorders>
            <w:shd w:val="clear" w:color="auto" w:fill="auto"/>
            <w:vAlign w:val="center"/>
            <w:hideMark/>
          </w:tcPr>
          <w:p w14:paraId="72057178" w14:textId="77777777" w:rsidR="00652E41" w:rsidRPr="00652E41" w:rsidRDefault="00652E41" w:rsidP="00652E41">
            <w:pPr>
              <w:widowControl/>
              <w:autoSpaceDE/>
              <w:autoSpaceDN/>
              <w:rPr>
                <w:rFonts w:eastAsia="Times New Roman" w:cs="Calibri"/>
                <w:color w:val="000000"/>
                <w:lang w:val="en-AU" w:eastAsia="en-AU"/>
              </w:rPr>
            </w:pPr>
            <w:r w:rsidRPr="00652E41">
              <w:rPr>
                <w:rFonts w:eastAsia="Times New Roman" w:cs="Calibri"/>
                <w:color w:val="000000"/>
                <w:lang w:val="en-AU" w:eastAsia="en-AU"/>
              </w:rPr>
              <w:t>The Commissioner of Police has reviewed the employee matters referred to in the COI report and these matters in relation to a current or former employee were assessed to determine whether action was required.</w:t>
            </w:r>
          </w:p>
        </w:tc>
        <w:tc>
          <w:tcPr>
            <w:tcW w:w="222" w:type="dxa"/>
            <w:vAlign w:val="center"/>
            <w:hideMark/>
          </w:tcPr>
          <w:p w14:paraId="55DF0127" w14:textId="77777777" w:rsidR="00652E41" w:rsidRPr="00652E41" w:rsidRDefault="00652E41" w:rsidP="00652E41">
            <w:pPr>
              <w:widowControl/>
              <w:autoSpaceDE/>
              <w:autoSpaceDN/>
              <w:rPr>
                <w:rFonts w:ascii="Times New Roman" w:eastAsia="Times New Roman" w:hAnsi="Times New Roman" w:cs="Times New Roman"/>
                <w:sz w:val="20"/>
                <w:szCs w:val="20"/>
                <w:lang w:val="en-AU" w:eastAsia="en-AU"/>
              </w:rPr>
            </w:pPr>
          </w:p>
        </w:tc>
      </w:tr>
      <w:tr w:rsidR="00652E41" w:rsidRPr="00652E41" w14:paraId="1BD718C7" w14:textId="77777777" w:rsidTr="009C5DA1">
        <w:trPr>
          <w:trHeight w:val="900"/>
        </w:trPr>
        <w:tc>
          <w:tcPr>
            <w:tcW w:w="1603" w:type="dxa"/>
            <w:tcBorders>
              <w:top w:val="nil"/>
              <w:left w:val="single" w:sz="8" w:space="0" w:color="000000"/>
              <w:bottom w:val="single" w:sz="8" w:space="0" w:color="000000"/>
              <w:right w:val="single" w:sz="8" w:space="0" w:color="000000"/>
            </w:tcBorders>
            <w:shd w:val="clear" w:color="auto" w:fill="auto"/>
            <w:vAlign w:val="center"/>
            <w:hideMark/>
          </w:tcPr>
          <w:p w14:paraId="0799C013" w14:textId="77777777" w:rsidR="00652E41" w:rsidRPr="00652E41" w:rsidRDefault="00652E41" w:rsidP="00652E41">
            <w:pPr>
              <w:widowControl/>
              <w:autoSpaceDE/>
              <w:autoSpaceDN/>
              <w:jc w:val="center"/>
              <w:rPr>
                <w:rFonts w:eastAsia="Times New Roman" w:cs="Calibri"/>
                <w:color w:val="000000"/>
                <w:lang w:val="en-AU" w:eastAsia="en-AU"/>
              </w:rPr>
            </w:pPr>
            <w:r w:rsidRPr="00652E41">
              <w:rPr>
                <w:rFonts w:eastAsia="Times New Roman" w:cs="Calibri"/>
                <w:color w:val="000000"/>
                <w:lang w:val="en-AU" w:eastAsia="en-AU"/>
              </w:rPr>
              <w:t>2</w:t>
            </w:r>
          </w:p>
        </w:tc>
        <w:tc>
          <w:tcPr>
            <w:tcW w:w="11715" w:type="dxa"/>
            <w:gridSpan w:val="9"/>
            <w:tcBorders>
              <w:top w:val="single" w:sz="8" w:space="0" w:color="000000"/>
              <w:left w:val="nil"/>
              <w:bottom w:val="single" w:sz="8" w:space="0" w:color="000000"/>
              <w:right w:val="single" w:sz="8" w:space="0" w:color="000000"/>
            </w:tcBorders>
            <w:shd w:val="clear" w:color="auto" w:fill="auto"/>
            <w:vAlign w:val="center"/>
            <w:hideMark/>
          </w:tcPr>
          <w:p w14:paraId="306A3CCB" w14:textId="77777777" w:rsidR="00652E41" w:rsidRPr="00652E41" w:rsidRDefault="00652E41" w:rsidP="00652E41">
            <w:pPr>
              <w:widowControl/>
              <w:autoSpaceDE/>
              <w:autoSpaceDN/>
              <w:rPr>
                <w:rFonts w:eastAsia="Times New Roman" w:cs="Calibri"/>
                <w:color w:val="000000"/>
                <w:lang w:val="en-AU" w:eastAsia="en-AU"/>
              </w:rPr>
            </w:pPr>
            <w:r w:rsidRPr="00652E41">
              <w:rPr>
                <w:rFonts w:eastAsia="Times New Roman" w:cs="Calibri"/>
                <w:color w:val="000000"/>
                <w:lang w:val="en-AU" w:eastAsia="en-AU"/>
              </w:rPr>
              <w:t>No further action may be required if the assessment determined that a referral to Professional Standards was not appropriate as there was no evidence of the officer acting in an unethical or unprofessional way and no grounds for an internally raised complaint.</w:t>
            </w:r>
          </w:p>
        </w:tc>
        <w:tc>
          <w:tcPr>
            <w:tcW w:w="222" w:type="dxa"/>
            <w:vAlign w:val="center"/>
            <w:hideMark/>
          </w:tcPr>
          <w:p w14:paraId="76AB11CF" w14:textId="77777777" w:rsidR="00652E41" w:rsidRPr="00652E41" w:rsidRDefault="00652E41" w:rsidP="00652E41">
            <w:pPr>
              <w:widowControl/>
              <w:autoSpaceDE/>
              <w:autoSpaceDN/>
              <w:rPr>
                <w:rFonts w:ascii="Times New Roman" w:eastAsia="Times New Roman" w:hAnsi="Times New Roman" w:cs="Times New Roman"/>
                <w:sz w:val="20"/>
                <w:szCs w:val="20"/>
                <w:lang w:val="en-AU" w:eastAsia="en-AU"/>
              </w:rPr>
            </w:pPr>
          </w:p>
        </w:tc>
      </w:tr>
      <w:tr w:rsidR="00652E41" w:rsidRPr="00652E41" w14:paraId="41187DCB" w14:textId="77777777" w:rsidTr="009C5DA1">
        <w:trPr>
          <w:trHeight w:val="1200"/>
        </w:trPr>
        <w:tc>
          <w:tcPr>
            <w:tcW w:w="1603" w:type="dxa"/>
            <w:tcBorders>
              <w:top w:val="nil"/>
              <w:left w:val="single" w:sz="8" w:space="0" w:color="000000"/>
              <w:bottom w:val="single" w:sz="8" w:space="0" w:color="000000"/>
              <w:right w:val="single" w:sz="8" w:space="0" w:color="000000"/>
            </w:tcBorders>
            <w:shd w:val="clear" w:color="auto" w:fill="auto"/>
            <w:vAlign w:val="center"/>
            <w:hideMark/>
          </w:tcPr>
          <w:p w14:paraId="25DE5765" w14:textId="77777777" w:rsidR="00652E41" w:rsidRPr="00652E41" w:rsidRDefault="00652E41" w:rsidP="00652E41">
            <w:pPr>
              <w:widowControl/>
              <w:autoSpaceDE/>
              <w:autoSpaceDN/>
              <w:jc w:val="center"/>
              <w:rPr>
                <w:rFonts w:eastAsia="Times New Roman" w:cs="Calibri"/>
                <w:color w:val="000000"/>
                <w:lang w:val="en-AU" w:eastAsia="en-AU"/>
              </w:rPr>
            </w:pPr>
            <w:r w:rsidRPr="00652E41">
              <w:rPr>
                <w:rFonts w:eastAsia="Times New Roman" w:cs="Calibri"/>
                <w:color w:val="000000"/>
                <w:lang w:val="en-AU" w:eastAsia="en-AU"/>
              </w:rPr>
              <w:t>3</w:t>
            </w:r>
          </w:p>
        </w:tc>
        <w:tc>
          <w:tcPr>
            <w:tcW w:w="11715" w:type="dxa"/>
            <w:gridSpan w:val="9"/>
            <w:tcBorders>
              <w:top w:val="single" w:sz="8" w:space="0" w:color="000000"/>
              <w:left w:val="nil"/>
              <w:bottom w:val="single" w:sz="8" w:space="0" w:color="000000"/>
              <w:right w:val="single" w:sz="8" w:space="0" w:color="000000"/>
            </w:tcBorders>
            <w:shd w:val="clear" w:color="auto" w:fill="auto"/>
            <w:vAlign w:val="center"/>
            <w:hideMark/>
          </w:tcPr>
          <w:p w14:paraId="5DCB9402" w14:textId="77777777" w:rsidR="00652E41" w:rsidRPr="00652E41" w:rsidRDefault="00652E41" w:rsidP="00652E41">
            <w:pPr>
              <w:widowControl/>
              <w:autoSpaceDE/>
              <w:autoSpaceDN/>
              <w:rPr>
                <w:rFonts w:eastAsia="Times New Roman" w:cs="Calibri"/>
                <w:color w:val="000000"/>
                <w:lang w:val="en-AU" w:eastAsia="en-AU"/>
              </w:rPr>
            </w:pPr>
            <w:r w:rsidRPr="00652E41">
              <w:rPr>
                <w:rFonts w:eastAsia="Times New Roman" w:cs="Calibri"/>
                <w:color w:val="000000"/>
                <w:lang w:val="en-AU" w:eastAsia="en-AU"/>
              </w:rPr>
              <w:t xml:space="preserve">Where a matter was referred to Professional Standards, it was categorised under ABACUS (the Commissioner’s Directions relating to conduct, complaint management and compliance review) as per the </w:t>
            </w:r>
            <w:r w:rsidRPr="00652E41">
              <w:rPr>
                <w:rFonts w:eastAsia="Times New Roman" w:cs="Calibri"/>
                <w:i/>
                <w:iCs/>
                <w:color w:val="000000"/>
                <w:lang w:val="en-AU" w:eastAsia="en-AU"/>
              </w:rPr>
              <w:t>Police Service Act 2003</w:t>
            </w:r>
            <w:r w:rsidRPr="00652E41">
              <w:rPr>
                <w:rFonts w:eastAsia="Times New Roman" w:cs="Calibri"/>
                <w:color w:val="000000"/>
                <w:lang w:val="en-AU" w:eastAsia="en-AU"/>
              </w:rPr>
              <w:t xml:space="preserve"> and an investigation or inquiry conducted against the Code of Conduct to determine if a breach occurred and, if so, an appropriate sanction.</w:t>
            </w:r>
          </w:p>
        </w:tc>
        <w:tc>
          <w:tcPr>
            <w:tcW w:w="222" w:type="dxa"/>
            <w:vAlign w:val="center"/>
            <w:hideMark/>
          </w:tcPr>
          <w:p w14:paraId="65F9F428" w14:textId="77777777" w:rsidR="00652E41" w:rsidRPr="00652E41" w:rsidRDefault="00652E41" w:rsidP="00652E41">
            <w:pPr>
              <w:widowControl/>
              <w:autoSpaceDE/>
              <w:autoSpaceDN/>
              <w:rPr>
                <w:rFonts w:ascii="Times New Roman" w:eastAsia="Times New Roman" w:hAnsi="Times New Roman" w:cs="Times New Roman"/>
                <w:sz w:val="20"/>
                <w:szCs w:val="20"/>
                <w:lang w:val="en-AU" w:eastAsia="en-AU"/>
              </w:rPr>
            </w:pPr>
          </w:p>
        </w:tc>
      </w:tr>
      <w:tr w:rsidR="00652E41" w:rsidRPr="00652E41" w14:paraId="40AC0D45" w14:textId="77777777" w:rsidTr="009C5DA1">
        <w:trPr>
          <w:trHeight w:val="660"/>
        </w:trPr>
        <w:tc>
          <w:tcPr>
            <w:tcW w:w="1603" w:type="dxa"/>
            <w:tcBorders>
              <w:top w:val="nil"/>
              <w:left w:val="single" w:sz="8" w:space="0" w:color="000000"/>
              <w:bottom w:val="single" w:sz="8" w:space="0" w:color="000000"/>
              <w:right w:val="single" w:sz="8" w:space="0" w:color="000000"/>
            </w:tcBorders>
            <w:shd w:val="clear" w:color="auto" w:fill="auto"/>
            <w:vAlign w:val="center"/>
            <w:hideMark/>
          </w:tcPr>
          <w:p w14:paraId="639EB7B9" w14:textId="77777777" w:rsidR="00652E41" w:rsidRPr="00652E41" w:rsidRDefault="00652E41" w:rsidP="00652E41">
            <w:pPr>
              <w:widowControl/>
              <w:autoSpaceDE/>
              <w:autoSpaceDN/>
              <w:jc w:val="center"/>
              <w:rPr>
                <w:rFonts w:eastAsia="Times New Roman" w:cs="Calibri"/>
                <w:color w:val="000000"/>
                <w:lang w:val="en-AU" w:eastAsia="en-AU"/>
              </w:rPr>
            </w:pPr>
            <w:r w:rsidRPr="00652E41">
              <w:rPr>
                <w:rFonts w:eastAsia="Times New Roman" w:cs="Calibri"/>
                <w:color w:val="000000"/>
                <w:lang w:val="en-AU" w:eastAsia="en-AU"/>
              </w:rPr>
              <w:t>4</w:t>
            </w:r>
          </w:p>
        </w:tc>
        <w:tc>
          <w:tcPr>
            <w:tcW w:w="11715" w:type="dxa"/>
            <w:gridSpan w:val="9"/>
            <w:tcBorders>
              <w:top w:val="single" w:sz="8" w:space="0" w:color="000000"/>
              <w:left w:val="nil"/>
              <w:bottom w:val="single" w:sz="8" w:space="0" w:color="000000"/>
              <w:right w:val="single" w:sz="8" w:space="0" w:color="000000"/>
            </w:tcBorders>
            <w:shd w:val="clear" w:color="auto" w:fill="auto"/>
            <w:vAlign w:val="center"/>
            <w:hideMark/>
          </w:tcPr>
          <w:p w14:paraId="5AFB3263" w14:textId="77777777" w:rsidR="00652E41" w:rsidRPr="00652E41" w:rsidRDefault="00652E41" w:rsidP="00652E41">
            <w:pPr>
              <w:widowControl/>
              <w:autoSpaceDE/>
              <w:autoSpaceDN/>
              <w:rPr>
                <w:rFonts w:eastAsia="Times New Roman" w:cs="Calibri"/>
                <w:color w:val="000000"/>
                <w:lang w:val="en-AU" w:eastAsia="en-AU"/>
              </w:rPr>
            </w:pPr>
            <w:r w:rsidRPr="00652E41">
              <w:rPr>
                <w:rFonts w:eastAsia="Times New Roman" w:cs="Calibri"/>
                <w:color w:val="000000"/>
                <w:lang w:val="en-AU" w:eastAsia="en-AU"/>
              </w:rPr>
              <w:t>Investigation incomplete due to officer being deceased. An independent review is assessing the individual’s actions while a service police officer.</w:t>
            </w:r>
          </w:p>
        </w:tc>
        <w:tc>
          <w:tcPr>
            <w:tcW w:w="222" w:type="dxa"/>
            <w:vAlign w:val="center"/>
            <w:hideMark/>
          </w:tcPr>
          <w:p w14:paraId="71C8D54E" w14:textId="77777777" w:rsidR="00652E41" w:rsidRPr="00652E41" w:rsidRDefault="00652E41" w:rsidP="00652E41">
            <w:pPr>
              <w:widowControl/>
              <w:autoSpaceDE/>
              <w:autoSpaceDN/>
              <w:rPr>
                <w:rFonts w:ascii="Times New Roman" w:eastAsia="Times New Roman" w:hAnsi="Times New Roman" w:cs="Times New Roman"/>
                <w:sz w:val="20"/>
                <w:szCs w:val="20"/>
                <w:lang w:val="en-AU" w:eastAsia="en-AU"/>
              </w:rPr>
            </w:pPr>
          </w:p>
        </w:tc>
      </w:tr>
    </w:tbl>
    <w:p w14:paraId="1E5993D5" w14:textId="77777777" w:rsidR="00652E41" w:rsidRPr="007D6C38" w:rsidRDefault="00652E41" w:rsidP="00F7665C"/>
    <w:sectPr w:rsidR="00652E41" w:rsidRPr="007D6C38" w:rsidSect="004D4592">
      <w:type w:val="continuous"/>
      <w:pgSz w:w="16838" w:h="11906" w:orient="landscape" w:code="9"/>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58CA2" w14:textId="77777777" w:rsidR="00E7741B" w:rsidRDefault="00E7741B" w:rsidP="004D4592">
      <w:r>
        <w:separator/>
      </w:r>
    </w:p>
  </w:endnote>
  <w:endnote w:type="continuationSeparator" w:id="0">
    <w:p w14:paraId="30A74142" w14:textId="77777777" w:rsidR="00E7741B" w:rsidRDefault="00E7741B" w:rsidP="004D4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Light">
    <w:altName w:val="Calibri"/>
    <w:panose1 w:val="020B040202020402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0DE7A" w14:textId="77777777" w:rsidR="00E7741B" w:rsidRDefault="00E7741B" w:rsidP="004D4592">
      <w:r>
        <w:separator/>
      </w:r>
    </w:p>
  </w:footnote>
  <w:footnote w:type="continuationSeparator" w:id="0">
    <w:p w14:paraId="1D64FBFC" w14:textId="77777777" w:rsidR="00E7741B" w:rsidRDefault="00E7741B" w:rsidP="004D45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267E6"/>
    <w:multiLevelType w:val="hybridMultilevel"/>
    <w:tmpl w:val="7074AE1A"/>
    <w:lvl w:ilvl="0" w:tplc="F620E7AE">
      <w:start w:val="1"/>
      <w:numFmt w:val="decimal"/>
      <w:lvlText w:val="%1)"/>
      <w:lvlJc w:val="left"/>
      <w:pPr>
        <w:ind w:left="474" w:hanging="360"/>
      </w:pPr>
      <w:rPr>
        <w:rFonts w:hint="default"/>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 w15:restartNumberingAfterBreak="0">
    <w:nsid w:val="48CC0BD0"/>
    <w:multiLevelType w:val="hybridMultilevel"/>
    <w:tmpl w:val="AC9EA9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5A832139"/>
    <w:multiLevelType w:val="hybridMultilevel"/>
    <w:tmpl w:val="D41CE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03A5909"/>
    <w:multiLevelType w:val="hybridMultilevel"/>
    <w:tmpl w:val="D13433C4"/>
    <w:lvl w:ilvl="0" w:tplc="FFFFFFFF">
      <w:start w:val="1"/>
      <w:numFmt w:val="decimal"/>
      <w:lvlText w:val="%1."/>
      <w:lvlJc w:val="left"/>
      <w:pPr>
        <w:ind w:left="832" w:hanging="360"/>
      </w:pPr>
    </w:lvl>
    <w:lvl w:ilvl="1" w:tplc="FFFFFFFF" w:tentative="1">
      <w:start w:val="1"/>
      <w:numFmt w:val="lowerLetter"/>
      <w:lvlText w:val="%2."/>
      <w:lvlJc w:val="left"/>
      <w:pPr>
        <w:ind w:left="1552" w:hanging="360"/>
      </w:pPr>
    </w:lvl>
    <w:lvl w:ilvl="2" w:tplc="FFFFFFFF" w:tentative="1">
      <w:start w:val="1"/>
      <w:numFmt w:val="lowerRoman"/>
      <w:lvlText w:val="%3."/>
      <w:lvlJc w:val="right"/>
      <w:pPr>
        <w:ind w:left="2272" w:hanging="180"/>
      </w:pPr>
    </w:lvl>
    <w:lvl w:ilvl="3" w:tplc="FFFFFFFF" w:tentative="1">
      <w:start w:val="1"/>
      <w:numFmt w:val="decimal"/>
      <w:lvlText w:val="%4."/>
      <w:lvlJc w:val="left"/>
      <w:pPr>
        <w:ind w:left="2992" w:hanging="360"/>
      </w:pPr>
    </w:lvl>
    <w:lvl w:ilvl="4" w:tplc="FFFFFFFF" w:tentative="1">
      <w:start w:val="1"/>
      <w:numFmt w:val="lowerLetter"/>
      <w:lvlText w:val="%5."/>
      <w:lvlJc w:val="left"/>
      <w:pPr>
        <w:ind w:left="3712" w:hanging="360"/>
      </w:pPr>
    </w:lvl>
    <w:lvl w:ilvl="5" w:tplc="FFFFFFFF" w:tentative="1">
      <w:start w:val="1"/>
      <w:numFmt w:val="lowerRoman"/>
      <w:lvlText w:val="%6."/>
      <w:lvlJc w:val="right"/>
      <w:pPr>
        <w:ind w:left="4432" w:hanging="180"/>
      </w:pPr>
    </w:lvl>
    <w:lvl w:ilvl="6" w:tplc="FFFFFFFF" w:tentative="1">
      <w:start w:val="1"/>
      <w:numFmt w:val="decimal"/>
      <w:lvlText w:val="%7."/>
      <w:lvlJc w:val="left"/>
      <w:pPr>
        <w:ind w:left="5152" w:hanging="360"/>
      </w:pPr>
    </w:lvl>
    <w:lvl w:ilvl="7" w:tplc="FFFFFFFF" w:tentative="1">
      <w:start w:val="1"/>
      <w:numFmt w:val="lowerLetter"/>
      <w:lvlText w:val="%8."/>
      <w:lvlJc w:val="left"/>
      <w:pPr>
        <w:ind w:left="5872" w:hanging="360"/>
      </w:pPr>
    </w:lvl>
    <w:lvl w:ilvl="8" w:tplc="FFFFFFFF" w:tentative="1">
      <w:start w:val="1"/>
      <w:numFmt w:val="lowerRoman"/>
      <w:lvlText w:val="%9."/>
      <w:lvlJc w:val="right"/>
      <w:pPr>
        <w:ind w:left="6592" w:hanging="180"/>
      </w:pPr>
    </w:lvl>
  </w:abstractNum>
  <w:abstractNum w:abstractNumId="4" w15:restartNumberingAfterBreak="0">
    <w:nsid w:val="69744BC8"/>
    <w:multiLevelType w:val="hybridMultilevel"/>
    <w:tmpl w:val="D88885B4"/>
    <w:lvl w:ilvl="0" w:tplc="D8108B96">
      <w:numFmt w:val="bullet"/>
      <w:lvlText w:val=""/>
      <w:lvlJc w:val="left"/>
      <w:pPr>
        <w:ind w:left="755" w:hanging="377"/>
      </w:pPr>
      <w:rPr>
        <w:rFonts w:ascii="Symbol" w:eastAsia="Symbol" w:hAnsi="Symbol" w:cs="Symbol" w:hint="default"/>
        <w:b w:val="0"/>
        <w:bCs w:val="0"/>
        <w:i w:val="0"/>
        <w:iCs w:val="0"/>
        <w:spacing w:val="0"/>
        <w:w w:val="99"/>
        <w:sz w:val="20"/>
        <w:szCs w:val="20"/>
        <w:lang w:val="en-US" w:eastAsia="en-US" w:bidi="ar-SA"/>
      </w:rPr>
    </w:lvl>
    <w:lvl w:ilvl="1" w:tplc="8EA85D24">
      <w:numFmt w:val="bullet"/>
      <w:lvlText w:val="•"/>
      <w:lvlJc w:val="left"/>
      <w:pPr>
        <w:ind w:left="2924" w:hanging="377"/>
      </w:pPr>
      <w:rPr>
        <w:rFonts w:hint="default"/>
        <w:lang w:val="en-US" w:eastAsia="en-US" w:bidi="ar-SA"/>
      </w:rPr>
    </w:lvl>
    <w:lvl w:ilvl="2" w:tplc="AD36A3AC">
      <w:numFmt w:val="bullet"/>
      <w:lvlText w:val="•"/>
      <w:lvlJc w:val="left"/>
      <w:pPr>
        <w:ind w:left="5088" w:hanging="377"/>
      </w:pPr>
      <w:rPr>
        <w:rFonts w:hint="default"/>
        <w:lang w:val="en-US" w:eastAsia="en-US" w:bidi="ar-SA"/>
      </w:rPr>
    </w:lvl>
    <w:lvl w:ilvl="3" w:tplc="A2A410A8">
      <w:numFmt w:val="bullet"/>
      <w:lvlText w:val="•"/>
      <w:lvlJc w:val="left"/>
      <w:pPr>
        <w:ind w:left="7252" w:hanging="377"/>
      </w:pPr>
      <w:rPr>
        <w:rFonts w:hint="default"/>
        <w:lang w:val="en-US" w:eastAsia="en-US" w:bidi="ar-SA"/>
      </w:rPr>
    </w:lvl>
    <w:lvl w:ilvl="4" w:tplc="3DB6F8EC">
      <w:numFmt w:val="bullet"/>
      <w:lvlText w:val="•"/>
      <w:lvlJc w:val="left"/>
      <w:pPr>
        <w:ind w:left="9416" w:hanging="377"/>
      </w:pPr>
      <w:rPr>
        <w:rFonts w:hint="default"/>
        <w:lang w:val="en-US" w:eastAsia="en-US" w:bidi="ar-SA"/>
      </w:rPr>
    </w:lvl>
    <w:lvl w:ilvl="5" w:tplc="1D8CC2DC">
      <w:numFmt w:val="bullet"/>
      <w:lvlText w:val="•"/>
      <w:lvlJc w:val="left"/>
      <w:pPr>
        <w:ind w:left="11580" w:hanging="377"/>
      </w:pPr>
      <w:rPr>
        <w:rFonts w:hint="default"/>
        <w:lang w:val="en-US" w:eastAsia="en-US" w:bidi="ar-SA"/>
      </w:rPr>
    </w:lvl>
    <w:lvl w:ilvl="6" w:tplc="F8A6BF6C">
      <w:numFmt w:val="bullet"/>
      <w:lvlText w:val="•"/>
      <w:lvlJc w:val="left"/>
      <w:pPr>
        <w:ind w:left="13744" w:hanging="377"/>
      </w:pPr>
      <w:rPr>
        <w:rFonts w:hint="default"/>
        <w:lang w:val="en-US" w:eastAsia="en-US" w:bidi="ar-SA"/>
      </w:rPr>
    </w:lvl>
    <w:lvl w:ilvl="7" w:tplc="4B0EB458">
      <w:numFmt w:val="bullet"/>
      <w:lvlText w:val="•"/>
      <w:lvlJc w:val="left"/>
      <w:pPr>
        <w:ind w:left="15908" w:hanging="377"/>
      </w:pPr>
      <w:rPr>
        <w:rFonts w:hint="default"/>
        <w:lang w:val="en-US" w:eastAsia="en-US" w:bidi="ar-SA"/>
      </w:rPr>
    </w:lvl>
    <w:lvl w:ilvl="8" w:tplc="48B6E78E">
      <w:numFmt w:val="bullet"/>
      <w:lvlText w:val="•"/>
      <w:lvlJc w:val="left"/>
      <w:pPr>
        <w:ind w:left="18072" w:hanging="377"/>
      </w:pPr>
      <w:rPr>
        <w:rFonts w:hint="default"/>
        <w:lang w:val="en-US" w:eastAsia="en-US" w:bidi="ar-SA"/>
      </w:rPr>
    </w:lvl>
  </w:abstractNum>
  <w:abstractNum w:abstractNumId="5" w15:restartNumberingAfterBreak="0">
    <w:nsid w:val="74E25F77"/>
    <w:multiLevelType w:val="hybridMultilevel"/>
    <w:tmpl w:val="C9C8BBBC"/>
    <w:lvl w:ilvl="0" w:tplc="FFFFFFFF">
      <w:start w:val="1"/>
      <w:numFmt w:val="decimal"/>
      <w:lvlText w:val="%1."/>
      <w:lvlJc w:val="left"/>
      <w:pPr>
        <w:ind w:left="832" w:hanging="360"/>
      </w:pPr>
    </w:lvl>
    <w:lvl w:ilvl="1" w:tplc="FFFFFFFF" w:tentative="1">
      <w:start w:val="1"/>
      <w:numFmt w:val="lowerLetter"/>
      <w:lvlText w:val="%2."/>
      <w:lvlJc w:val="left"/>
      <w:pPr>
        <w:ind w:left="1552" w:hanging="360"/>
      </w:pPr>
    </w:lvl>
    <w:lvl w:ilvl="2" w:tplc="FFFFFFFF" w:tentative="1">
      <w:start w:val="1"/>
      <w:numFmt w:val="lowerRoman"/>
      <w:lvlText w:val="%3."/>
      <w:lvlJc w:val="right"/>
      <w:pPr>
        <w:ind w:left="2272" w:hanging="180"/>
      </w:pPr>
    </w:lvl>
    <w:lvl w:ilvl="3" w:tplc="FFFFFFFF" w:tentative="1">
      <w:start w:val="1"/>
      <w:numFmt w:val="decimal"/>
      <w:lvlText w:val="%4."/>
      <w:lvlJc w:val="left"/>
      <w:pPr>
        <w:ind w:left="2992" w:hanging="360"/>
      </w:pPr>
    </w:lvl>
    <w:lvl w:ilvl="4" w:tplc="FFFFFFFF" w:tentative="1">
      <w:start w:val="1"/>
      <w:numFmt w:val="lowerLetter"/>
      <w:lvlText w:val="%5."/>
      <w:lvlJc w:val="left"/>
      <w:pPr>
        <w:ind w:left="3712" w:hanging="360"/>
      </w:pPr>
    </w:lvl>
    <w:lvl w:ilvl="5" w:tplc="FFFFFFFF" w:tentative="1">
      <w:start w:val="1"/>
      <w:numFmt w:val="lowerRoman"/>
      <w:lvlText w:val="%6."/>
      <w:lvlJc w:val="right"/>
      <w:pPr>
        <w:ind w:left="4432" w:hanging="180"/>
      </w:pPr>
    </w:lvl>
    <w:lvl w:ilvl="6" w:tplc="FFFFFFFF" w:tentative="1">
      <w:start w:val="1"/>
      <w:numFmt w:val="decimal"/>
      <w:lvlText w:val="%7."/>
      <w:lvlJc w:val="left"/>
      <w:pPr>
        <w:ind w:left="5152" w:hanging="360"/>
      </w:pPr>
    </w:lvl>
    <w:lvl w:ilvl="7" w:tplc="FFFFFFFF" w:tentative="1">
      <w:start w:val="1"/>
      <w:numFmt w:val="lowerLetter"/>
      <w:lvlText w:val="%8."/>
      <w:lvlJc w:val="left"/>
      <w:pPr>
        <w:ind w:left="5872" w:hanging="360"/>
      </w:pPr>
    </w:lvl>
    <w:lvl w:ilvl="8" w:tplc="FFFFFFFF" w:tentative="1">
      <w:start w:val="1"/>
      <w:numFmt w:val="lowerRoman"/>
      <w:lvlText w:val="%9."/>
      <w:lvlJc w:val="right"/>
      <w:pPr>
        <w:ind w:left="6592" w:hanging="180"/>
      </w:pPr>
    </w:lvl>
  </w:abstractNum>
  <w:abstractNum w:abstractNumId="6" w15:restartNumberingAfterBreak="0">
    <w:nsid w:val="776B061E"/>
    <w:multiLevelType w:val="hybridMultilevel"/>
    <w:tmpl w:val="BD9A3B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FD1584E"/>
    <w:multiLevelType w:val="hybridMultilevel"/>
    <w:tmpl w:val="FDDCAC64"/>
    <w:lvl w:ilvl="0" w:tplc="0C090001">
      <w:start w:val="1"/>
      <w:numFmt w:val="bullet"/>
      <w:lvlText w:val=""/>
      <w:lvlJc w:val="left"/>
      <w:pPr>
        <w:ind w:left="832" w:hanging="360"/>
      </w:pPr>
      <w:rPr>
        <w:rFonts w:ascii="Symbol" w:hAnsi="Symbol" w:hint="default"/>
      </w:rPr>
    </w:lvl>
    <w:lvl w:ilvl="1" w:tplc="0C090019" w:tentative="1">
      <w:start w:val="1"/>
      <w:numFmt w:val="lowerLetter"/>
      <w:lvlText w:val="%2."/>
      <w:lvlJc w:val="left"/>
      <w:pPr>
        <w:ind w:left="1552" w:hanging="360"/>
      </w:pPr>
    </w:lvl>
    <w:lvl w:ilvl="2" w:tplc="0C09001B" w:tentative="1">
      <w:start w:val="1"/>
      <w:numFmt w:val="lowerRoman"/>
      <w:lvlText w:val="%3."/>
      <w:lvlJc w:val="right"/>
      <w:pPr>
        <w:ind w:left="2272" w:hanging="180"/>
      </w:pPr>
    </w:lvl>
    <w:lvl w:ilvl="3" w:tplc="0C09000F" w:tentative="1">
      <w:start w:val="1"/>
      <w:numFmt w:val="decimal"/>
      <w:lvlText w:val="%4."/>
      <w:lvlJc w:val="left"/>
      <w:pPr>
        <w:ind w:left="2992" w:hanging="360"/>
      </w:pPr>
    </w:lvl>
    <w:lvl w:ilvl="4" w:tplc="0C090019" w:tentative="1">
      <w:start w:val="1"/>
      <w:numFmt w:val="lowerLetter"/>
      <w:lvlText w:val="%5."/>
      <w:lvlJc w:val="left"/>
      <w:pPr>
        <w:ind w:left="3712" w:hanging="360"/>
      </w:pPr>
    </w:lvl>
    <w:lvl w:ilvl="5" w:tplc="0C09001B" w:tentative="1">
      <w:start w:val="1"/>
      <w:numFmt w:val="lowerRoman"/>
      <w:lvlText w:val="%6."/>
      <w:lvlJc w:val="right"/>
      <w:pPr>
        <w:ind w:left="4432" w:hanging="180"/>
      </w:pPr>
    </w:lvl>
    <w:lvl w:ilvl="6" w:tplc="0C09000F" w:tentative="1">
      <w:start w:val="1"/>
      <w:numFmt w:val="decimal"/>
      <w:lvlText w:val="%7."/>
      <w:lvlJc w:val="left"/>
      <w:pPr>
        <w:ind w:left="5152" w:hanging="360"/>
      </w:pPr>
    </w:lvl>
    <w:lvl w:ilvl="7" w:tplc="0C090019" w:tentative="1">
      <w:start w:val="1"/>
      <w:numFmt w:val="lowerLetter"/>
      <w:lvlText w:val="%8."/>
      <w:lvlJc w:val="left"/>
      <w:pPr>
        <w:ind w:left="5872" w:hanging="360"/>
      </w:pPr>
    </w:lvl>
    <w:lvl w:ilvl="8" w:tplc="0C09001B" w:tentative="1">
      <w:start w:val="1"/>
      <w:numFmt w:val="lowerRoman"/>
      <w:lvlText w:val="%9."/>
      <w:lvlJc w:val="right"/>
      <w:pPr>
        <w:ind w:left="6592" w:hanging="180"/>
      </w:pPr>
    </w:lvl>
  </w:abstractNum>
  <w:num w:numId="1" w16cid:durableId="451485488">
    <w:abstractNumId w:val="4"/>
  </w:num>
  <w:num w:numId="2" w16cid:durableId="296298100">
    <w:abstractNumId w:val="2"/>
  </w:num>
  <w:num w:numId="3" w16cid:durableId="1390374365">
    <w:abstractNumId w:val="7"/>
  </w:num>
  <w:num w:numId="4" w16cid:durableId="405304107">
    <w:abstractNumId w:val="6"/>
  </w:num>
  <w:num w:numId="5" w16cid:durableId="1959220721">
    <w:abstractNumId w:val="3"/>
  </w:num>
  <w:num w:numId="6" w16cid:durableId="461965089">
    <w:abstractNumId w:val="5"/>
  </w:num>
  <w:num w:numId="7" w16cid:durableId="1286960991">
    <w:abstractNumId w:val="1"/>
  </w:num>
  <w:num w:numId="8" w16cid:durableId="1624339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2E3"/>
    <w:rsid w:val="0001170D"/>
    <w:rsid w:val="00014D1E"/>
    <w:rsid w:val="00015354"/>
    <w:rsid w:val="00025411"/>
    <w:rsid w:val="00052C6B"/>
    <w:rsid w:val="00055A01"/>
    <w:rsid w:val="000744EF"/>
    <w:rsid w:val="00077F3A"/>
    <w:rsid w:val="00083752"/>
    <w:rsid w:val="00086DC1"/>
    <w:rsid w:val="000A02B0"/>
    <w:rsid w:val="000A0D92"/>
    <w:rsid w:val="000A14BC"/>
    <w:rsid w:val="000A2740"/>
    <w:rsid w:val="000C143D"/>
    <w:rsid w:val="000C5D00"/>
    <w:rsid w:val="000C61C0"/>
    <w:rsid w:val="000C7B25"/>
    <w:rsid w:val="000C7CEC"/>
    <w:rsid w:val="000D5287"/>
    <w:rsid w:val="000F446B"/>
    <w:rsid w:val="00101B19"/>
    <w:rsid w:val="00121800"/>
    <w:rsid w:val="0012181D"/>
    <w:rsid w:val="0012284B"/>
    <w:rsid w:val="00132C92"/>
    <w:rsid w:val="00141904"/>
    <w:rsid w:val="0015739D"/>
    <w:rsid w:val="00161CFC"/>
    <w:rsid w:val="0017436E"/>
    <w:rsid w:val="00191087"/>
    <w:rsid w:val="001B50A8"/>
    <w:rsid w:val="001B638D"/>
    <w:rsid w:val="001B773A"/>
    <w:rsid w:val="001E2317"/>
    <w:rsid w:val="001F3466"/>
    <w:rsid w:val="00221558"/>
    <w:rsid w:val="002221D5"/>
    <w:rsid w:val="00235321"/>
    <w:rsid w:val="00242035"/>
    <w:rsid w:val="00243333"/>
    <w:rsid w:val="00244E1F"/>
    <w:rsid w:val="00251237"/>
    <w:rsid w:val="002809D8"/>
    <w:rsid w:val="00286222"/>
    <w:rsid w:val="002868CD"/>
    <w:rsid w:val="00287C0F"/>
    <w:rsid w:val="002A2808"/>
    <w:rsid w:val="002C2BC7"/>
    <w:rsid w:val="002E221C"/>
    <w:rsid w:val="002E341A"/>
    <w:rsid w:val="002F34C8"/>
    <w:rsid w:val="002F3C52"/>
    <w:rsid w:val="002F56AA"/>
    <w:rsid w:val="003032BB"/>
    <w:rsid w:val="003036D8"/>
    <w:rsid w:val="00305556"/>
    <w:rsid w:val="0030777F"/>
    <w:rsid w:val="00312610"/>
    <w:rsid w:val="0033408E"/>
    <w:rsid w:val="00362DBA"/>
    <w:rsid w:val="00374716"/>
    <w:rsid w:val="00383C4A"/>
    <w:rsid w:val="00384B4A"/>
    <w:rsid w:val="003962E3"/>
    <w:rsid w:val="003A1DEA"/>
    <w:rsid w:val="003B381D"/>
    <w:rsid w:val="003B3FBD"/>
    <w:rsid w:val="003C447F"/>
    <w:rsid w:val="003D549E"/>
    <w:rsid w:val="0040575F"/>
    <w:rsid w:val="004236DF"/>
    <w:rsid w:val="004269A0"/>
    <w:rsid w:val="0043446A"/>
    <w:rsid w:val="00435213"/>
    <w:rsid w:val="00441CDC"/>
    <w:rsid w:val="0045013E"/>
    <w:rsid w:val="004534CA"/>
    <w:rsid w:val="00454E80"/>
    <w:rsid w:val="00456F4F"/>
    <w:rsid w:val="00491EB6"/>
    <w:rsid w:val="00494634"/>
    <w:rsid w:val="004A3587"/>
    <w:rsid w:val="004A495E"/>
    <w:rsid w:val="004B2B99"/>
    <w:rsid w:val="004D4592"/>
    <w:rsid w:val="004D762E"/>
    <w:rsid w:val="004E62A6"/>
    <w:rsid w:val="004F26B6"/>
    <w:rsid w:val="004F6F4B"/>
    <w:rsid w:val="005004E6"/>
    <w:rsid w:val="00502178"/>
    <w:rsid w:val="005110BB"/>
    <w:rsid w:val="00516AC0"/>
    <w:rsid w:val="00517835"/>
    <w:rsid w:val="00546BFF"/>
    <w:rsid w:val="00562759"/>
    <w:rsid w:val="005841C7"/>
    <w:rsid w:val="005947EF"/>
    <w:rsid w:val="00594C73"/>
    <w:rsid w:val="005953EA"/>
    <w:rsid w:val="005B1010"/>
    <w:rsid w:val="005D3788"/>
    <w:rsid w:val="005D5548"/>
    <w:rsid w:val="005E25EA"/>
    <w:rsid w:val="005E4309"/>
    <w:rsid w:val="005F2E6C"/>
    <w:rsid w:val="005F5D24"/>
    <w:rsid w:val="00633510"/>
    <w:rsid w:val="00633A08"/>
    <w:rsid w:val="00652E41"/>
    <w:rsid w:val="006652C5"/>
    <w:rsid w:val="00670532"/>
    <w:rsid w:val="00684ACF"/>
    <w:rsid w:val="006910ED"/>
    <w:rsid w:val="0069293A"/>
    <w:rsid w:val="006A2856"/>
    <w:rsid w:val="006C254C"/>
    <w:rsid w:val="006D4C5A"/>
    <w:rsid w:val="006D7901"/>
    <w:rsid w:val="006F0A27"/>
    <w:rsid w:val="006F15F6"/>
    <w:rsid w:val="006F1DB8"/>
    <w:rsid w:val="006F2ADE"/>
    <w:rsid w:val="00722A6D"/>
    <w:rsid w:val="00731987"/>
    <w:rsid w:val="00762D56"/>
    <w:rsid w:val="007662C1"/>
    <w:rsid w:val="00774456"/>
    <w:rsid w:val="00775A46"/>
    <w:rsid w:val="00795A89"/>
    <w:rsid w:val="007A059F"/>
    <w:rsid w:val="007A2B1C"/>
    <w:rsid w:val="007A2FCF"/>
    <w:rsid w:val="007D209F"/>
    <w:rsid w:val="007D6C38"/>
    <w:rsid w:val="007F0CFA"/>
    <w:rsid w:val="007F2DFD"/>
    <w:rsid w:val="00801E22"/>
    <w:rsid w:val="008022C8"/>
    <w:rsid w:val="00813533"/>
    <w:rsid w:val="00826034"/>
    <w:rsid w:val="00831509"/>
    <w:rsid w:val="0086422D"/>
    <w:rsid w:val="00866EE4"/>
    <w:rsid w:val="008711A8"/>
    <w:rsid w:val="00871B66"/>
    <w:rsid w:val="00874C79"/>
    <w:rsid w:val="008971A5"/>
    <w:rsid w:val="008A16EC"/>
    <w:rsid w:val="008B1311"/>
    <w:rsid w:val="008B1B67"/>
    <w:rsid w:val="008B1D82"/>
    <w:rsid w:val="008C0078"/>
    <w:rsid w:val="008D21A4"/>
    <w:rsid w:val="008F6D7F"/>
    <w:rsid w:val="00915ECB"/>
    <w:rsid w:val="00924CFA"/>
    <w:rsid w:val="00931042"/>
    <w:rsid w:val="00936D42"/>
    <w:rsid w:val="009521A1"/>
    <w:rsid w:val="009539DD"/>
    <w:rsid w:val="00955759"/>
    <w:rsid w:val="0096776B"/>
    <w:rsid w:val="00991AE4"/>
    <w:rsid w:val="0099447F"/>
    <w:rsid w:val="00994511"/>
    <w:rsid w:val="009A108E"/>
    <w:rsid w:val="009A1B22"/>
    <w:rsid w:val="009B5FEC"/>
    <w:rsid w:val="009C12DF"/>
    <w:rsid w:val="009C27D7"/>
    <w:rsid w:val="009C5DA1"/>
    <w:rsid w:val="009D300E"/>
    <w:rsid w:val="009D6704"/>
    <w:rsid w:val="009E1215"/>
    <w:rsid w:val="009F002A"/>
    <w:rsid w:val="009F7B60"/>
    <w:rsid w:val="00A02572"/>
    <w:rsid w:val="00A12607"/>
    <w:rsid w:val="00A33C08"/>
    <w:rsid w:val="00A46625"/>
    <w:rsid w:val="00A47C7B"/>
    <w:rsid w:val="00A83C12"/>
    <w:rsid w:val="00A8661C"/>
    <w:rsid w:val="00A945A6"/>
    <w:rsid w:val="00AA44B9"/>
    <w:rsid w:val="00AB4198"/>
    <w:rsid w:val="00AC6F6C"/>
    <w:rsid w:val="00AD223A"/>
    <w:rsid w:val="00AE253D"/>
    <w:rsid w:val="00AE2BC6"/>
    <w:rsid w:val="00AF6074"/>
    <w:rsid w:val="00B00D54"/>
    <w:rsid w:val="00B05820"/>
    <w:rsid w:val="00B55A2A"/>
    <w:rsid w:val="00B57C1E"/>
    <w:rsid w:val="00B60254"/>
    <w:rsid w:val="00B65559"/>
    <w:rsid w:val="00B80593"/>
    <w:rsid w:val="00B86BD2"/>
    <w:rsid w:val="00B878A3"/>
    <w:rsid w:val="00B92559"/>
    <w:rsid w:val="00BA18B4"/>
    <w:rsid w:val="00BA764F"/>
    <w:rsid w:val="00BD339F"/>
    <w:rsid w:val="00BE399D"/>
    <w:rsid w:val="00C009A3"/>
    <w:rsid w:val="00C34B21"/>
    <w:rsid w:val="00C372B3"/>
    <w:rsid w:val="00C446E0"/>
    <w:rsid w:val="00C536F3"/>
    <w:rsid w:val="00C6020C"/>
    <w:rsid w:val="00C6727F"/>
    <w:rsid w:val="00C82BEB"/>
    <w:rsid w:val="00CC0245"/>
    <w:rsid w:val="00CC1DCA"/>
    <w:rsid w:val="00CC75B6"/>
    <w:rsid w:val="00CE5FC2"/>
    <w:rsid w:val="00D000D9"/>
    <w:rsid w:val="00D12676"/>
    <w:rsid w:val="00D26712"/>
    <w:rsid w:val="00D45A84"/>
    <w:rsid w:val="00D4616A"/>
    <w:rsid w:val="00D62688"/>
    <w:rsid w:val="00D67B4B"/>
    <w:rsid w:val="00D70B25"/>
    <w:rsid w:val="00D7419A"/>
    <w:rsid w:val="00D763BF"/>
    <w:rsid w:val="00D81186"/>
    <w:rsid w:val="00DB173B"/>
    <w:rsid w:val="00DC2FBA"/>
    <w:rsid w:val="00DD0632"/>
    <w:rsid w:val="00DD52F9"/>
    <w:rsid w:val="00E028A6"/>
    <w:rsid w:val="00E12BCB"/>
    <w:rsid w:val="00E35FF2"/>
    <w:rsid w:val="00E46552"/>
    <w:rsid w:val="00E7741B"/>
    <w:rsid w:val="00E86E49"/>
    <w:rsid w:val="00EA0420"/>
    <w:rsid w:val="00EA414D"/>
    <w:rsid w:val="00EC5893"/>
    <w:rsid w:val="00ED6311"/>
    <w:rsid w:val="00EE4B86"/>
    <w:rsid w:val="00EF2126"/>
    <w:rsid w:val="00EF3E90"/>
    <w:rsid w:val="00F00BB9"/>
    <w:rsid w:val="00F16BF5"/>
    <w:rsid w:val="00F36846"/>
    <w:rsid w:val="00F51CFC"/>
    <w:rsid w:val="00F5564C"/>
    <w:rsid w:val="00F55E5F"/>
    <w:rsid w:val="00F65517"/>
    <w:rsid w:val="00F7665C"/>
    <w:rsid w:val="00F82C83"/>
    <w:rsid w:val="00F93112"/>
    <w:rsid w:val="00F9574A"/>
    <w:rsid w:val="00FB02E9"/>
    <w:rsid w:val="00FF33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7B28A"/>
  <w15:docId w15:val="{4EE9C4A4-7BEE-4398-AE09-13418DFC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Sans Light" w:eastAsia="GillSans Light" w:hAnsi="GillSans Light" w:cs="GillSans Light"/>
    </w:rPr>
  </w:style>
  <w:style w:type="paragraph" w:styleId="Heading1">
    <w:name w:val="heading 1"/>
    <w:basedOn w:val="Normal"/>
    <w:next w:val="Normal"/>
    <w:link w:val="Heading1Char"/>
    <w:uiPriority w:val="9"/>
    <w:qFormat/>
    <w:rsid w:val="0028622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
    </w:pPr>
    <w:rPr>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286222"/>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28622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6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6222"/>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86222"/>
    <w:rPr>
      <w:rFonts w:eastAsiaTheme="minorEastAsia"/>
      <w:color w:val="5A5A5A" w:themeColor="text1" w:themeTint="A5"/>
      <w:spacing w:val="15"/>
    </w:rPr>
  </w:style>
  <w:style w:type="character" w:styleId="PlaceholderText">
    <w:name w:val="Placeholder Text"/>
    <w:basedOn w:val="DefaultParagraphFont"/>
    <w:uiPriority w:val="99"/>
    <w:semiHidden/>
    <w:rsid w:val="00A33C08"/>
    <w:rPr>
      <w:color w:val="808080"/>
    </w:rPr>
  </w:style>
  <w:style w:type="paragraph" w:styleId="Header">
    <w:name w:val="header"/>
    <w:basedOn w:val="Normal"/>
    <w:link w:val="HeaderChar"/>
    <w:uiPriority w:val="99"/>
    <w:unhideWhenUsed/>
    <w:rsid w:val="004D4592"/>
    <w:pPr>
      <w:tabs>
        <w:tab w:val="center" w:pos="4513"/>
        <w:tab w:val="right" w:pos="9026"/>
      </w:tabs>
    </w:pPr>
  </w:style>
  <w:style w:type="character" w:customStyle="1" w:styleId="HeaderChar">
    <w:name w:val="Header Char"/>
    <w:basedOn w:val="DefaultParagraphFont"/>
    <w:link w:val="Header"/>
    <w:uiPriority w:val="99"/>
    <w:rsid w:val="004D4592"/>
    <w:rPr>
      <w:rFonts w:ascii="GillSans Light" w:eastAsia="GillSans Light" w:hAnsi="GillSans Light" w:cs="GillSans Light"/>
    </w:rPr>
  </w:style>
  <w:style w:type="paragraph" w:styleId="Footer">
    <w:name w:val="footer"/>
    <w:basedOn w:val="Normal"/>
    <w:link w:val="FooterChar"/>
    <w:uiPriority w:val="99"/>
    <w:unhideWhenUsed/>
    <w:rsid w:val="004D4592"/>
    <w:pPr>
      <w:tabs>
        <w:tab w:val="center" w:pos="4513"/>
        <w:tab w:val="right" w:pos="9026"/>
      </w:tabs>
    </w:pPr>
  </w:style>
  <w:style w:type="character" w:customStyle="1" w:styleId="FooterChar">
    <w:name w:val="Footer Char"/>
    <w:basedOn w:val="DefaultParagraphFont"/>
    <w:link w:val="Footer"/>
    <w:uiPriority w:val="99"/>
    <w:rsid w:val="004D4592"/>
    <w:rPr>
      <w:rFonts w:ascii="GillSans Light" w:eastAsia="GillSans Light" w:hAnsi="GillSans Light" w:cs="GillSans Light"/>
    </w:rPr>
  </w:style>
  <w:style w:type="character" w:styleId="CommentReference">
    <w:name w:val="annotation reference"/>
    <w:basedOn w:val="DefaultParagraphFont"/>
    <w:uiPriority w:val="99"/>
    <w:semiHidden/>
    <w:unhideWhenUsed/>
    <w:rsid w:val="00DC2FBA"/>
    <w:rPr>
      <w:sz w:val="16"/>
      <w:szCs w:val="16"/>
    </w:rPr>
  </w:style>
  <w:style w:type="paragraph" w:styleId="CommentText">
    <w:name w:val="annotation text"/>
    <w:basedOn w:val="Normal"/>
    <w:link w:val="CommentTextChar"/>
    <w:uiPriority w:val="99"/>
    <w:unhideWhenUsed/>
    <w:rsid w:val="00DC2FBA"/>
    <w:rPr>
      <w:sz w:val="20"/>
      <w:szCs w:val="20"/>
    </w:rPr>
  </w:style>
  <w:style w:type="character" w:customStyle="1" w:styleId="CommentTextChar">
    <w:name w:val="Comment Text Char"/>
    <w:basedOn w:val="DefaultParagraphFont"/>
    <w:link w:val="CommentText"/>
    <w:uiPriority w:val="99"/>
    <w:rsid w:val="00DC2FBA"/>
    <w:rPr>
      <w:rFonts w:ascii="GillSans Light" w:eastAsia="GillSans Light" w:hAnsi="GillSans Light" w:cs="GillSans Light"/>
      <w:sz w:val="20"/>
      <w:szCs w:val="20"/>
    </w:rPr>
  </w:style>
  <w:style w:type="paragraph" w:styleId="CommentSubject">
    <w:name w:val="annotation subject"/>
    <w:basedOn w:val="CommentText"/>
    <w:next w:val="CommentText"/>
    <w:link w:val="CommentSubjectChar"/>
    <w:uiPriority w:val="99"/>
    <w:semiHidden/>
    <w:unhideWhenUsed/>
    <w:rsid w:val="00DC2FBA"/>
    <w:rPr>
      <w:b/>
      <w:bCs/>
    </w:rPr>
  </w:style>
  <w:style w:type="character" w:customStyle="1" w:styleId="CommentSubjectChar">
    <w:name w:val="Comment Subject Char"/>
    <w:basedOn w:val="CommentTextChar"/>
    <w:link w:val="CommentSubject"/>
    <w:uiPriority w:val="99"/>
    <w:semiHidden/>
    <w:rsid w:val="00DC2FBA"/>
    <w:rPr>
      <w:rFonts w:ascii="GillSans Light" w:eastAsia="GillSans Light" w:hAnsi="GillSans Light" w:cs="Gill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800117">
      <w:bodyDiv w:val="1"/>
      <w:marLeft w:val="0"/>
      <w:marRight w:val="0"/>
      <w:marTop w:val="0"/>
      <w:marBottom w:val="0"/>
      <w:divBdr>
        <w:top w:val="none" w:sz="0" w:space="0" w:color="auto"/>
        <w:left w:val="none" w:sz="0" w:space="0" w:color="auto"/>
        <w:bottom w:val="none" w:sz="0" w:space="0" w:color="auto"/>
        <w:right w:val="none" w:sz="0" w:space="0" w:color="auto"/>
      </w:divBdr>
    </w:div>
    <w:div w:id="663434069">
      <w:bodyDiv w:val="1"/>
      <w:marLeft w:val="0"/>
      <w:marRight w:val="0"/>
      <w:marTop w:val="0"/>
      <w:marBottom w:val="0"/>
      <w:divBdr>
        <w:top w:val="none" w:sz="0" w:space="0" w:color="auto"/>
        <w:left w:val="none" w:sz="0" w:space="0" w:color="auto"/>
        <w:bottom w:val="none" w:sz="0" w:space="0" w:color="auto"/>
        <w:right w:val="none" w:sz="0" w:space="0" w:color="auto"/>
      </w:divBdr>
    </w:div>
    <w:div w:id="699209275">
      <w:bodyDiv w:val="1"/>
      <w:marLeft w:val="0"/>
      <w:marRight w:val="0"/>
      <w:marTop w:val="0"/>
      <w:marBottom w:val="0"/>
      <w:divBdr>
        <w:top w:val="none" w:sz="0" w:space="0" w:color="auto"/>
        <w:left w:val="none" w:sz="0" w:space="0" w:color="auto"/>
        <w:bottom w:val="none" w:sz="0" w:space="0" w:color="auto"/>
        <w:right w:val="none" w:sz="0" w:space="0" w:color="auto"/>
      </w:divBdr>
    </w:div>
    <w:div w:id="1097867617">
      <w:bodyDiv w:val="1"/>
      <w:marLeft w:val="0"/>
      <w:marRight w:val="0"/>
      <w:marTop w:val="0"/>
      <w:marBottom w:val="0"/>
      <w:divBdr>
        <w:top w:val="none" w:sz="0" w:space="0" w:color="auto"/>
        <w:left w:val="none" w:sz="0" w:space="0" w:color="auto"/>
        <w:bottom w:val="none" w:sz="0" w:space="0" w:color="auto"/>
        <w:right w:val="none" w:sz="0" w:space="0" w:color="auto"/>
      </w:divBdr>
    </w:div>
    <w:div w:id="1339113459">
      <w:bodyDiv w:val="1"/>
      <w:marLeft w:val="0"/>
      <w:marRight w:val="0"/>
      <w:marTop w:val="0"/>
      <w:marBottom w:val="0"/>
      <w:divBdr>
        <w:top w:val="none" w:sz="0" w:space="0" w:color="auto"/>
        <w:left w:val="none" w:sz="0" w:space="0" w:color="auto"/>
        <w:bottom w:val="none" w:sz="0" w:space="0" w:color="auto"/>
        <w:right w:val="none" w:sz="0" w:space="0" w:color="auto"/>
      </w:divBdr>
    </w:div>
    <w:div w:id="1497768031">
      <w:bodyDiv w:val="1"/>
      <w:marLeft w:val="0"/>
      <w:marRight w:val="0"/>
      <w:marTop w:val="0"/>
      <w:marBottom w:val="0"/>
      <w:divBdr>
        <w:top w:val="none" w:sz="0" w:space="0" w:color="auto"/>
        <w:left w:val="none" w:sz="0" w:space="0" w:color="auto"/>
        <w:bottom w:val="none" w:sz="0" w:space="0" w:color="auto"/>
        <w:right w:val="none" w:sz="0" w:space="0" w:color="auto"/>
      </w:divBdr>
    </w:div>
    <w:div w:id="1572275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59167-FD42-4717-AC2C-7D7EA332D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1751</Words>
  <Characters>9356</Characters>
  <Application>Microsoft Office Word</Application>
  <DocSecurity>0</DocSecurity>
  <Lines>406</Lines>
  <Paragraphs>160</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Hanson, Christie</dc:creator>
  <dc:description/>
  <cp:lastModifiedBy>Vu, Jenny</cp:lastModifiedBy>
  <cp:revision>3</cp:revision>
  <cp:lastPrinted>2023-12-04T03:41:00Z</cp:lastPrinted>
  <dcterms:created xsi:type="dcterms:W3CDTF">2024-02-20T04:48:00Z</dcterms:created>
  <dcterms:modified xsi:type="dcterms:W3CDTF">2024-02-20T04:49:00Z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Acrobat PDFMaker 23 for Word</vt:lpwstr>
  </property>
  <property fmtid="{D5CDD505-2E9C-101B-9397-08002B2CF9AE}" pid="4" name="LastSaved">
    <vt:filetime>2023-11-26T00:00:00Z</vt:filetime>
  </property>
  <property fmtid="{D5CDD505-2E9C-101B-9397-08002B2CF9AE}" pid="5" name="Producer">
    <vt:lpwstr>Adobe PDF Library 23.6.96</vt:lpwstr>
  </property>
  <property fmtid="{D5CDD505-2E9C-101B-9397-08002B2CF9AE}" pid="6" name="SourceModified">
    <vt:lpwstr/>
  </property>
</Properties>
</file>