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63F9" w14:textId="4EF31EA8" w:rsidR="00DA532B" w:rsidRPr="000944BF" w:rsidRDefault="00F00593" w:rsidP="001447BB">
      <w:pPr>
        <w:pStyle w:val="Title"/>
        <w:rPr>
          <w:b w:val="0"/>
        </w:rPr>
      </w:pPr>
      <w:r w:rsidRPr="000944BF">
        <w:t>Tasmanian State Service Review – Status Update</w:t>
      </w:r>
    </w:p>
    <w:p w14:paraId="0B2FAC7A" w14:textId="34C01CAA" w:rsidR="00AD5744" w:rsidRPr="00AD5744" w:rsidRDefault="00AD5744" w:rsidP="001447BB">
      <w:pPr>
        <w:pStyle w:val="Heading1"/>
        <w:rPr>
          <w:b w:val="0"/>
        </w:rPr>
      </w:pPr>
      <w:r w:rsidRPr="00AD5744">
        <w:t>Background</w:t>
      </w:r>
    </w:p>
    <w:p w14:paraId="5C5BE8FE" w14:textId="5333F44A" w:rsidR="00F2578D" w:rsidRDefault="00F2578D" w:rsidP="00F2578D">
      <w:pPr>
        <w:rPr>
          <w:rFonts w:cs="Arial"/>
        </w:rPr>
      </w:pPr>
      <w:r>
        <w:rPr>
          <w:rFonts w:cs="Arial"/>
        </w:rPr>
        <w:t>The final report of the Tasmanian State Service Review (TSSR), undertaken by Dr Ian Watt, was publicly released in September 2021. The Government supported or supported in-principle all 77 recommendations.</w:t>
      </w:r>
    </w:p>
    <w:p w14:paraId="050B58A1" w14:textId="77777777" w:rsidR="008D178B" w:rsidRDefault="008D178B" w:rsidP="008D178B">
      <w:pPr>
        <w:rPr>
          <w:rFonts w:cs="Arial"/>
        </w:rPr>
      </w:pPr>
      <w:r>
        <w:rPr>
          <w:rFonts w:cs="Arial"/>
        </w:rPr>
        <w:t>The TSSR report recommended implementation of the recommendations over a period of five years, in three stages:</w:t>
      </w:r>
    </w:p>
    <w:p w14:paraId="1F53C260" w14:textId="77777777" w:rsidR="008D178B" w:rsidRDefault="008D178B" w:rsidP="008D178B">
      <w:pPr>
        <w:pStyle w:val="ListParagraph"/>
        <w:numPr>
          <w:ilvl w:val="0"/>
          <w:numId w:val="1"/>
        </w:numPr>
        <w:rPr>
          <w:rFonts w:cs="Arial"/>
        </w:rPr>
      </w:pPr>
      <w:r>
        <w:rPr>
          <w:rFonts w:cs="Arial"/>
        </w:rPr>
        <w:t>Stage 1: June 2022-June 2023</w:t>
      </w:r>
    </w:p>
    <w:p w14:paraId="6B54A4F4" w14:textId="77777777" w:rsidR="008D178B" w:rsidRDefault="008D178B" w:rsidP="008D178B">
      <w:pPr>
        <w:pStyle w:val="ListParagraph"/>
        <w:numPr>
          <w:ilvl w:val="0"/>
          <w:numId w:val="1"/>
        </w:numPr>
        <w:rPr>
          <w:rFonts w:cs="Arial"/>
        </w:rPr>
      </w:pPr>
      <w:r>
        <w:rPr>
          <w:rFonts w:cs="Arial"/>
        </w:rPr>
        <w:t>Stage 2: December 2023-December 2024</w:t>
      </w:r>
    </w:p>
    <w:p w14:paraId="218EF9A1" w14:textId="2DEF8813" w:rsidR="008D178B" w:rsidRPr="008D178B" w:rsidRDefault="008D178B" w:rsidP="00F2578D">
      <w:pPr>
        <w:pStyle w:val="ListParagraph"/>
        <w:numPr>
          <w:ilvl w:val="0"/>
          <w:numId w:val="1"/>
        </w:numPr>
        <w:rPr>
          <w:rFonts w:cs="Arial"/>
        </w:rPr>
      </w:pPr>
      <w:r>
        <w:rPr>
          <w:rFonts w:cs="Arial"/>
        </w:rPr>
        <w:t>Stage 3: June 2025-June 2026</w:t>
      </w:r>
    </w:p>
    <w:p w14:paraId="12EC479F" w14:textId="1C3DE269" w:rsidR="006E1118" w:rsidRDefault="00AD5744" w:rsidP="00D5084F">
      <w:pPr>
        <w:rPr>
          <w:rFonts w:cs="Arial"/>
        </w:rPr>
      </w:pPr>
      <w:r>
        <w:rPr>
          <w:rFonts w:cs="Arial"/>
        </w:rPr>
        <w:t xml:space="preserve">Through the Roadmap for Reform, the report </w:t>
      </w:r>
      <w:r w:rsidR="00FA5B2A">
        <w:rPr>
          <w:rFonts w:cs="Arial"/>
        </w:rPr>
        <w:t xml:space="preserve">organised </w:t>
      </w:r>
      <w:r>
        <w:rPr>
          <w:rFonts w:cs="Arial"/>
        </w:rPr>
        <w:t>the recommendations</w:t>
      </w:r>
      <w:r w:rsidR="00FA5B2A">
        <w:rPr>
          <w:rFonts w:cs="Arial"/>
        </w:rPr>
        <w:t xml:space="preserve"> around 5 key </w:t>
      </w:r>
      <w:r w:rsidR="004928EF">
        <w:rPr>
          <w:rFonts w:cs="Arial"/>
        </w:rPr>
        <w:t>domains</w:t>
      </w:r>
      <w:r>
        <w:rPr>
          <w:rFonts w:cs="Arial"/>
        </w:rPr>
        <w:t xml:space="preserve"> (Table 1)</w:t>
      </w:r>
      <w:r w:rsidR="00B76C0E">
        <w:rPr>
          <w:rFonts w:cs="Arial"/>
        </w:rPr>
        <w:t>.</w:t>
      </w:r>
    </w:p>
    <w:p w14:paraId="276DCA2E" w14:textId="6D5D6988" w:rsidR="006E1118" w:rsidRPr="00AD5744" w:rsidRDefault="006E1118" w:rsidP="00356945">
      <w:pPr>
        <w:pStyle w:val="FooterCaption"/>
      </w:pPr>
      <w:r w:rsidRPr="00AD5744">
        <w:t xml:space="preserve">Table 1: </w:t>
      </w:r>
      <w:r w:rsidRPr="00356945">
        <w:t>Roadmap</w:t>
      </w:r>
      <w:r w:rsidRPr="00AD5744">
        <w:t xml:space="preserve"> for Reform</w:t>
      </w:r>
    </w:p>
    <w:tbl>
      <w:tblPr>
        <w:tblW w:w="9071" w:type="dxa"/>
        <w:tblCellMar>
          <w:left w:w="0" w:type="dxa"/>
          <w:right w:w="0" w:type="dxa"/>
        </w:tblCellMar>
        <w:tblLook w:val="0420" w:firstRow="1" w:lastRow="0" w:firstColumn="0" w:lastColumn="0" w:noHBand="0" w:noVBand="1"/>
      </w:tblPr>
      <w:tblGrid>
        <w:gridCol w:w="2268"/>
        <w:gridCol w:w="6803"/>
      </w:tblGrid>
      <w:tr w:rsidR="006E1118" w:rsidRPr="005D5BCF" w14:paraId="5FC593FF" w14:textId="77777777" w:rsidTr="00162625">
        <w:trPr>
          <w:trHeight w:val="283"/>
        </w:trPr>
        <w:tc>
          <w:tcPr>
            <w:tcW w:w="2268" w:type="dxa"/>
            <w:tcBorders>
              <w:top w:val="single" w:sz="8" w:space="0" w:color="000000"/>
              <w:left w:val="single" w:sz="8" w:space="0" w:color="000000"/>
              <w:bottom w:val="single" w:sz="8" w:space="0" w:color="000000"/>
              <w:right w:val="single" w:sz="8" w:space="0" w:color="000000"/>
            </w:tcBorders>
            <w:shd w:val="clear" w:color="auto" w:fill="262626" w:themeFill="text1" w:themeFillTint="D9"/>
            <w:tcMar>
              <w:top w:w="72" w:type="dxa"/>
              <w:left w:w="144" w:type="dxa"/>
              <w:bottom w:w="72" w:type="dxa"/>
              <w:right w:w="144" w:type="dxa"/>
            </w:tcMar>
            <w:vAlign w:val="center"/>
            <w:hideMark/>
          </w:tcPr>
          <w:p w14:paraId="724EAFFA" w14:textId="130BC883" w:rsidR="006E1118" w:rsidRPr="005D5BCF" w:rsidRDefault="006E1118" w:rsidP="00162625">
            <w:pPr>
              <w:pStyle w:val="Tableheader"/>
              <w:rPr>
                <w:szCs w:val="36"/>
              </w:rPr>
            </w:pPr>
            <w:r w:rsidRPr="005D5BCF">
              <w:t xml:space="preserve">Theme </w:t>
            </w:r>
          </w:p>
        </w:tc>
        <w:tc>
          <w:tcPr>
            <w:tcW w:w="6803" w:type="dxa"/>
            <w:tcBorders>
              <w:top w:val="single" w:sz="8" w:space="0" w:color="000000"/>
              <w:left w:val="single" w:sz="8" w:space="0" w:color="000000"/>
              <w:bottom w:val="single" w:sz="8" w:space="0" w:color="000000"/>
              <w:right w:val="single" w:sz="8" w:space="0" w:color="000000"/>
            </w:tcBorders>
            <w:shd w:val="clear" w:color="auto" w:fill="262626" w:themeFill="text1" w:themeFillTint="D9"/>
            <w:tcMar>
              <w:top w:w="72" w:type="dxa"/>
              <w:left w:w="144" w:type="dxa"/>
              <w:bottom w:w="72" w:type="dxa"/>
              <w:right w:w="144" w:type="dxa"/>
            </w:tcMar>
            <w:vAlign w:val="center"/>
            <w:hideMark/>
          </w:tcPr>
          <w:p w14:paraId="4FC1FAF6" w14:textId="77777777" w:rsidR="006E1118" w:rsidRPr="005D5BCF" w:rsidRDefault="006E1118" w:rsidP="00162625">
            <w:pPr>
              <w:pStyle w:val="Tableheader"/>
              <w:rPr>
                <w:szCs w:val="36"/>
              </w:rPr>
            </w:pPr>
            <w:r w:rsidRPr="005D5BCF">
              <w:t>Description</w:t>
            </w:r>
          </w:p>
        </w:tc>
      </w:tr>
      <w:tr w:rsidR="006E1118" w:rsidRPr="005D5BCF" w14:paraId="75D66ED5" w14:textId="77777777" w:rsidTr="0035694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39CB754E" w14:textId="1D030551" w:rsidR="006E1118" w:rsidRPr="00162625" w:rsidRDefault="006E1118" w:rsidP="00162625">
            <w:pPr>
              <w:pStyle w:val="Tablecopy"/>
              <w:rPr>
                <w:b/>
                <w:bCs/>
                <w:sz w:val="36"/>
                <w:szCs w:val="36"/>
              </w:rPr>
            </w:pPr>
            <w:r w:rsidRPr="00162625">
              <w:rPr>
                <w:b/>
                <w:bCs/>
              </w:rPr>
              <w:t>Principles and values</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5FF8BE" w14:textId="1F691A48" w:rsidR="006E1118" w:rsidRPr="005D5BCF" w:rsidRDefault="00D54E08" w:rsidP="00162625">
            <w:pPr>
              <w:pStyle w:val="Tablecopy"/>
              <w:rPr>
                <w:sz w:val="36"/>
                <w:szCs w:val="36"/>
              </w:rPr>
            </w:pPr>
            <w:r>
              <w:t xml:space="preserve">The </w:t>
            </w:r>
            <w:r w:rsidR="004D2C42">
              <w:t>Tasmanian State Service</w:t>
            </w:r>
            <w:r>
              <w:t xml:space="preserve"> works as a single servic</w:t>
            </w:r>
            <w:r w:rsidR="00B2697D">
              <w:t xml:space="preserve">e with employees developing a shared understanding of the values and principles that underpin </w:t>
            </w:r>
            <w:r w:rsidR="004D2C42">
              <w:t>it</w:t>
            </w:r>
            <w:r w:rsidR="00B2697D">
              <w:t>.</w:t>
            </w:r>
          </w:p>
        </w:tc>
      </w:tr>
      <w:tr w:rsidR="006E1118" w:rsidRPr="005D5BCF" w14:paraId="45D07489"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72" w:type="dxa"/>
              <w:left w:w="144" w:type="dxa"/>
              <w:bottom w:w="72" w:type="dxa"/>
              <w:right w:w="144" w:type="dxa"/>
            </w:tcMar>
            <w:vAlign w:val="center"/>
            <w:hideMark/>
          </w:tcPr>
          <w:p w14:paraId="3E66CB1A" w14:textId="2D83A0AF" w:rsidR="006E1118" w:rsidRPr="00162625" w:rsidRDefault="006E1118" w:rsidP="00162625">
            <w:pPr>
              <w:pStyle w:val="Tablecopy"/>
              <w:rPr>
                <w:b/>
                <w:bCs/>
                <w:sz w:val="36"/>
                <w:szCs w:val="36"/>
              </w:rPr>
            </w:pPr>
            <w:r w:rsidRPr="00162625">
              <w:rPr>
                <w:b/>
                <w:bCs/>
              </w:rPr>
              <w:t>Leadership</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8A89AD" w14:textId="1E251C40" w:rsidR="006E1118" w:rsidRPr="005D5BCF" w:rsidRDefault="00A86DF0" w:rsidP="00162625">
            <w:pPr>
              <w:pStyle w:val="Tablecopy"/>
              <w:rPr>
                <w:sz w:val="36"/>
                <w:szCs w:val="36"/>
              </w:rPr>
            </w:pPr>
            <w:r>
              <w:t>Leadership builds trust and encourages accountability</w:t>
            </w:r>
            <w:r w:rsidR="001B5BB0">
              <w:t xml:space="preserve">, </w:t>
            </w:r>
            <w:r w:rsidR="003C22F9">
              <w:t>promotes</w:t>
            </w:r>
            <w:r w:rsidR="001B5BB0">
              <w:t xml:space="preserve"> stewardship and </w:t>
            </w:r>
            <w:r w:rsidR="00620FA8">
              <w:t xml:space="preserve">sets the culture across the </w:t>
            </w:r>
            <w:r w:rsidR="004D2C42">
              <w:t>Tasmanian State Service</w:t>
            </w:r>
            <w:r w:rsidR="00620FA8">
              <w:t xml:space="preserve"> for working together to address challenges</w:t>
            </w:r>
            <w:r w:rsidR="00EF3833">
              <w:t xml:space="preserve"> and grasp the opportunities for the State.</w:t>
            </w:r>
          </w:p>
        </w:tc>
      </w:tr>
      <w:tr w:rsidR="006E1118" w:rsidRPr="005D5BCF" w14:paraId="0754A763" w14:textId="77777777" w:rsidTr="0035694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69137892" w14:textId="0D0A5275" w:rsidR="006E1118" w:rsidRPr="00162625" w:rsidRDefault="006E1118" w:rsidP="00162625">
            <w:pPr>
              <w:pStyle w:val="Tablecopy"/>
              <w:rPr>
                <w:b/>
                <w:bCs/>
                <w:sz w:val="36"/>
                <w:szCs w:val="36"/>
              </w:rPr>
            </w:pPr>
            <w:r w:rsidRPr="00162625">
              <w:rPr>
                <w:b/>
                <w:bCs/>
              </w:rPr>
              <w:t xml:space="preserve">Capability </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0559D9" w14:textId="4457C7A6" w:rsidR="006E1118" w:rsidRPr="005D5BCF" w:rsidRDefault="003F4E79" w:rsidP="00162625">
            <w:pPr>
              <w:pStyle w:val="Tablecopy"/>
              <w:rPr>
                <w:sz w:val="36"/>
                <w:szCs w:val="36"/>
              </w:rPr>
            </w:pPr>
            <w:r>
              <w:t xml:space="preserve">Ensuring the </w:t>
            </w:r>
            <w:r w:rsidR="007024C2">
              <w:t>Tasmanian State Service</w:t>
            </w:r>
            <w:r>
              <w:t xml:space="preserve"> </w:t>
            </w:r>
            <w:r w:rsidR="00A92693">
              <w:t>can better understand its existing capability and systematically build capability in priority areas or areas of need.</w:t>
            </w:r>
          </w:p>
        </w:tc>
      </w:tr>
      <w:tr w:rsidR="006E1118" w:rsidRPr="005D5BCF" w14:paraId="308CB089"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vAlign w:val="center"/>
          </w:tcPr>
          <w:p w14:paraId="38763457" w14:textId="67CD44A7" w:rsidR="006E1118" w:rsidRPr="00162625" w:rsidRDefault="006E1118" w:rsidP="00162625">
            <w:pPr>
              <w:pStyle w:val="Tablecopy"/>
              <w:rPr>
                <w:b/>
                <w:bCs/>
              </w:rPr>
            </w:pPr>
            <w:r w:rsidRPr="00162625">
              <w:rPr>
                <w:b/>
                <w:bCs/>
              </w:rPr>
              <w:t>Workforce</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C2C858" w14:textId="69B6AEE5" w:rsidR="006E1118" w:rsidRPr="005D5BCF" w:rsidRDefault="001F5C7A" w:rsidP="00162625">
            <w:pPr>
              <w:pStyle w:val="Tablecopy"/>
            </w:pPr>
            <w:r>
              <w:t xml:space="preserve">The </w:t>
            </w:r>
            <w:r w:rsidR="007024C2">
              <w:t>Tasmanian State Service</w:t>
            </w:r>
            <w:r>
              <w:t xml:space="preserve"> attracts, </w:t>
            </w:r>
            <w:r w:rsidR="00B914F1">
              <w:t>retains</w:t>
            </w:r>
            <w:r>
              <w:t xml:space="preserve"> and develops the best people to work in the State Service. </w:t>
            </w:r>
          </w:p>
        </w:tc>
      </w:tr>
      <w:tr w:rsidR="006E1118" w:rsidRPr="005D5BCF" w14:paraId="3D18243B" w14:textId="77777777" w:rsidTr="00D64784">
        <w:trPr>
          <w:trHeight w:val="1119"/>
        </w:trPr>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D621932" w14:textId="172F2095" w:rsidR="006E1118" w:rsidRPr="00162625" w:rsidRDefault="006E1118" w:rsidP="00162625">
            <w:pPr>
              <w:pStyle w:val="Tablecopy"/>
              <w:rPr>
                <w:b/>
                <w:bCs/>
              </w:rPr>
            </w:pPr>
            <w:r w:rsidRPr="00162625">
              <w:rPr>
                <w:b/>
                <w:bCs/>
              </w:rPr>
              <w:t>Service Delivery</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6D746B" w14:textId="0816A53E" w:rsidR="006E1118" w:rsidRPr="005D5BCF" w:rsidRDefault="00B914F1" w:rsidP="00162625">
            <w:pPr>
              <w:pStyle w:val="Tablecopy"/>
            </w:pPr>
            <w:r>
              <w:t>The State Service delivers services to Tasmanians in a way that is integrated and best meets the needs of individuals, families and communities.</w:t>
            </w:r>
          </w:p>
        </w:tc>
      </w:tr>
    </w:tbl>
    <w:p w14:paraId="16706E93" w14:textId="77777777" w:rsidR="006E1118" w:rsidRDefault="006E1118" w:rsidP="00D5084F">
      <w:pPr>
        <w:rPr>
          <w:rFonts w:cs="Arial"/>
        </w:rPr>
      </w:pPr>
    </w:p>
    <w:p w14:paraId="09DCC3A1" w14:textId="4156310E" w:rsidR="00347F1C" w:rsidRPr="00AD5744" w:rsidRDefault="00AD5744" w:rsidP="001447BB">
      <w:pPr>
        <w:pStyle w:val="Heading1"/>
      </w:pPr>
      <w:r w:rsidRPr="00AD5744">
        <w:lastRenderedPageBreak/>
        <w:t>Completed Actions</w:t>
      </w:r>
    </w:p>
    <w:p w14:paraId="6D433804" w14:textId="3D6A1873" w:rsidR="00AD5744" w:rsidRDefault="00AD5744" w:rsidP="00162625">
      <w:r>
        <w:t xml:space="preserve">15 Actions </w:t>
      </w:r>
      <w:r w:rsidR="007024C2">
        <w:t>are now complete</w:t>
      </w:r>
      <w:r w:rsidR="00B12F8E">
        <w:t xml:space="preserve"> (Table 2)</w:t>
      </w:r>
      <w:r>
        <w:t>.</w:t>
      </w:r>
    </w:p>
    <w:p w14:paraId="39F97BF7" w14:textId="1D00D110" w:rsidR="00A2607A" w:rsidRDefault="00A2607A" w:rsidP="00162625">
      <w:r>
        <w:t xml:space="preserve">A further </w:t>
      </w:r>
      <w:r w:rsidR="008A6423">
        <w:t>20 actions are underway</w:t>
      </w:r>
      <w:r w:rsidR="00B12F8E">
        <w:t xml:space="preserve"> (Table 3)</w:t>
      </w:r>
      <w:r w:rsidR="008A6423">
        <w:t>.</w:t>
      </w:r>
    </w:p>
    <w:p w14:paraId="17AA2911" w14:textId="28974063" w:rsidR="00AD5744" w:rsidRPr="008A6423" w:rsidRDefault="00AD5744" w:rsidP="001447BB">
      <w:pPr>
        <w:pStyle w:val="FooterCaption"/>
      </w:pPr>
      <w:r w:rsidRPr="008A6423">
        <w:t>Table 2: Completed Actions</w:t>
      </w:r>
    </w:p>
    <w:tbl>
      <w:tblPr>
        <w:tblStyle w:val="TableGrid"/>
        <w:tblW w:w="9071" w:type="dxa"/>
        <w:tblLook w:val="04A0" w:firstRow="1" w:lastRow="0" w:firstColumn="1" w:lastColumn="0" w:noHBand="0" w:noVBand="1"/>
      </w:tblPr>
      <w:tblGrid>
        <w:gridCol w:w="567"/>
        <w:gridCol w:w="5102"/>
        <w:gridCol w:w="3402"/>
      </w:tblGrid>
      <w:tr w:rsidR="007E2A85" w:rsidRPr="002A5FA6" w14:paraId="5FD71FE2" w14:textId="77777777" w:rsidTr="00162625">
        <w:trPr>
          <w:tblHeader/>
        </w:trPr>
        <w:tc>
          <w:tcPr>
            <w:tcW w:w="567" w:type="dxa"/>
            <w:shd w:val="clear" w:color="auto" w:fill="262626" w:themeFill="text1" w:themeFillTint="D9"/>
          </w:tcPr>
          <w:p w14:paraId="783DFDD2" w14:textId="77777777" w:rsidR="007E2A85" w:rsidRPr="002A5FA6" w:rsidRDefault="007E2A85" w:rsidP="00162625">
            <w:pPr>
              <w:pStyle w:val="Tableheader"/>
            </w:pPr>
            <w:r>
              <w:t>No</w:t>
            </w:r>
          </w:p>
        </w:tc>
        <w:tc>
          <w:tcPr>
            <w:tcW w:w="5102" w:type="dxa"/>
            <w:shd w:val="clear" w:color="auto" w:fill="262626" w:themeFill="text1" w:themeFillTint="D9"/>
          </w:tcPr>
          <w:p w14:paraId="7D3F5559" w14:textId="6284A9E7" w:rsidR="007E2A85" w:rsidRPr="002A5FA6" w:rsidRDefault="007E2A85" w:rsidP="00162625">
            <w:pPr>
              <w:pStyle w:val="Tableheader"/>
            </w:pPr>
            <w:r w:rsidRPr="002A5FA6">
              <w:t>Recommendation</w:t>
            </w:r>
            <w:r w:rsidR="005D1E46">
              <w:t>s completed</w:t>
            </w:r>
          </w:p>
        </w:tc>
        <w:tc>
          <w:tcPr>
            <w:tcW w:w="3402" w:type="dxa"/>
            <w:shd w:val="clear" w:color="auto" w:fill="262626" w:themeFill="text1" w:themeFillTint="D9"/>
          </w:tcPr>
          <w:p w14:paraId="01BA457A" w14:textId="5D5D5193" w:rsidR="00F40F83" w:rsidRPr="002A5FA6" w:rsidRDefault="007E2A85" w:rsidP="00162625">
            <w:pPr>
              <w:pStyle w:val="Tableheader"/>
            </w:pPr>
            <w:r w:rsidRPr="002A5FA6">
              <w:t>Category</w:t>
            </w:r>
          </w:p>
        </w:tc>
      </w:tr>
      <w:tr w:rsidR="007E2A85" w14:paraId="6EE874E3" w14:textId="77777777" w:rsidTr="00356945">
        <w:tc>
          <w:tcPr>
            <w:tcW w:w="567" w:type="dxa"/>
            <w:shd w:val="clear" w:color="auto" w:fill="FFF2CC" w:themeFill="accent4" w:themeFillTint="33"/>
          </w:tcPr>
          <w:p w14:paraId="3128932E" w14:textId="77777777" w:rsidR="007E2A85" w:rsidRPr="00162625" w:rsidRDefault="007E2A85" w:rsidP="00162625">
            <w:pPr>
              <w:pStyle w:val="Tablecopy"/>
              <w:rPr>
                <w:szCs w:val="24"/>
              </w:rPr>
            </w:pPr>
            <w:r w:rsidRPr="00162625">
              <w:rPr>
                <w:szCs w:val="24"/>
              </w:rPr>
              <w:t>1</w:t>
            </w:r>
          </w:p>
        </w:tc>
        <w:tc>
          <w:tcPr>
            <w:tcW w:w="5102" w:type="dxa"/>
            <w:shd w:val="clear" w:color="auto" w:fill="FFF2CC" w:themeFill="accent4" w:themeFillTint="33"/>
          </w:tcPr>
          <w:p w14:paraId="7CA3234C" w14:textId="77777777" w:rsidR="007E2A85" w:rsidRPr="00162625" w:rsidRDefault="007E2A85" w:rsidP="00162625">
            <w:pPr>
              <w:pStyle w:val="Tablecopy"/>
              <w:rPr>
                <w:szCs w:val="24"/>
              </w:rPr>
            </w:pPr>
            <w:bookmarkStart w:id="0" w:name="_Hlk174352522"/>
            <w:r w:rsidRPr="00162625">
              <w:rPr>
                <w:rFonts w:eastAsia="Times New Roman"/>
                <w:color w:val="262626" w:themeColor="text1" w:themeTint="D9"/>
                <w:szCs w:val="24"/>
              </w:rPr>
              <w:t>That the Government undertake a full horizon scanning process every two years as part of the process of updating the Disaster Risk Assessment.</w:t>
            </w:r>
            <w:bookmarkEnd w:id="0"/>
          </w:p>
        </w:tc>
        <w:tc>
          <w:tcPr>
            <w:tcW w:w="3402" w:type="dxa"/>
            <w:shd w:val="clear" w:color="auto" w:fill="FFF2CC" w:themeFill="accent4" w:themeFillTint="33"/>
          </w:tcPr>
          <w:p w14:paraId="198E27C7" w14:textId="4BB2E6D8" w:rsidR="007E2A85" w:rsidRPr="00162625" w:rsidRDefault="00DC12FC" w:rsidP="00162625">
            <w:pPr>
              <w:pStyle w:val="Tablecopy"/>
              <w:rPr>
                <w:b/>
                <w:bCs/>
                <w:szCs w:val="24"/>
              </w:rPr>
            </w:pPr>
            <w:r w:rsidRPr="00162625">
              <w:rPr>
                <w:b/>
                <w:bCs/>
                <w:szCs w:val="24"/>
              </w:rPr>
              <w:t>Principles and Values</w:t>
            </w:r>
          </w:p>
        </w:tc>
      </w:tr>
      <w:tr w:rsidR="007E2A85" w14:paraId="4A0B0C7B" w14:textId="77777777" w:rsidTr="00162625">
        <w:tc>
          <w:tcPr>
            <w:tcW w:w="567" w:type="dxa"/>
            <w:shd w:val="clear" w:color="auto" w:fill="DEEAF6" w:themeFill="accent5" w:themeFillTint="33"/>
          </w:tcPr>
          <w:p w14:paraId="6DBB1E40" w14:textId="24EAA6C6" w:rsidR="007E2A85" w:rsidRPr="00162625" w:rsidRDefault="007E2A85" w:rsidP="00162625">
            <w:pPr>
              <w:pStyle w:val="Tablecopy"/>
              <w:rPr>
                <w:szCs w:val="24"/>
              </w:rPr>
            </w:pPr>
            <w:r w:rsidRPr="00162625">
              <w:rPr>
                <w:szCs w:val="24"/>
              </w:rPr>
              <w:t>7</w:t>
            </w:r>
          </w:p>
        </w:tc>
        <w:tc>
          <w:tcPr>
            <w:tcW w:w="5102" w:type="dxa"/>
            <w:shd w:val="clear" w:color="auto" w:fill="DEEAF6" w:themeFill="accent5" w:themeFillTint="33"/>
          </w:tcPr>
          <w:p w14:paraId="3E8464F3" w14:textId="4ECB4A17" w:rsidR="007E2A85" w:rsidRPr="00162625" w:rsidRDefault="007E2A85" w:rsidP="00162625">
            <w:pPr>
              <w:pStyle w:val="Tablecopy"/>
              <w:rPr>
                <w:rFonts w:eastAsia="Times New Roman"/>
                <w:color w:val="262626" w:themeColor="text1" w:themeTint="D9"/>
                <w:szCs w:val="24"/>
              </w:rPr>
            </w:pPr>
            <w:r w:rsidRPr="00162625">
              <w:rPr>
                <w:rFonts w:eastAsia="Gill Sans MT"/>
                <w:color w:val="262626" w:themeColor="text1" w:themeTint="D9"/>
                <w:szCs w:val="24"/>
              </w:rPr>
              <w:t>That the Secretary of the Department of Premier and Cabinet, in full consultation with relevant portfolio ministers and the Premier, develop and undertake departmental secretaries’ annual performance agreements and assessments.</w:t>
            </w:r>
          </w:p>
        </w:tc>
        <w:tc>
          <w:tcPr>
            <w:tcW w:w="3402" w:type="dxa"/>
            <w:shd w:val="clear" w:color="auto" w:fill="DEEAF6" w:themeFill="accent5" w:themeFillTint="33"/>
          </w:tcPr>
          <w:p w14:paraId="7821A719" w14:textId="23409DD2" w:rsidR="007E2A85" w:rsidRPr="00162625" w:rsidRDefault="00D1531D" w:rsidP="00162625">
            <w:pPr>
              <w:pStyle w:val="Tablecopy"/>
              <w:rPr>
                <w:b/>
                <w:bCs/>
                <w:szCs w:val="24"/>
              </w:rPr>
            </w:pPr>
            <w:r w:rsidRPr="00162625">
              <w:rPr>
                <w:b/>
                <w:bCs/>
                <w:szCs w:val="24"/>
              </w:rPr>
              <w:t>Leadership</w:t>
            </w:r>
          </w:p>
        </w:tc>
      </w:tr>
      <w:tr w:rsidR="007E2A85" w14:paraId="305CA047" w14:textId="77777777" w:rsidTr="00162625">
        <w:tc>
          <w:tcPr>
            <w:tcW w:w="567" w:type="dxa"/>
            <w:shd w:val="clear" w:color="auto" w:fill="DEEAF6" w:themeFill="accent5" w:themeFillTint="33"/>
          </w:tcPr>
          <w:p w14:paraId="05285924" w14:textId="590CB678" w:rsidR="007E2A85" w:rsidRPr="00162625" w:rsidRDefault="007E2A85" w:rsidP="00162625">
            <w:pPr>
              <w:pStyle w:val="Tablecopy"/>
              <w:rPr>
                <w:szCs w:val="24"/>
              </w:rPr>
            </w:pPr>
            <w:r w:rsidRPr="00162625">
              <w:rPr>
                <w:szCs w:val="24"/>
              </w:rPr>
              <w:t>8</w:t>
            </w:r>
          </w:p>
        </w:tc>
        <w:tc>
          <w:tcPr>
            <w:tcW w:w="5102" w:type="dxa"/>
            <w:shd w:val="clear" w:color="auto" w:fill="DEEAF6" w:themeFill="accent5" w:themeFillTint="33"/>
          </w:tcPr>
          <w:p w14:paraId="77F06289" w14:textId="7E44C4C4" w:rsidR="007E2A85" w:rsidRPr="00162625" w:rsidRDefault="007E2A85" w:rsidP="00162625">
            <w:pPr>
              <w:pStyle w:val="Tablecopy"/>
              <w:rPr>
                <w:rFonts w:eastAsia="Times New Roman"/>
                <w:color w:val="262626" w:themeColor="text1" w:themeTint="D9"/>
                <w:szCs w:val="24"/>
              </w:rPr>
            </w:pPr>
            <w:r w:rsidRPr="00162625">
              <w:rPr>
                <w:rFonts w:eastAsia="Gill Sans MT"/>
                <w:color w:val="262626" w:themeColor="text1" w:themeTint="D9"/>
                <w:szCs w:val="24"/>
              </w:rPr>
              <w:t>That the Premier undertakes the annual performance agreement and assessment of the Secretary of the Department of Premier and Cabinet, informed by discussions with ministers (as the Premier sees appropriate) and consolidated advice from other departmental secretaries.</w:t>
            </w:r>
          </w:p>
        </w:tc>
        <w:tc>
          <w:tcPr>
            <w:tcW w:w="3402" w:type="dxa"/>
            <w:shd w:val="clear" w:color="auto" w:fill="DEEAF6" w:themeFill="accent5" w:themeFillTint="33"/>
          </w:tcPr>
          <w:p w14:paraId="5C012544" w14:textId="62D7A377" w:rsidR="007E2A85" w:rsidRPr="00162625" w:rsidRDefault="00D1531D" w:rsidP="00162625">
            <w:pPr>
              <w:pStyle w:val="Tablecopy"/>
              <w:rPr>
                <w:b/>
                <w:bCs/>
                <w:szCs w:val="24"/>
              </w:rPr>
            </w:pPr>
            <w:r w:rsidRPr="00162625">
              <w:rPr>
                <w:b/>
                <w:bCs/>
                <w:szCs w:val="24"/>
              </w:rPr>
              <w:t>Leadership</w:t>
            </w:r>
          </w:p>
        </w:tc>
      </w:tr>
      <w:tr w:rsidR="007E2A85" w14:paraId="61EA3A99" w14:textId="77777777" w:rsidTr="00162625">
        <w:tc>
          <w:tcPr>
            <w:tcW w:w="567" w:type="dxa"/>
            <w:shd w:val="clear" w:color="auto" w:fill="DEEAF6" w:themeFill="accent5" w:themeFillTint="33"/>
          </w:tcPr>
          <w:p w14:paraId="69E28FDC" w14:textId="5BC165FF" w:rsidR="007E2A85" w:rsidRPr="00162625" w:rsidRDefault="007E2A85" w:rsidP="00162625">
            <w:pPr>
              <w:pStyle w:val="Tablecopy"/>
              <w:rPr>
                <w:szCs w:val="24"/>
              </w:rPr>
            </w:pPr>
            <w:r w:rsidRPr="00162625">
              <w:rPr>
                <w:szCs w:val="24"/>
              </w:rPr>
              <w:t>11</w:t>
            </w:r>
          </w:p>
        </w:tc>
        <w:tc>
          <w:tcPr>
            <w:tcW w:w="5102" w:type="dxa"/>
            <w:shd w:val="clear" w:color="auto" w:fill="DEEAF6" w:themeFill="accent5" w:themeFillTint="33"/>
          </w:tcPr>
          <w:p w14:paraId="33B5CAFB" w14:textId="27DFCAA3" w:rsidR="007E2A85" w:rsidRPr="00162625" w:rsidRDefault="007E2A85" w:rsidP="00162625">
            <w:pPr>
              <w:pStyle w:val="Tablecopy"/>
              <w:rPr>
                <w:rFonts w:eastAsia="Times New Roman"/>
                <w:color w:val="262626" w:themeColor="text1" w:themeTint="D9"/>
                <w:szCs w:val="24"/>
              </w:rPr>
            </w:pPr>
            <w:r w:rsidRPr="00162625">
              <w:rPr>
                <w:rFonts w:eastAsia="Gill Sans MT"/>
                <w:color w:val="262626" w:themeColor="text1" w:themeTint="D9"/>
                <w:szCs w:val="24"/>
              </w:rPr>
              <w:t>That heads of agency advise the government, within 3 months, on the appropriate organisation and structure of heads of agency meetings and the arrangements to support its oversight of the delivery of whole-of-government priorities and the broader requirements of the Report.</w:t>
            </w:r>
          </w:p>
        </w:tc>
        <w:tc>
          <w:tcPr>
            <w:tcW w:w="3402" w:type="dxa"/>
            <w:shd w:val="clear" w:color="auto" w:fill="DEEAF6" w:themeFill="accent5" w:themeFillTint="33"/>
          </w:tcPr>
          <w:p w14:paraId="3FBAE440" w14:textId="02977FC2" w:rsidR="007E2A85" w:rsidRPr="00162625" w:rsidRDefault="00D1531D" w:rsidP="00162625">
            <w:pPr>
              <w:pStyle w:val="Tablecopy"/>
              <w:rPr>
                <w:b/>
                <w:bCs/>
                <w:szCs w:val="24"/>
              </w:rPr>
            </w:pPr>
            <w:r w:rsidRPr="00162625">
              <w:rPr>
                <w:b/>
                <w:bCs/>
                <w:szCs w:val="24"/>
              </w:rPr>
              <w:t>Leadership</w:t>
            </w:r>
          </w:p>
          <w:p w14:paraId="6038D3C7" w14:textId="38DE00E6" w:rsidR="007E2A85" w:rsidRPr="00162625" w:rsidRDefault="007E2A85" w:rsidP="00162625">
            <w:pPr>
              <w:pStyle w:val="Tablecopy"/>
              <w:rPr>
                <w:b/>
                <w:bCs/>
                <w:szCs w:val="24"/>
              </w:rPr>
            </w:pPr>
          </w:p>
        </w:tc>
      </w:tr>
      <w:tr w:rsidR="007E2A85" w14:paraId="3021B1D4" w14:textId="77777777" w:rsidTr="00356945">
        <w:tc>
          <w:tcPr>
            <w:tcW w:w="567" w:type="dxa"/>
            <w:shd w:val="clear" w:color="auto" w:fill="E2EFD9" w:themeFill="accent6" w:themeFillTint="33"/>
          </w:tcPr>
          <w:p w14:paraId="0FBB4F90" w14:textId="52D583C8" w:rsidR="007E2A85" w:rsidRPr="00162625" w:rsidRDefault="007E2A85" w:rsidP="00162625">
            <w:pPr>
              <w:pStyle w:val="Tablecopy"/>
              <w:rPr>
                <w:szCs w:val="24"/>
              </w:rPr>
            </w:pPr>
            <w:r w:rsidRPr="00162625">
              <w:rPr>
                <w:szCs w:val="24"/>
              </w:rPr>
              <w:t>24</w:t>
            </w:r>
          </w:p>
        </w:tc>
        <w:tc>
          <w:tcPr>
            <w:tcW w:w="5102" w:type="dxa"/>
            <w:shd w:val="clear" w:color="auto" w:fill="E2EFD9" w:themeFill="accent6" w:themeFillTint="33"/>
          </w:tcPr>
          <w:p w14:paraId="1FE80940" w14:textId="22772716" w:rsidR="007E2A85" w:rsidRPr="00162625" w:rsidRDefault="007E2A85" w:rsidP="00162625">
            <w:pPr>
              <w:pStyle w:val="Tablecopy"/>
              <w:rPr>
                <w:rFonts w:eastAsia="Times New Roman"/>
                <w:color w:val="262626" w:themeColor="text1" w:themeTint="D9"/>
                <w:szCs w:val="24"/>
              </w:rPr>
            </w:pPr>
            <w:r w:rsidRPr="00162625">
              <w:rPr>
                <w:rFonts w:eastAsia="Times New Roman"/>
                <w:color w:val="262626" w:themeColor="text1" w:themeTint="D9"/>
                <w:szCs w:val="24"/>
              </w:rPr>
              <w:t>That the TSS incorporate platform-based functional leadership into the digital services governance framework and replaces the Digital Service Board with Heads of Agency meetings.</w:t>
            </w:r>
          </w:p>
        </w:tc>
        <w:tc>
          <w:tcPr>
            <w:tcW w:w="3402" w:type="dxa"/>
            <w:shd w:val="clear" w:color="auto" w:fill="E2EFD9" w:themeFill="accent6" w:themeFillTint="33"/>
          </w:tcPr>
          <w:p w14:paraId="23B7B019" w14:textId="2EA6F350" w:rsidR="007E2A85" w:rsidRPr="00162625" w:rsidRDefault="00D1531D" w:rsidP="00162625">
            <w:pPr>
              <w:pStyle w:val="Tablecopy"/>
              <w:rPr>
                <w:b/>
                <w:bCs/>
                <w:szCs w:val="24"/>
              </w:rPr>
            </w:pPr>
            <w:r w:rsidRPr="00162625">
              <w:rPr>
                <w:b/>
                <w:bCs/>
                <w:szCs w:val="24"/>
              </w:rPr>
              <w:t>Capability</w:t>
            </w:r>
          </w:p>
        </w:tc>
      </w:tr>
      <w:tr w:rsidR="007E2A85" w14:paraId="4593F8EA" w14:textId="77777777" w:rsidTr="00356945">
        <w:tc>
          <w:tcPr>
            <w:tcW w:w="567" w:type="dxa"/>
            <w:shd w:val="clear" w:color="auto" w:fill="E2EFD9" w:themeFill="accent6" w:themeFillTint="33"/>
          </w:tcPr>
          <w:p w14:paraId="6BF1CC10" w14:textId="77777777" w:rsidR="007E2A85" w:rsidRPr="00162625" w:rsidRDefault="007E2A85" w:rsidP="00162625">
            <w:pPr>
              <w:pStyle w:val="Tablecopy"/>
              <w:rPr>
                <w:szCs w:val="24"/>
              </w:rPr>
            </w:pPr>
            <w:r w:rsidRPr="00162625">
              <w:rPr>
                <w:szCs w:val="24"/>
              </w:rPr>
              <w:t>25</w:t>
            </w:r>
          </w:p>
        </w:tc>
        <w:tc>
          <w:tcPr>
            <w:tcW w:w="5102" w:type="dxa"/>
            <w:shd w:val="clear" w:color="auto" w:fill="E2EFD9" w:themeFill="accent6" w:themeFillTint="33"/>
          </w:tcPr>
          <w:p w14:paraId="362E768D" w14:textId="77777777" w:rsidR="007E2A85" w:rsidRPr="00162625" w:rsidRDefault="007E2A85" w:rsidP="00162625">
            <w:pPr>
              <w:pStyle w:val="Tablecopy"/>
              <w:rPr>
                <w:szCs w:val="24"/>
              </w:rPr>
            </w:pPr>
            <w:r w:rsidRPr="00162625">
              <w:rPr>
                <w:rFonts w:eastAsia="Times New Roman"/>
                <w:color w:val="262626" w:themeColor="text1" w:themeTint="D9"/>
                <w:szCs w:val="24"/>
              </w:rPr>
              <w:t>Amend the terms of reference of the Deputy Secretaries Digital Service Committee to include the Chief Information Officer as a member.</w:t>
            </w:r>
          </w:p>
        </w:tc>
        <w:tc>
          <w:tcPr>
            <w:tcW w:w="3402" w:type="dxa"/>
            <w:shd w:val="clear" w:color="auto" w:fill="E2EFD9" w:themeFill="accent6" w:themeFillTint="33"/>
          </w:tcPr>
          <w:p w14:paraId="2F86D910" w14:textId="675934F1" w:rsidR="007E2A85" w:rsidRPr="00162625" w:rsidRDefault="00A4324A" w:rsidP="00162625">
            <w:pPr>
              <w:pStyle w:val="Tablecopy"/>
              <w:rPr>
                <w:b/>
                <w:bCs/>
                <w:szCs w:val="24"/>
              </w:rPr>
            </w:pPr>
            <w:r w:rsidRPr="00162625">
              <w:rPr>
                <w:b/>
                <w:bCs/>
                <w:szCs w:val="24"/>
              </w:rPr>
              <w:t>Capability</w:t>
            </w:r>
          </w:p>
        </w:tc>
      </w:tr>
      <w:tr w:rsidR="007E2A85" w:rsidRPr="00BA59E7" w14:paraId="41A64097" w14:textId="77777777" w:rsidTr="00162625">
        <w:tc>
          <w:tcPr>
            <w:tcW w:w="567" w:type="dxa"/>
            <w:shd w:val="clear" w:color="auto" w:fill="FBE4D5" w:themeFill="accent2" w:themeFillTint="33"/>
          </w:tcPr>
          <w:p w14:paraId="015A4E93" w14:textId="42FABB54" w:rsidR="007E2A85" w:rsidRPr="00162625" w:rsidRDefault="007E2A85" w:rsidP="00162625">
            <w:pPr>
              <w:pStyle w:val="Tablecopy"/>
              <w:rPr>
                <w:szCs w:val="24"/>
              </w:rPr>
            </w:pPr>
            <w:r w:rsidRPr="00162625">
              <w:rPr>
                <w:szCs w:val="24"/>
              </w:rPr>
              <w:t>47</w:t>
            </w:r>
          </w:p>
        </w:tc>
        <w:tc>
          <w:tcPr>
            <w:tcW w:w="5102" w:type="dxa"/>
            <w:shd w:val="clear" w:color="auto" w:fill="FBE4D5" w:themeFill="accent2" w:themeFillTint="33"/>
          </w:tcPr>
          <w:p w14:paraId="0085166D" w14:textId="18B0B1F6" w:rsidR="007E2A85" w:rsidRPr="00162625" w:rsidRDefault="007E2A85" w:rsidP="00162625">
            <w:pPr>
              <w:pStyle w:val="Tablecopy"/>
              <w:rPr>
                <w:rFonts w:eastAsia="Times New Roman"/>
                <w:color w:val="262626" w:themeColor="text1" w:themeTint="D9"/>
                <w:szCs w:val="24"/>
              </w:rPr>
            </w:pPr>
            <w:r w:rsidRPr="00162625">
              <w:rPr>
                <w:rFonts w:eastAsia="Gill Sans MT"/>
                <w:color w:val="262626" w:themeColor="text1" w:themeTint="D9"/>
                <w:szCs w:val="24"/>
              </w:rPr>
              <w:t xml:space="preserve">That the SSMO work with human resource directors or equivalents from all agencies to </w:t>
            </w:r>
            <w:r w:rsidRPr="00162625">
              <w:rPr>
                <w:rFonts w:eastAsia="Gill Sans MT"/>
                <w:color w:val="262626" w:themeColor="text1" w:themeTint="D9"/>
                <w:szCs w:val="24"/>
              </w:rPr>
              <w:lastRenderedPageBreak/>
              <w:t>develop communities of professional practice across the TSS.</w:t>
            </w:r>
          </w:p>
        </w:tc>
        <w:tc>
          <w:tcPr>
            <w:tcW w:w="3402" w:type="dxa"/>
            <w:shd w:val="clear" w:color="auto" w:fill="FBE4D5" w:themeFill="accent2" w:themeFillTint="33"/>
          </w:tcPr>
          <w:p w14:paraId="0CBA0FD8" w14:textId="645102A6" w:rsidR="007E2A85" w:rsidRPr="00162625" w:rsidRDefault="007E2A85" w:rsidP="00162625">
            <w:pPr>
              <w:pStyle w:val="Tablecopy"/>
              <w:rPr>
                <w:b/>
                <w:bCs/>
                <w:szCs w:val="24"/>
              </w:rPr>
            </w:pPr>
            <w:r w:rsidRPr="00162625">
              <w:rPr>
                <w:b/>
                <w:bCs/>
                <w:szCs w:val="24"/>
              </w:rPr>
              <w:lastRenderedPageBreak/>
              <w:t xml:space="preserve">Workforce </w:t>
            </w:r>
          </w:p>
        </w:tc>
      </w:tr>
      <w:tr w:rsidR="007E2A85" w:rsidRPr="00BA59E7" w14:paraId="30772158" w14:textId="77777777" w:rsidTr="00162625">
        <w:tc>
          <w:tcPr>
            <w:tcW w:w="567" w:type="dxa"/>
            <w:shd w:val="clear" w:color="auto" w:fill="FBE4D5" w:themeFill="accent2" w:themeFillTint="33"/>
          </w:tcPr>
          <w:p w14:paraId="28D19031" w14:textId="77777777" w:rsidR="007E2A85" w:rsidRPr="00162625" w:rsidRDefault="007E2A85" w:rsidP="00162625">
            <w:pPr>
              <w:pStyle w:val="Tablecopy"/>
              <w:rPr>
                <w:szCs w:val="24"/>
              </w:rPr>
            </w:pPr>
            <w:r w:rsidRPr="00162625">
              <w:rPr>
                <w:szCs w:val="24"/>
              </w:rPr>
              <w:t>55</w:t>
            </w:r>
          </w:p>
        </w:tc>
        <w:tc>
          <w:tcPr>
            <w:tcW w:w="5102" w:type="dxa"/>
            <w:shd w:val="clear" w:color="auto" w:fill="FBE4D5" w:themeFill="accent2" w:themeFillTint="33"/>
          </w:tcPr>
          <w:p w14:paraId="0A957CEC" w14:textId="77777777" w:rsidR="007E2A85" w:rsidRPr="00162625" w:rsidRDefault="007E2A85" w:rsidP="00162625">
            <w:pPr>
              <w:pStyle w:val="Tablecopy"/>
              <w:rPr>
                <w:szCs w:val="24"/>
              </w:rPr>
            </w:pPr>
            <w:r w:rsidRPr="00162625">
              <w:rPr>
                <w:rFonts w:eastAsia="Times New Roman"/>
                <w:color w:val="262626" w:themeColor="text1" w:themeTint="D9"/>
                <w:szCs w:val="24"/>
              </w:rPr>
              <w:t>Amend Employment Direction 5 to be standards based, allowing the relevant head of agency to tailor an investigative process based on the circumstances surrounding an alleged breach.</w:t>
            </w:r>
          </w:p>
        </w:tc>
        <w:tc>
          <w:tcPr>
            <w:tcW w:w="3402" w:type="dxa"/>
            <w:shd w:val="clear" w:color="auto" w:fill="FBE4D5" w:themeFill="accent2" w:themeFillTint="33"/>
          </w:tcPr>
          <w:p w14:paraId="23E62A66" w14:textId="4E0F5D9E" w:rsidR="007E2A85" w:rsidRPr="00162625" w:rsidRDefault="009C4366" w:rsidP="00162625">
            <w:pPr>
              <w:pStyle w:val="Tablecopy"/>
              <w:rPr>
                <w:b/>
                <w:bCs/>
                <w:szCs w:val="24"/>
              </w:rPr>
            </w:pPr>
            <w:r w:rsidRPr="00162625">
              <w:rPr>
                <w:b/>
                <w:bCs/>
                <w:szCs w:val="24"/>
              </w:rPr>
              <w:t>Workforce</w:t>
            </w:r>
          </w:p>
        </w:tc>
      </w:tr>
      <w:tr w:rsidR="007E2A85" w14:paraId="1C0A857B" w14:textId="77777777" w:rsidTr="00162625">
        <w:tc>
          <w:tcPr>
            <w:tcW w:w="567" w:type="dxa"/>
            <w:shd w:val="clear" w:color="auto" w:fill="FBE4D5" w:themeFill="accent2" w:themeFillTint="33"/>
          </w:tcPr>
          <w:p w14:paraId="6546F2BA" w14:textId="77777777" w:rsidR="007E2A85" w:rsidRPr="00162625" w:rsidRDefault="007E2A85" w:rsidP="00162625">
            <w:pPr>
              <w:pStyle w:val="Tablecopy"/>
              <w:rPr>
                <w:szCs w:val="24"/>
              </w:rPr>
            </w:pPr>
            <w:r w:rsidRPr="00162625">
              <w:rPr>
                <w:szCs w:val="24"/>
              </w:rPr>
              <w:t>56</w:t>
            </w:r>
          </w:p>
        </w:tc>
        <w:tc>
          <w:tcPr>
            <w:tcW w:w="5102" w:type="dxa"/>
            <w:shd w:val="clear" w:color="auto" w:fill="FBE4D5" w:themeFill="accent2" w:themeFillTint="33"/>
          </w:tcPr>
          <w:p w14:paraId="6DDAA787" w14:textId="77777777" w:rsidR="007E2A85" w:rsidRPr="00162625" w:rsidRDefault="007E2A85" w:rsidP="00162625">
            <w:pPr>
              <w:pStyle w:val="Tablecopy"/>
              <w:rPr>
                <w:szCs w:val="24"/>
              </w:rPr>
            </w:pPr>
            <w:r w:rsidRPr="00162625">
              <w:rPr>
                <w:rFonts w:eastAsia="Times New Roman"/>
                <w:color w:val="262626" w:themeColor="text1" w:themeTint="D9"/>
                <w:szCs w:val="24"/>
              </w:rPr>
              <w:t>Rewrite Employment Direction 5 to allow for a simple, local process to be used where the facts are clear and not disputed and the agency seeks to impose a low-level sanction (i.e. reprimand or that the employee engages in counselling for their behaviour).</w:t>
            </w:r>
          </w:p>
        </w:tc>
        <w:tc>
          <w:tcPr>
            <w:tcW w:w="3402" w:type="dxa"/>
            <w:shd w:val="clear" w:color="auto" w:fill="FBE4D5" w:themeFill="accent2" w:themeFillTint="33"/>
          </w:tcPr>
          <w:p w14:paraId="7859DDB3" w14:textId="6ACFE6CB" w:rsidR="007E2A85" w:rsidRPr="00162625" w:rsidRDefault="009C4366" w:rsidP="00162625">
            <w:pPr>
              <w:pStyle w:val="Tablecopy"/>
              <w:rPr>
                <w:b/>
                <w:bCs/>
                <w:szCs w:val="24"/>
              </w:rPr>
            </w:pPr>
            <w:r w:rsidRPr="00162625">
              <w:rPr>
                <w:b/>
                <w:bCs/>
                <w:szCs w:val="24"/>
              </w:rPr>
              <w:t>Workforce</w:t>
            </w:r>
          </w:p>
        </w:tc>
      </w:tr>
      <w:tr w:rsidR="007E2A85" w14:paraId="056D70AA" w14:textId="77777777" w:rsidTr="00162625">
        <w:tc>
          <w:tcPr>
            <w:tcW w:w="567" w:type="dxa"/>
            <w:shd w:val="clear" w:color="auto" w:fill="FBE4D5" w:themeFill="accent2" w:themeFillTint="33"/>
          </w:tcPr>
          <w:p w14:paraId="55C71ED0" w14:textId="77777777" w:rsidR="007E2A85" w:rsidRPr="00162625" w:rsidRDefault="007E2A85" w:rsidP="00162625">
            <w:pPr>
              <w:pStyle w:val="Tablecopy"/>
              <w:rPr>
                <w:rFonts w:cs="Arial"/>
                <w:szCs w:val="24"/>
              </w:rPr>
            </w:pPr>
            <w:r w:rsidRPr="00162625">
              <w:rPr>
                <w:rFonts w:cs="Arial"/>
                <w:szCs w:val="24"/>
              </w:rPr>
              <w:t>58</w:t>
            </w:r>
          </w:p>
        </w:tc>
        <w:tc>
          <w:tcPr>
            <w:tcW w:w="5102" w:type="dxa"/>
            <w:shd w:val="clear" w:color="auto" w:fill="FBE4D5" w:themeFill="accent2" w:themeFillTint="33"/>
          </w:tcPr>
          <w:p w14:paraId="52F5E854" w14:textId="77777777" w:rsidR="007E2A85" w:rsidRPr="00162625" w:rsidRDefault="007E2A85" w:rsidP="00162625">
            <w:pPr>
              <w:pStyle w:val="Tablecopy"/>
              <w:rPr>
                <w:rFonts w:cs="Arial"/>
                <w:szCs w:val="24"/>
              </w:rPr>
            </w:pPr>
            <w:r w:rsidRPr="00162625">
              <w:rPr>
                <w:rFonts w:eastAsia="Times New Roman" w:cs="Arial"/>
                <w:color w:val="262626" w:themeColor="text1" w:themeTint="D9"/>
                <w:szCs w:val="24"/>
              </w:rPr>
              <w:t>That the government create a shared capability for the investigation of Code of Conduct breaches.</w:t>
            </w:r>
          </w:p>
        </w:tc>
        <w:tc>
          <w:tcPr>
            <w:tcW w:w="3402" w:type="dxa"/>
            <w:shd w:val="clear" w:color="auto" w:fill="FBE4D5" w:themeFill="accent2" w:themeFillTint="33"/>
          </w:tcPr>
          <w:p w14:paraId="3EDEC564" w14:textId="5B53A587" w:rsidR="007E2A85" w:rsidRPr="00162625" w:rsidRDefault="009C4366" w:rsidP="00162625">
            <w:pPr>
              <w:pStyle w:val="Tablecopy"/>
              <w:rPr>
                <w:rFonts w:cs="Arial"/>
                <w:b/>
                <w:bCs/>
                <w:szCs w:val="24"/>
              </w:rPr>
            </w:pPr>
            <w:r w:rsidRPr="00162625">
              <w:rPr>
                <w:rFonts w:cs="Arial"/>
                <w:b/>
                <w:bCs/>
                <w:szCs w:val="24"/>
              </w:rPr>
              <w:t>Workforce</w:t>
            </w:r>
          </w:p>
        </w:tc>
      </w:tr>
      <w:tr w:rsidR="007E2A85" w14:paraId="25424221" w14:textId="77777777" w:rsidTr="00356945">
        <w:tc>
          <w:tcPr>
            <w:tcW w:w="567" w:type="dxa"/>
            <w:shd w:val="clear" w:color="auto" w:fill="D0CECE" w:themeFill="background2" w:themeFillShade="E6"/>
          </w:tcPr>
          <w:p w14:paraId="1792F275" w14:textId="7A469892" w:rsidR="007E2A85" w:rsidRPr="00162625" w:rsidRDefault="007E2A85" w:rsidP="00162625">
            <w:pPr>
              <w:pStyle w:val="Tablecopy"/>
              <w:rPr>
                <w:rFonts w:cs="Arial"/>
                <w:szCs w:val="24"/>
              </w:rPr>
            </w:pPr>
            <w:r w:rsidRPr="00162625">
              <w:rPr>
                <w:rFonts w:cs="Arial"/>
                <w:szCs w:val="24"/>
              </w:rPr>
              <w:t>64</w:t>
            </w:r>
          </w:p>
        </w:tc>
        <w:tc>
          <w:tcPr>
            <w:tcW w:w="5102" w:type="dxa"/>
            <w:shd w:val="clear" w:color="auto" w:fill="D0CECE" w:themeFill="background2" w:themeFillShade="E6"/>
          </w:tcPr>
          <w:p w14:paraId="7B6C278D" w14:textId="29774C2C" w:rsidR="007E2A85" w:rsidRPr="00162625" w:rsidRDefault="007E2A85" w:rsidP="00162625">
            <w:pPr>
              <w:pStyle w:val="Tablecopy"/>
              <w:rPr>
                <w:rFonts w:eastAsia="Times New Roman" w:cs="Arial"/>
                <w:color w:val="262626" w:themeColor="text1" w:themeTint="D9"/>
                <w:szCs w:val="24"/>
              </w:rPr>
            </w:pPr>
            <w:r w:rsidRPr="00162625">
              <w:rPr>
                <w:rFonts w:eastAsia="Gill Sans MT" w:cs="Arial"/>
                <w:color w:val="262626" w:themeColor="text1" w:themeTint="D9"/>
                <w:szCs w:val="24"/>
              </w:rPr>
              <w:t>That the government adopt a life events framework as the basis for the integration of services across agencies.</w:t>
            </w:r>
          </w:p>
        </w:tc>
        <w:tc>
          <w:tcPr>
            <w:tcW w:w="3402" w:type="dxa"/>
            <w:shd w:val="clear" w:color="auto" w:fill="D0CECE" w:themeFill="background2" w:themeFillShade="E6"/>
          </w:tcPr>
          <w:p w14:paraId="7F363D23" w14:textId="647F6BF3" w:rsidR="007E2A85" w:rsidRPr="00162625" w:rsidRDefault="007E2A85" w:rsidP="00162625">
            <w:pPr>
              <w:pStyle w:val="Tablecopy"/>
              <w:rPr>
                <w:rFonts w:cs="Arial"/>
                <w:b/>
                <w:bCs/>
                <w:szCs w:val="24"/>
              </w:rPr>
            </w:pPr>
            <w:r w:rsidRPr="00162625">
              <w:rPr>
                <w:rFonts w:cs="Arial"/>
                <w:b/>
                <w:bCs/>
                <w:szCs w:val="24"/>
              </w:rPr>
              <w:t>Service Delivery</w:t>
            </w:r>
          </w:p>
        </w:tc>
      </w:tr>
      <w:tr w:rsidR="0023400C" w14:paraId="6A61AA3F" w14:textId="77777777" w:rsidTr="00356945">
        <w:tc>
          <w:tcPr>
            <w:tcW w:w="567" w:type="dxa"/>
            <w:shd w:val="clear" w:color="auto" w:fill="D0CECE" w:themeFill="background2" w:themeFillShade="E6"/>
          </w:tcPr>
          <w:p w14:paraId="7D7EE96F" w14:textId="3D929203" w:rsidR="0023400C" w:rsidRPr="00162625" w:rsidRDefault="0023400C" w:rsidP="00162625">
            <w:pPr>
              <w:pStyle w:val="Tablecopy"/>
              <w:rPr>
                <w:rFonts w:cs="Arial"/>
                <w:szCs w:val="24"/>
              </w:rPr>
            </w:pPr>
            <w:r>
              <w:rPr>
                <w:rFonts w:cs="Arial"/>
                <w:szCs w:val="24"/>
              </w:rPr>
              <w:t>65</w:t>
            </w:r>
          </w:p>
        </w:tc>
        <w:tc>
          <w:tcPr>
            <w:tcW w:w="5102" w:type="dxa"/>
            <w:shd w:val="clear" w:color="auto" w:fill="D0CECE" w:themeFill="background2" w:themeFillShade="E6"/>
          </w:tcPr>
          <w:p w14:paraId="08CE3207" w14:textId="1F7208C6" w:rsidR="0023400C" w:rsidRPr="00162625" w:rsidRDefault="004A6785" w:rsidP="00162625">
            <w:pPr>
              <w:pStyle w:val="Tablecopy"/>
              <w:rPr>
                <w:rFonts w:eastAsia="Gill Sans MT" w:cs="Arial"/>
                <w:color w:val="262626" w:themeColor="text1" w:themeTint="D9"/>
                <w:szCs w:val="24"/>
              </w:rPr>
            </w:pPr>
            <w:r>
              <w:rPr>
                <w:rFonts w:eastAsia="Gill Sans MT" w:cs="Arial"/>
                <w:color w:val="262626" w:themeColor="text1" w:themeTint="D9"/>
                <w:szCs w:val="24"/>
              </w:rPr>
              <w:t>Designate and fund Service Tasmania as the agent for the delivery of a specified range of transactional services for the TSS including a renewed and extended clear mandate to partner with others to improve the customer experience and be the single digital service delivery agent for the TSS.</w:t>
            </w:r>
          </w:p>
        </w:tc>
        <w:tc>
          <w:tcPr>
            <w:tcW w:w="3402" w:type="dxa"/>
            <w:shd w:val="clear" w:color="auto" w:fill="D0CECE" w:themeFill="background2" w:themeFillShade="E6"/>
          </w:tcPr>
          <w:p w14:paraId="6961DCD4" w14:textId="1C3485E4" w:rsidR="0023400C" w:rsidRPr="00162625" w:rsidRDefault="004A6785" w:rsidP="00162625">
            <w:pPr>
              <w:pStyle w:val="Tablecopy"/>
              <w:rPr>
                <w:rFonts w:cs="Arial"/>
                <w:b/>
                <w:bCs/>
                <w:szCs w:val="24"/>
              </w:rPr>
            </w:pPr>
            <w:r>
              <w:rPr>
                <w:rFonts w:cs="Arial"/>
                <w:b/>
                <w:bCs/>
                <w:szCs w:val="24"/>
              </w:rPr>
              <w:t>Service Delivery</w:t>
            </w:r>
          </w:p>
        </w:tc>
      </w:tr>
      <w:tr w:rsidR="007E2A85" w14:paraId="3CF13B61" w14:textId="77777777" w:rsidTr="00356945">
        <w:tc>
          <w:tcPr>
            <w:tcW w:w="567" w:type="dxa"/>
            <w:shd w:val="clear" w:color="auto" w:fill="D0CECE" w:themeFill="background2" w:themeFillShade="E6"/>
          </w:tcPr>
          <w:p w14:paraId="0056D15A" w14:textId="7A7D4883" w:rsidR="007E2A85" w:rsidRPr="00162625" w:rsidRDefault="007E2A85" w:rsidP="00162625">
            <w:pPr>
              <w:pStyle w:val="Tablecopy"/>
              <w:rPr>
                <w:rFonts w:cs="Arial"/>
                <w:szCs w:val="24"/>
              </w:rPr>
            </w:pPr>
            <w:r w:rsidRPr="00162625">
              <w:rPr>
                <w:rFonts w:cs="Arial"/>
                <w:szCs w:val="24"/>
              </w:rPr>
              <w:t>66</w:t>
            </w:r>
          </w:p>
        </w:tc>
        <w:tc>
          <w:tcPr>
            <w:tcW w:w="5102" w:type="dxa"/>
            <w:shd w:val="clear" w:color="auto" w:fill="D0CECE" w:themeFill="background2" w:themeFillShade="E6"/>
          </w:tcPr>
          <w:p w14:paraId="1DAA2CC2" w14:textId="3B88824E" w:rsidR="007E2A85" w:rsidRPr="00162625" w:rsidRDefault="007E2A85" w:rsidP="00162625">
            <w:pPr>
              <w:pStyle w:val="Tablecopy"/>
              <w:rPr>
                <w:rFonts w:eastAsia="Gill Sans MT" w:cs="Arial"/>
                <w:color w:val="262626" w:themeColor="text1" w:themeTint="D9"/>
                <w:szCs w:val="24"/>
              </w:rPr>
            </w:pPr>
            <w:r w:rsidRPr="00162625">
              <w:rPr>
                <w:rFonts w:eastAsia="Gill Sans MT" w:cs="Arial"/>
                <w:color w:val="262626" w:themeColor="text1" w:themeTint="D9"/>
                <w:szCs w:val="24"/>
              </w:rPr>
              <w:t>That Service Tasmania accelerate the current actions under its Strategic Plan 2020-25 to enhance service delivery partnerships with the Commonwealth, local government and, where appropriate, the private sector.</w:t>
            </w:r>
          </w:p>
        </w:tc>
        <w:tc>
          <w:tcPr>
            <w:tcW w:w="3402" w:type="dxa"/>
            <w:shd w:val="clear" w:color="auto" w:fill="D0CECE" w:themeFill="background2" w:themeFillShade="E6"/>
          </w:tcPr>
          <w:p w14:paraId="2483D7C3" w14:textId="54E2F36F" w:rsidR="007E2A85" w:rsidRPr="00162625" w:rsidRDefault="009C4366" w:rsidP="00162625">
            <w:pPr>
              <w:pStyle w:val="Tablecopy"/>
              <w:rPr>
                <w:rFonts w:cs="Arial"/>
                <w:b/>
                <w:bCs/>
                <w:szCs w:val="24"/>
              </w:rPr>
            </w:pPr>
            <w:r w:rsidRPr="00162625">
              <w:rPr>
                <w:rFonts w:cs="Arial"/>
                <w:b/>
                <w:bCs/>
                <w:szCs w:val="24"/>
              </w:rPr>
              <w:t>Service Delivery</w:t>
            </w:r>
          </w:p>
        </w:tc>
      </w:tr>
      <w:tr w:rsidR="007E2A85" w14:paraId="4387780E" w14:textId="77777777" w:rsidTr="00356945">
        <w:tc>
          <w:tcPr>
            <w:tcW w:w="567" w:type="dxa"/>
            <w:shd w:val="clear" w:color="auto" w:fill="D0CECE" w:themeFill="background2" w:themeFillShade="E6"/>
          </w:tcPr>
          <w:p w14:paraId="5287E733" w14:textId="77777777" w:rsidR="007E2A85" w:rsidRPr="00162625" w:rsidRDefault="007E2A85" w:rsidP="00162625">
            <w:pPr>
              <w:pStyle w:val="Tablecopy"/>
              <w:rPr>
                <w:rFonts w:cs="Arial"/>
                <w:szCs w:val="24"/>
              </w:rPr>
            </w:pPr>
            <w:r w:rsidRPr="00162625">
              <w:rPr>
                <w:rFonts w:cs="Arial"/>
                <w:szCs w:val="24"/>
              </w:rPr>
              <w:t>67</w:t>
            </w:r>
          </w:p>
        </w:tc>
        <w:tc>
          <w:tcPr>
            <w:tcW w:w="5102" w:type="dxa"/>
            <w:shd w:val="clear" w:color="auto" w:fill="D0CECE" w:themeFill="background2" w:themeFillShade="E6"/>
          </w:tcPr>
          <w:p w14:paraId="42BD6745" w14:textId="77777777" w:rsidR="007E2A85" w:rsidRPr="00162625" w:rsidRDefault="007E2A85" w:rsidP="00162625">
            <w:pPr>
              <w:pStyle w:val="Tablecopy"/>
              <w:rPr>
                <w:rFonts w:cs="Arial"/>
                <w:szCs w:val="24"/>
              </w:rPr>
            </w:pPr>
            <w:r w:rsidRPr="00162625">
              <w:rPr>
                <w:rFonts w:eastAsia="Gill Sans MT" w:cs="Arial"/>
                <w:color w:val="262626" w:themeColor="text1" w:themeTint="D9"/>
                <w:szCs w:val="24"/>
              </w:rPr>
              <w:t>Formally capture the lessons learnt from establishing and expanding call centre capabilities in response to COVID-19 and develop a business case for the possible consolidation of call centres into a unified capability for the State.</w:t>
            </w:r>
          </w:p>
        </w:tc>
        <w:tc>
          <w:tcPr>
            <w:tcW w:w="3402" w:type="dxa"/>
            <w:shd w:val="clear" w:color="auto" w:fill="D0CECE" w:themeFill="background2" w:themeFillShade="E6"/>
          </w:tcPr>
          <w:p w14:paraId="772F9070" w14:textId="6C5C2689" w:rsidR="007E2A85" w:rsidRPr="00162625" w:rsidRDefault="009C4366" w:rsidP="00162625">
            <w:pPr>
              <w:pStyle w:val="Tablecopy"/>
              <w:rPr>
                <w:rFonts w:cs="Arial"/>
                <w:b/>
                <w:bCs/>
                <w:szCs w:val="24"/>
              </w:rPr>
            </w:pPr>
            <w:r w:rsidRPr="00162625">
              <w:rPr>
                <w:rFonts w:cs="Arial"/>
                <w:b/>
                <w:bCs/>
                <w:szCs w:val="24"/>
              </w:rPr>
              <w:t>Service Delivery</w:t>
            </w:r>
          </w:p>
        </w:tc>
      </w:tr>
      <w:tr w:rsidR="007E2A85" w14:paraId="44B1961B" w14:textId="77777777" w:rsidTr="00356945">
        <w:tc>
          <w:tcPr>
            <w:tcW w:w="567" w:type="dxa"/>
            <w:shd w:val="clear" w:color="auto" w:fill="D0CECE" w:themeFill="background2" w:themeFillShade="E6"/>
          </w:tcPr>
          <w:p w14:paraId="635BEAD4" w14:textId="68F7B784" w:rsidR="007E2A85" w:rsidRPr="00162625" w:rsidRDefault="007E2A85" w:rsidP="00162625">
            <w:pPr>
              <w:pStyle w:val="Tablecopy"/>
              <w:rPr>
                <w:rFonts w:cs="Arial"/>
                <w:szCs w:val="24"/>
              </w:rPr>
            </w:pPr>
            <w:r w:rsidRPr="00162625">
              <w:rPr>
                <w:rFonts w:cs="Arial"/>
                <w:szCs w:val="24"/>
              </w:rPr>
              <w:t>75</w:t>
            </w:r>
          </w:p>
        </w:tc>
        <w:tc>
          <w:tcPr>
            <w:tcW w:w="5102" w:type="dxa"/>
            <w:shd w:val="clear" w:color="auto" w:fill="D0CECE" w:themeFill="background2" w:themeFillShade="E6"/>
          </w:tcPr>
          <w:p w14:paraId="584CA5A6" w14:textId="5E3AD915" w:rsidR="007E2A85" w:rsidRPr="00162625" w:rsidRDefault="007E2A85" w:rsidP="00162625">
            <w:pPr>
              <w:pStyle w:val="Tablecopy"/>
              <w:rPr>
                <w:rFonts w:eastAsia="Gill Sans MT" w:cs="Arial"/>
                <w:color w:val="262626" w:themeColor="text1" w:themeTint="D9"/>
                <w:szCs w:val="24"/>
              </w:rPr>
            </w:pPr>
            <w:r w:rsidRPr="00162625">
              <w:rPr>
                <w:rFonts w:eastAsia="Gill Sans MT" w:cs="Arial"/>
                <w:color w:val="262626" w:themeColor="text1" w:themeTint="D9"/>
                <w:szCs w:val="24"/>
              </w:rPr>
              <w:t>That the Head of the State Service chair a small subcommittee of heads of agency that oversees the implementation of recommendations and informs and advises heads of agency as a whole, and provides regular updates to the Premier and Cabinet.</w:t>
            </w:r>
          </w:p>
        </w:tc>
        <w:tc>
          <w:tcPr>
            <w:tcW w:w="3402" w:type="dxa"/>
            <w:shd w:val="clear" w:color="auto" w:fill="D0CECE" w:themeFill="background2" w:themeFillShade="E6"/>
          </w:tcPr>
          <w:p w14:paraId="0F7BBAF5" w14:textId="37C4C858" w:rsidR="007E2A85" w:rsidRPr="00162625" w:rsidRDefault="00705C0E" w:rsidP="00162625">
            <w:pPr>
              <w:pStyle w:val="Tablecopy"/>
              <w:rPr>
                <w:rFonts w:cs="Arial"/>
                <w:b/>
                <w:bCs/>
                <w:szCs w:val="24"/>
              </w:rPr>
            </w:pPr>
            <w:r w:rsidRPr="00162625">
              <w:rPr>
                <w:rFonts w:cs="Arial"/>
                <w:b/>
                <w:bCs/>
                <w:szCs w:val="24"/>
              </w:rPr>
              <w:t>Service Delivery</w:t>
            </w:r>
          </w:p>
        </w:tc>
      </w:tr>
    </w:tbl>
    <w:p w14:paraId="38CEB686" w14:textId="77777777" w:rsidR="00854A1A" w:rsidRDefault="00854A1A">
      <w:pPr>
        <w:rPr>
          <w:rFonts w:cs="Arial"/>
        </w:rPr>
      </w:pPr>
    </w:p>
    <w:p w14:paraId="3E42126E" w14:textId="77777777" w:rsidR="00162625" w:rsidRDefault="00162625">
      <w:pPr>
        <w:spacing w:after="160" w:line="259" w:lineRule="auto"/>
        <w:rPr>
          <w:rFonts w:asciiTheme="majorHAnsi" w:eastAsiaTheme="majorEastAsia" w:hAnsiTheme="majorHAnsi" w:cstheme="majorBidi"/>
          <w:b/>
          <w:iCs/>
          <w:noProof/>
          <w:color w:val="000000" w:themeColor="text1"/>
          <w:sz w:val="20"/>
        </w:rPr>
      </w:pPr>
      <w:r>
        <w:br w:type="page"/>
      </w:r>
    </w:p>
    <w:p w14:paraId="799BBB13" w14:textId="406B9B5A" w:rsidR="005C6087" w:rsidRPr="008A6423" w:rsidRDefault="005C6087" w:rsidP="00162625">
      <w:pPr>
        <w:pStyle w:val="FooterCaption"/>
      </w:pPr>
      <w:r w:rsidRPr="008A6423">
        <w:t xml:space="preserve">Table </w:t>
      </w:r>
      <w:r>
        <w:t>3</w:t>
      </w:r>
      <w:r w:rsidRPr="008A6423">
        <w:t xml:space="preserve">: </w:t>
      </w:r>
      <w:r>
        <w:t xml:space="preserve">Actions </w:t>
      </w:r>
      <w:r w:rsidR="005D1E46">
        <w:t>in progress</w:t>
      </w:r>
    </w:p>
    <w:tbl>
      <w:tblPr>
        <w:tblStyle w:val="TableGrid"/>
        <w:tblW w:w="9071" w:type="dxa"/>
        <w:tblLook w:val="04A0" w:firstRow="1" w:lastRow="0" w:firstColumn="1" w:lastColumn="0" w:noHBand="0" w:noVBand="1"/>
      </w:tblPr>
      <w:tblGrid>
        <w:gridCol w:w="567"/>
        <w:gridCol w:w="5102"/>
        <w:gridCol w:w="3402"/>
      </w:tblGrid>
      <w:tr w:rsidR="005C6087" w:rsidRPr="002A5FA6" w14:paraId="5098E60F" w14:textId="77777777" w:rsidTr="00162625">
        <w:trPr>
          <w:tblHeader/>
        </w:trPr>
        <w:tc>
          <w:tcPr>
            <w:tcW w:w="567" w:type="dxa"/>
            <w:shd w:val="clear" w:color="auto" w:fill="262626" w:themeFill="text1" w:themeFillTint="D9"/>
          </w:tcPr>
          <w:p w14:paraId="6664B0CD" w14:textId="77777777" w:rsidR="005C6087" w:rsidRPr="002A5FA6" w:rsidRDefault="005C6087" w:rsidP="00162625">
            <w:pPr>
              <w:pStyle w:val="Tableheader"/>
            </w:pPr>
            <w:r>
              <w:t>No</w:t>
            </w:r>
          </w:p>
        </w:tc>
        <w:tc>
          <w:tcPr>
            <w:tcW w:w="5102" w:type="dxa"/>
            <w:shd w:val="clear" w:color="auto" w:fill="262626" w:themeFill="text1" w:themeFillTint="D9"/>
          </w:tcPr>
          <w:p w14:paraId="3FDF8DB3" w14:textId="63B5A371" w:rsidR="005C6087" w:rsidRPr="002A5FA6" w:rsidRDefault="005C6087" w:rsidP="00162625">
            <w:pPr>
              <w:pStyle w:val="Tableheader"/>
            </w:pPr>
            <w:r w:rsidRPr="002A5FA6">
              <w:t>Recommendation</w:t>
            </w:r>
            <w:r w:rsidR="005D1E46">
              <w:t>s in progress</w:t>
            </w:r>
          </w:p>
        </w:tc>
        <w:tc>
          <w:tcPr>
            <w:tcW w:w="3402" w:type="dxa"/>
            <w:shd w:val="clear" w:color="auto" w:fill="262626" w:themeFill="text1" w:themeFillTint="D9"/>
          </w:tcPr>
          <w:p w14:paraId="4305CD11" w14:textId="503E5ACD" w:rsidR="005C6087" w:rsidRPr="002A5FA6" w:rsidRDefault="005C6087" w:rsidP="00162625">
            <w:pPr>
              <w:pStyle w:val="Tableheader"/>
            </w:pPr>
            <w:r w:rsidRPr="002A5FA6">
              <w:t>Category</w:t>
            </w:r>
          </w:p>
        </w:tc>
      </w:tr>
      <w:tr w:rsidR="005C6087" w:rsidRPr="00162625" w14:paraId="206C11CD" w14:textId="77777777" w:rsidTr="00356945">
        <w:tc>
          <w:tcPr>
            <w:tcW w:w="567" w:type="dxa"/>
            <w:shd w:val="clear" w:color="auto" w:fill="FFF2CC" w:themeFill="accent4" w:themeFillTint="33"/>
          </w:tcPr>
          <w:p w14:paraId="14BEA1F9" w14:textId="18C3AA03" w:rsidR="005C6087" w:rsidRPr="00162625" w:rsidRDefault="00645631" w:rsidP="00162625">
            <w:pPr>
              <w:pStyle w:val="Tablecopy"/>
              <w:rPr>
                <w:rFonts w:asciiTheme="minorHAnsi" w:hAnsiTheme="minorHAnsi" w:cstheme="minorHAnsi"/>
                <w:szCs w:val="24"/>
              </w:rPr>
            </w:pPr>
            <w:r w:rsidRPr="00162625">
              <w:rPr>
                <w:rFonts w:asciiTheme="minorHAnsi" w:hAnsiTheme="minorHAnsi" w:cstheme="minorHAnsi"/>
                <w:szCs w:val="24"/>
              </w:rPr>
              <w:t>2</w:t>
            </w:r>
          </w:p>
        </w:tc>
        <w:tc>
          <w:tcPr>
            <w:tcW w:w="5102" w:type="dxa"/>
            <w:shd w:val="clear" w:color="auto" w:fill="FFF2CC" w:themeFill="accent4" w:themeFillTint="33"/>
          </w:tcPr>
          <w:p w14:paraId="70587CBC" w14:textId="0392DB24" w:rsidR="005C6087" w:rsidRPr="00162625" w:rsidRDefault="0086441E" w:rsidP="00162625">
            <w:pPr>
              <w:pStyle w:val="Tablecopy"/>
              <w:rPr>
                <w:rFonts w:asciiTheme="minorHAnsi" w:hAnsiTheme="minorHAnsi" w:cstheme="minorHAnsi"/>
                <w:szCs w:val="24"/>
              </w:rPr>
            </w:pPr>
            <w:r w:rsidRPr="00162625">
              <w:rPr>
                <w:rFonts w:asciiTheme="minorHAnsi" w:eastAsia="Gill Sans MT" w:hAnsiTheme="minorHAnsi" w:cstheme="minorHAnsi"/>
                <w:color w:val="262626" w:themeColor="text1" w:themeTint="D9"/>
                <w:szCs w:val="24"/>
              </w:rPr>
              <w:t>Develop and implement the concept of a single state service to help build better capabilities, increase collaboration and deliver improved outcomes for the Government and the Tasmanian community.</w:t>
            </w:r>
          </w:p>
        </w:tc>
        <w:tc>
          <w:tcPr>
            <w:tcW w:w="3402" w:type="dxa"/>
            <w:shd w:val="clear" w:color="auto" w:fill="FFF2CC" w:themeFill="accent4" w:themeFillTint="33"/>
          </w:tcPr>
          <w:p w14:paraId="0DB629BE" w14:textId="25B4C9F1" w:rsidR="005C6087" w:rsidRPr="00162625" w:rsidRDefault="0063152B" w:rsidP="00162625">
            <w:pPr>
              <w:pStyle w:val="Tablecopy"/>
              <w:rPr>
                <w:rFonts w:asciiTheme="minorHAnsi" w:hAnsiTheme="minorHAnsi" w:cstheme="minorHAnsi"/>
                <w:b/>
                <w:bCs/>
                <w:szCs w:val="24"/>
              </w:rPr>
            </w:pPr>
            <w:r w:rsidRPr="00162625">
              <w:rPr>
                <w:rFonts w:asciiTheme="minorHAnsi" w:hAnsiTheme="minorHAnsi" w:cstheme="minorHAnsi"/>
                <w:b/>
                <w:bCs/>
                <w:szCs w:val="24"/>
              </w:rPr>
              <w:t>Principles and values</w:t>
            </w:r>
          </w:p>
        </w:tc>
      </w:tr>
      <w:tr w:rsidR="0086441E" w:rsidRPr="00162625" w14:paraId="47F3A879" w14:textId="77777777" w:rsidTr="00162625">
        <w:tc>
          <w:tcPr>
            <w:tcW w:w="567" w:type="dxa"/>
            <w:shd w:val="clear" w:color="auto" w:fill="DEEAF6" w:themeFill="accent5" w:themeFillTint="33"/>
          </w:tcPr>
          <w:p w14:paraId="67653B49" w14:textId="69930764" w:rsidR="0086441E" w:rsidRPr="00162625" w:rsidRDefault="0086441E" w:rsidP="00162625">
            <w:pPr>
              <w:pStyle w:val="Tablecopy"/>
              <w:rPr>
                <w:rFonts w:asciiTheme="minorHAnsi" w:hAnsiTheme="minorHAnsi" w:cstheme="minorHAnsi"/>
                <w:szCs w:val="24"/>
              </w:rPr>
            </w:pPr>
            <w:r w:rsidRPr="00162625">
              <w:rPr>
                <w:rFonts w:asciiTheme="minorHAnsi" w:hAnsiTheme="minorHAnsi" w:cstheme="minorHAnsi"/>
                <w:szCs w:val="24"/>
              </w:rPr>
              <w:t>5</w:t>
            </w:r>
          </w:p>
        </w:tc>
        <w:tc>
          <w:tcPr>
            <w:tcW w:w="5102" w:type="dxa"/>
            <w:shd w:val="clear" w:color="auto" w:fill="DEEAF6" w:themeFill="accent5" w:themeFillTint="33"/>
          </w:tcPr>
          <w:p w14:paraId="31A04413" w14:textId="2716869F" w:rsidR="0086441E" w:rsidRPr="00162625" w:rsidRDefault="00BC5A57"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Government task some or all of the TSS heads of agency collectively with addressing a small number of whole-of-government or cross-government priorities that require a collaborative approach to facilitate delivery of better outcomes.</w:t>
            </w:r>
          </w:p>
        </w:tc>
        <w:tc>
          <w:tcPr>
            <w:tcW w:w="3402" w:type="dxa"/>
            <w:shd w:val="clear" w:color="auto" w:fill="DEEAF6" w:themeFill="accent5" w:themeFillTint="33"/>
          </w:tcPr>
          <w:p w14:paraId="6C605D99" w14:textId="3A28F725" w:rsidR="0086441E" w:rsidRPr="00162625" w:rsidRDefault="0063152B" w:rsidP="00162625">
            <w:pPr>
              <w:pStyle w:val="Tablecopy"/>
              <w:rPr>
                <w:rFonts w:asciiTheme="minorHAnsi" w:hAnsiTheme="minorHAnsi" w:cstheme="minorHAnsi"/>
                <w:b/>
                <w:bCs/>
                <w:szCs w:val="24"/>
              </w:rPr>
            </w:pPr>
            <w:r w:rsidRPr="00162625">
              <w:rPr>
                <w:rFonts w:asciiTheme="minorHAnsi" w:hAnsiTheme="minorHAnsi" w:cstheme="minorHAnsi"/>
                <w:b/>
                <w:bCs/>
                <w:szCs w:val="24"/>
              </w:rPr>
              <w:t>Leadership</w:t>
            </w:r>
          </w:p>
        </w:tc>
      </w:tr>
      <w:tr w:rsidR="0086441E" w:rsidRPr="00162625" w14:paraId="061BDD74" w14:textId="77777777" w:rsidTr="00162625">
        <w:tc>
          <w:tcPr>
            <w:tcW w:w="567" w:type="dxa"/>
            <w:shd w:val="clear" w:color="auto" w:fill="DEEAF6" w:themeFill="accent5" w:themeFillTint="33"/>
          </w:tcPr>
          <w:p w14:paraId="3589DDF5" w14:textId="760B5E04" w:rsidR="0086441E" w:rsidRPr="00162625" w:rsidRDefault="0086441E" w:rsidP="00162625">
            <w:pPr>
              <w:pStyle w:val="Tablecopy"/>
              <w:rPr>
                <w:rFonts w:asciiTheme="minorHAnsi" w:hAnsiTheme="minorHAnsi" w:cstheme="minorHAnsi"/>
                <w:szCs w:val="24"/>
              </w:rPr>
            </w:pPr>
            <w:r w:rsidRPr="00162625">
              <w:rPr>
                <w:rFonts w:asciiTheme="minorHAnsi" w:hAnsiTheme="minorHAnsi" w:cstheme="minorHAnsi"/>
                <w:szCs w:val="24"/>
              </w:rPr>
              <w:t>9</w:t>
            </w:r>
          </w:p>
        </w:tc>
        <w:tc>
          <w:tcPr>
            <w:tcW w:w="5102" w:type="dxa"/>
            <w:shd w:val="clear" w:color="auto" w:fill="DEEAF6" w:themeFill="accent5" w:themeFillTint="33"/>
          </w:tcPr>
          <w:p w14:paraId="0514D461" w14:textId="4FE26899" w:rsidR="0086441E" w:rsidRPr="00162625" w:rsidRDefault="00283480"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Consider heads of agency contributions to developing the TSS as a genuinely single state service, including the delivery of cross-portfolio outcomes (such as whole-of-government priorities) and whole-of-government capability development, in agency heads’ performance assessments.</w:t>
            </w:r>
          </w:p>
        </w:tc>
        <w:tc>
          <w:tcPr>
            <w:tcW w:w="3402" w:type="dxa"/>
            <w:shd w:val="clear" w:color="auto" w:fill="DEEAF6" w:themeFill="accent5" w:themeFillTint="33"/>
          </w:tcPr>
          <w:p w14:paraId="0B242E96" w14:textId="7D695FB2" w:rsidR="0086441E" w:rsidRPr="00162625" w:rsidRDefault="0063152B" w:rsidP="00162625">
            <w:pPr>
              <w:pStyle w:val="Tablecopy"/>
              <w:rPr>
                <w:rFonts w:asciiTheme="minorHAnsi" w:hAnsiTheme="minorHAnsi" w:cstheme="minorHAnsi"/>
                <w:b/>
                <w:bCs/>
                <w:szCs w:val="24"/>
              </w:rPr>
            </w:pPr>
            <w:r w:rsidRPr="00162625">
              <w:rPr>
                <w:rFonts w:asciiTheme="minorHAnsi" w:hAnsiTheme="minorHAnsi" w:cstheme="minorHAnsi"/>
                <w:b/>
                <w:bCs/>
                <w:szCs w:val="24"/>
              </w:rPr>
              <w:t>Leadership</w:t>
            </w:r>
          </w:p>
        </w:tc>
      </w:tr>
      <w:tr w:rsidR="002768B2" w:rsidRPr="00162625" w14:paraId="75911468" w14:textId="77777777" w:rsidTr="00162625">
        <w:tc>
          <w:tcPr>
            <w:tcW w:w="567" w:type="dxa"/>
            <w:shd w:val="clear" w:color="auto" w:fill="DEEAF6" w:themeFill="accent5" w:themeFillTint="33"/>
          </w:tcPr>
          <w:p w14:paraId="379CB5CF" w14:textId="0A763DAD" w:rsidR="002768B2" w:rsidRPr="00162625" w:rsidRDefault="002768B2" w:rsidP="00162625">
            <w:pPr>
              <w:pStyle w:val="Tablecopy"/>
              <w:rPr>
                <w:rFonts w:asciiTheme="minorHAnsi" w:hAnsiTheme="minorHAnsi" w:cstheme="minorHAnsi"/>
                <w:szCs w:val="24"/>
              </w:rPr>
            </w:pPr>
            <w:r w:rsidRPr="00162625">
              <w:rPr>
                <w:rFonts w:asciiTheme="minorHAnsi" w:hAnsiTheme="minorHAnsi" w:cstheme="minorHAnsi"/>
                <w:szCs w:val="24"/>
              </w:rPr>
              <w:t>13</w:t>
            </w:r>
          </w:p>
        </w:tc>
        <w:tc>
          <w:tcPr>
            <w:tcW w:w="5102" w:type="dxa"/>
            <w:shd w:val="clear" w:color="auto" w:fill="DEEAF6" w:themeFill="accent5" w:themeFillTint="33"/>
          </w:tcPr>
          <w:p w14:paraId="11F79C25" w14:textId="7DD66CA0" w:rsidR="002768B2" w:rsidRPr="00162625" w:rsidRDefault="00B71C20"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Update the TSS Senior Executive Leadership Capability Framework to include an explicit recognition of stewardship and to align with the broader capability framework proposed for the TSS.</w:t>
            </w:r>
          </w:p>
        </w:tc>
        <w:tc>
          <w:tcPr>
            <w:tcW w:w="3402" w:type="dxa"/>
            <w:shd w:val="clear" w:color="auto" w:fill="DEEAF6" w:themeFill="accent5" w:themeFillTint="33"/>
          </w:tcPr>
          <w:p w14:paraId="632DF807" w14:textId="5B9196FE" w:rsidR="002768B2" w:rsidRPr="00162625" w:rsidRDefault="00FC0C30" w:rsidP="00162625">
            <w:pPr>
              <w:pStyle w:val="Tablecopy"/>
              <w:rPr>
                <w:rFonts w:asciiTheme="minorHAnsi" w:hAnsiTheme="minorHAnsi" w:cstheme="minorHAnsi"/>
                <w:b/>
                <w:bCs/>
                <w:szCs w:val="24"/>
              </w:rPr>
            </w:pPr>
            <w:r w:rsidRPr="00162625">
              <w:rPr>
                <w:rFonts w:asciiTheme="minorHAnsi" w:hAnsiTheme="minorHAnsi" w:cstheme="minorHAnsi"/>
                <w:b/>
                <w:bCs/>
                <w:szCs w:val="24"/>
              </w:rPr>
              <w:t>Leadership</w:t>
            </w:r>
          </w:p>
        </w:tc>
      </w:tr>
      <w:tr w:rsidR="00A33636" w:rsidRPr="00162625" w14:paraId="10449FFE" w14:textId="77777777" w:rsidTr="00356945">
        <w:tc>
          <w:tcPr>
            <w:tcW w:w="567" w:type="dxa"/>
            <w:shd w:val="clear" w:color="auto" w:fill="E2EFD9" w:themeFill="accent6" w:themeFillTint="33"/>
          </w:tcPr>
          <w:p w14:paraId="3A37420D" w14:textId="1554AAFC" w:rsidR="00A33636" w:rsidRPr="00162625" w:rsidRDefault="00A33636" w:rsidP="00162625">
            <w:pPr>
              <w:pStyle w:val="Tablecopy"/>
              <w:rPr>
                <w:rFonts w:asciiTheme="minorHAnsi" w:hAnsiTheme="minorHAnsi" w:cstheme="minorHAnsi"/>
                <w:szCs w:val="24"/>
              </w:rPr>
            </w:pPr>
            <w:r w:rsidRPr="00162625">
              <w:rPr>
                <w:rFonts w:asciiTheme="minorHAnsi" w:hAnsiTheme="minorHAnsi" w:cstheme="minorHAnsi"/>
                <w:szCs w:val="24"/>
              </w:rPr>
              <w:t>18</w:t>
            </w:r>
          </w:p>
        </w:tc>
        <w:tc>
          <w:tcPr>
            <w:tcW w:w="5102" w:type="dxa"/>
            <w:shd w:val="clear" w:color="auto" w:fill="E2EFD9" w:themeFill="accent6" w:themeFillTint="33"/>
          </w:tcPr>
          <w:p w14:paraId="74EDB780" w14:textId="327BA349" w:rsidR="00A33636" w:rsidRPr="00162625" w:rsidRDefault="00434B5F" w:rsidP="00162625">
            <w:pPr>
              <w:pStyle w:val="Tablecopy"/>
              <w:rPr>
                <w:rFonts w:asciiTheme="minorHAnsi" w:eastAsia="Gill Sans MT" w:hAnsiTheme="minorHAnsi" w:cstheme="minorHAnsi"/>
                <w:color w:val="262626" w:themeColor="text1" w:themeTint="D9"/>
                <w:szCs w:val="24"/>
              </w:rPr>
            </w:pPr>
            <w:r w:rsidRPr="00162625">
              <w:rPr>
                <w:rFonts w:asciiTheme="minorHAnsi" w:eastAsia="Times New Roman" w:hAnsiTheme="minorHAnsi" w:cstheme="minorHAnsi"/>
                <w:color w:val="262626" w:themeColor="text1" w:themeTint="D9"/>
                <w:szCs w:val="24"/>
              </w:rPr>
              <w:t>The Review and Evaluation Unit should develop a whole-of-government Review and Evaluation Framework for government consideration.</w:t>
            </w:r>
          </w:p>
        </w:tc>
        <w:tc>
          <w:tcPr>
            <w:tcW w:w="3402" w:type="dxa"/>
            <w:shd w:val="clear" w:color="auto" w:fill="E2EFD9" w:themeFill="accent6" w:themeFillTint="33"/>
          </w:tcPr>
          <w:p w14:paraId="5EA58DFA" w14:textId="5485CD7B" w:rsidR="00A33636" w:rsidRPr="00162625" w:rsidRDefault="00FC0C30" w:rsidP="00162625">
            <w:pPr>
              <w:pStyle w:val="Tablecopy"/>
              <w:rPr>
                <w:rFonts w:asciiTheme="minorHAnsi" w:hAnsiTheme="minorHAnsi" w:cstheme="minorHAnsi"/>
                <w:b/>
                <w:bCs/>
                <w:szCs w:val="24"/>
              </w:rPr>
            </w:pPr>
            <w:r w:rsidRPr="00162625">
              <w:rPr>
                <w:rFonts w:asciiTheme="minorHAnsi" w:hAnsiTheme="minorHAnsi" w:cstheme="minorHAnsi"/>
                <w:b/>
                <w:bCs/>
                <w:szCs w:val="24"/>
              </w:rPr>
              <w:t>Capability</w:t>
            </w:r>
          </w:p>
        </w:tc>
      </w:tr>
      <w:tr w:rsidR="00283480" w:rsidRPr="00162625" w14:paraId="6620DC78" w14:textId="77777777" w:rsidTr="00356945">
        <w:tc>
          <w:tcPr>
            <w:tcW w:w="567" w:type="dxa"/>
            <w:shd w:val="clear" w:color="auto" w:fill="E2EFD9" w:themeFill="accent6" w:themeFillTint="33"/>
          </w:tcPr>
          <w:p w14:paraId="58990972" w14:textId="02C76D07" w:rsidR="00283480" w:rsidRPr="00162625" w:rsidRDefault="004D328C" w:rsidP="00162625">
            <w:pPr>
              <w:pStyle w:val="Tablecopy"/>
              <w:rPr>
                <w:rFonts w:asciiTheme="minorHAnsi" w:hAnsiTheme="minorHAnsi" w:cstheme="minorHAnsi"/>
                <w:szCs w:val="24"/>
              </w:rPr>
            </w:pPr>
            <w:r w:rsidRPr="00162625">
              <w:rPr>
                <w:rFonts w:asciiTheme="minorHAnsi" w:hAnsiTheme="minorHAnsi" w:cstheme="minorHAnsi"/>
                <w:szCs w:val="24"/>
              </w:rPr>
              <w:t>21</w:t>
            </w:r>
          </w:p>
        </w:tc>
        <w:tc>
          <w:tcPr>
            <w:tcW w:w="5102" w:type="dxa"/>
            <w:shd w:val="clear" w:color="auto" w:fill="E2EFD9" w:themeFill="accent6" w:themeFillTint="33"/>
          </w:tcPr>
          <w:p w14:paraId="020C4BDC" w14:textId="37AE4D41" w:rsidR="00283480" w:rsidRPr="00162625" w:rsidRDefault="004D328C"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government implement and fund a functional leadership model to develop capability across the TSS. That heads of agency lead the development of a functional leadership program for key whole-of-government capabilities, including clear governance for identifying capabilities for functional leadership, for empowering functional leaders and for holding them to account.</w:t>
            </w:r>
          </w:p>
        </w:tc>
        <w:tc>
          <w:tcPr>
            <w:tcW w:w="3402" w:type="dxa"/>
            <w:shd w:val="clear" w:color="auto" w:fill="E2EFD9" w:themeFill="accent6" w:themeFillTint="33"/>
          </w:tcPr>
          <w:p w14:paraId="2CC6EA8D" w14:textId="1C0A55B7" w:rsidR="00283480" w:rsidRPr="00162625" w:rsidRDefault="00FC0C30" w:rsidP="00162625">
            <w:pPr>
              <w:pStyle w:val="Tablecopy"/>
              <w:rPr>
                <w:rFonts w:asciiTheme="minorHAnsi" w:hAnsiTheme="minorHAnsi" w:cstheme="minorHAnsi"/>
                <w:b/>
                <w:bCs/>
                <w:szCs w:val="24"/>
              </w:rPr>
            </w:pPr>
            <w:r w:rsidRPr="00162625">
              <w:rPr>
                <w:rFonts w:asciiTheme="minorHAnsi" w:hAnsiTheme="minorHAnsi" w:cstheme="minorHAnsi"/>
                <w:b/>
                <w:bCs/>
                <w:szCs w:val="24"/>
              </w:rPr>
              <w:t>Capability</w:t>
            </w:r>
          </w:p>
        </w:tc>
      </w:tr>
      <w:tr w:rsidR="00F30029" w:rsidRPr="00162625" w14:paraId="5189D3AF" w14:textId="77777777" w:rsidTr="00162625">
        <w:tc>
          <w:tcPr>
            <w:tcW w:w="567" w:type="dxa"/>
            <w:shd w:val="clear" w:color="auto" w:fill="FBE4D5" w:themeFill="accent2" w:themeFillTint="33"/>
          </w:tcPr>
          <w:p w14:paraId="507ADE67" w14:textId="7AE7261B" w:rsidR="00F30029" w:rsidRPr="00162625" w:rsidRDefault="00F30029" w:rsidP="00162625">
            <w:pPr>
              <w:pStyle w:val="Tablecopy"/>
              <w:rPr>
                <w:rFonts w:asciiTheme="minorHAnsi" w:hAnsiTheme="minorHAnsi" w:cstheme="minorHAnsi"/>
                <w:szCs w:val="24"/>
              </w:rPr>
            </w:pPr>
            <w:r w:rsidRPr="00162625">
              <w:rPr>
                <w:rFonts w:asciiTheme="minorHAnsi" w:hAnsiTheme="minorHAnsi" w:cstheme="minorHAnsi"/>
                <w:szCs w:val="24"/>
              </w:rPr>
              <w:t>34</w:t>
            </w:r>
          </w:p>
        </w:tc>
        <w:tc>
          <w:tcPr>
            <w:tcW w:w="5102" w:type="dxa"/>
            <w:shd w:val="clear" w:color="auto" w:fill="FBE4D5" w:themeFill="accent2" w:themeFillTint="33"/>
          </w:tcPr>
          <w:p w14:paraId="14B2FCF9" w14:textId="66ED61B5" w:rsidR="00F30029" w:rsidRPr="00162625" w:rsidRDefault="00D74427" w:rsidP="00162625">
            <w:pPr>
              <w:pStyle w:val="Tablecopy"/>
              <w:rPr>
                <w:rFonts w:asciiTheme="minorHAnsi" w:eastAsia="Gill Sans MT" w:hAnsiTheme="minorHAnsi" w:cstheme="minorHAnsi"/>
                <w:color w:val="262626" w:themeColor="text1" w:themeTint="D9"/>
                <w:szCs w:val="24"/>
              </w:rPr>
            </w:pPr>
            <w:r w:rsidRPr="00162625">
              <w:rPr>
                <w:rFonts w:asciiTheme="minorHAnsi" w:eastAsia="Times New Roman" w:hAnsiTheme="minorHAnsi" w:cstheme="minorHAnsi"/>
                <w:color w:val="262626" w:themeColor="text1" w:themeTint="D9"/>
                <w:szCs w:val="24"/>
              </w:rPr>
              <w:t>That the Department of Health continue to develop the Human Resource Information System (HRIS) to provide the foundation for a whole-of-government system, with clear whole-of-government business requirements for accurate and timely reporting to heads of agency, the Head of the State Service, the Employer and Parliament.</w:t>
            </w:r>
          </w:p>
        </w:tc>
        <w:tc>
          <w:tcPr>
            <w:tcW w:w="3402" w:type="dxa"/>
            <w:shd w:val="clear" w:color="auto" w:fill="FBE4D5" w:themeFill="accent2" w:themeFillTint="33"/>
          </w:tcPr>
          <w:p w14:paraId="319F90FC" w14:textId="57950C70" w:rsidR="00F30029" w:rsidRPr="00162625" w:rsidRDefault="00FC0C30"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4D328C" w:rsidRPr="00162625" w14:paraId="026F799E" w14:textId="77777777" w:rsidTr="00162625">
        <w:tc>
          <w:tcPr>
            <w:tcW w:w="567" w:type="dxa"/>
            <w:shd w:val="clear" w:color="auto" w:fill="FBE4D5" w:themeFill="accent2" w:themeFillTint="33"/>
          </w:tcPr>
          <w:p w14:paraId="0D7F779F" w14:textId="13A70ECA" w:rsidR="004D328C" w:rsidRPr="00162625" w:rsidRDefault="002432F9" w:rsidP="00162625">
            <w:pPr>
              <w:pStyle w:val="Tablecopy"/>
              <w:rPr>
                <w:rFonts w:asciiTheme="minorHAnsi" w:hAnsiTheme="minorHAnsi" w:cstheme="minorHAnsi"/>
                <w:szCs w:val="24"/>
              </w:rPr>
            </w:pPr>
            <w:r w:rsidRPr="00162625">
              <w:rPr>
                <w:rFonts w:asciiTheme="minorHAnsi" w:hAnsiTheme="minorHAnsi" w:cstheme="minorHAnsi"/>
                <w:szCs w:val="24"/>
              </w:rPr>
              <w:t>35</w:t>
            </w:r>
          </w:p>
        </w:tc>
        <w:tc>
          <w:tcPr>
            <w:tcW w:w="5102" w:type="dxa"/>
            <w:shd w:val="clear" w:color="auto" w:fill="FBE4D5" w:themeFill="accent2" w:themeFillTint="33"/>
          </w:tcPr>
          <w:p w14:paraId="6E1CD185" w14:textId="25BB0177" w:rsidR="004D328C" w:rsidRPr="00162625" w:rsidRDefault="0028577C"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Operational employment-related decisions be delegated to heads of agency unless centralised decision-making can be justified in terms of high risk to the government or the service. The Head of the State Service provide advice to the Employer on decisions that should be made centrally and the risks that this approach is seeking to manage. That the Head of the State Service develop and implement a reporting framework to ensure that heads of agency are accountable for complying with directions and policies established by the Employer.</w:t>
            </w:r>
          </w:p>
        </w:tc>
        <w:tc>
          <w:tcPr>
            <w:tcW w:w="3402" w:type="dxa"/>
            <w:shd w:val="clear" w:color="auto" w:fill="FBE4D5" w:themeFill="accent2" w:themeFillTint="33"/>
          </w:tcPr>
          <w:p w14:paraId="629ED573" w14:textId="530A74F3" w:rsidR="004D328C" w:rsidRPr="00162625" w:rsidRDefault="00FC0C30"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AD3729" w:rsidRPr="00162625" w14:paraId="2668E632" w14:textId="77777777" w:rsidTr="00162625">
        <w:tc>
          <w:tcPr>
            <w:tcW w:w="567" w:type="dxa"/>
            <w:shd w:val="clear" w:color="auto" w:fill="FBE4D5" w:themeFill="accent2" w:themeFillTint="33"/>
          </w:tcPr>
          <w:p w14:paraId="4CAF2CD8" w14:textId="5664E275" w:rsidR="00AD3729" w:rsidRPr="00162625" w:rsidRDefault="0028577C" w:rsidP="00162625">
            <w:pPr>
              <w:pStyle w:val="Tablecopy"/>
              <w:rPr>
                <w:rFonts w:asciiTheme="minorHAnsi" w:hAnsiTheme="minorHAnsi" w:cstheme="minorHAnsi"/>
                <w:szCs w:val="24"/>
              </w:rPr>
            </w:pPr>
            <w:r w:rsidRPr="00162625">
              <w:rPr>
                <w:rFonts w:asciiTheme="minorHAnsi" w:hAnsiTheme="minorHAnsi" w:cstheme="minorHAnsi"/>
                <w:szCs w:val="24"/>
              </w:rPr>
              <w:t>37</w:t>
            </w:r>
          </w:p>
        </w:tc>
        <w:tc>
          <w:tcPr>
            <w:tcW w:w="5102" w:type="dxa"/>
            <w:shd w:val="clear" w:color="auto" w:fill="FBE4D5" w:themeFill="accent2" w:themeFillTint="33"/>
          </w:tcPr>
          <w:p w14:paraId="77584A09" w14:textId="6235E5E7" w:rsidR="00AD3729" w:rsidRPr="00162625" w:rsidRDefault="0052543B" w:rsidP="00162625">
            <w:pPr>
              <w:pStyle w:val="Tablecopy"/>
              <w:rPr>
                <w:rFonts w:asciiTheme="minorHAnsi" w:eastAsia="Gill Sans MT" w:hAnsiTheme="minorHAnsi" w:cstheme="minorHAnsi"/>
                <w:color w:val="262626" w:themeColor="text1" w:themeTint="D9"/>
                <w:szCs w:val="24"/>
              </w:rPr>
            </w:pPr>
            <w:r w:rsidRPr="00162625">
              <w:rPr>
                <w:rFonts w:asciiTheme="minorHAnsi" w:eastAsia="Times New Roman" w:hAnsiTheme="minorHAnsi" w:cstheme="minorHAnsi"/>
                <w:color w:val="262626" w:themeColor="text1" w:themeTint="D9"/>
                <w:szCs w:val="24"/>
              </w:rPr>
              <w:t>That the Employer progressively revoke all superfluous employment directions with necessary material translated into TSS practice guides or other suitable instruments. That the SSMO, in consultation with state government agencies, rewrite remaining employment directions as standards-based directions, with increased flexibility for agency decision-making and process design.</w:t>
            </w:r>
          </w:p>
        </w:tc>
        <w:tc>
          <w:tcPr>
            <w:tcW w:w="3402" w:type="dxa"/>
            <w:shd w:val="clear" w:color="auto" w:fill="FBE4D5" w:themeFill="accent2" w:themeFillTint="33"/>
          </w:tcPr>
          <w:p w14:paraId="111D26DF" w14:textId="56F173A2" w:rsidR="00AD3729"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AB6432" w:rsidRPr="00162625" w14:paraId="4D570187" w14:textId="77777777" w:rsidTr="00162625">
        <w:tc>
          <w:tcPr>
            <w:tcW w:w="567" w:type="dxa"/>
            <w:shd w:val="clear" w:color="auto" w:fill="FBE4D5" w:themeFill="accent2" w:themeFillTint="33"/>
          </w:tcPr>
          <w:p w14:paraId="4A7C8E0A" w14:textId="11DECC4C" w:rsidR="00AB6432" w:rsidRPr="00162625" w:rsidRDefault="00AB6432" w:rsidP="00162625">
            <w:pPr>
              <w:pStyle w:val="Tablecopy"/>
              <w:rPr>
                <w:rFonts w:asciiTheme="minorHAnsi" w:hAnsiTheme="minorHAnsi" w:cstheme="minorHAnsi"/>
                <w:szCs w:val="24"/>
              </w:rPr>
            </w:pPr>
            <w:r w:rsidRPr="00162625">
              <w:rPr>
                <w:rFonts w:asciiTheme="minorHAnsi" w:hAnsiTheme="minorHAnsi" w:cstheme="minorHAnsi"/>
                <w:szCs w:val="24"/>
              </w:rPr>
              <w:t>38</w:t>
            </w:r>
          </w:p>
        </w:tc>
        <w:tc>
          <w:tcPr>
            <w:tcW w:w="5102" w:type="dxa"/>
            <w:shd w:val="clear" w:color="auto" w:fill="FBE4D5" w:themeFill="accent2" w:themeFillTint="33"/>
          </w:tcPr>
          <w:p w14:paraId="2761E0A3" w14:textId="2B502E71" w:rsidR="00AB6432" w:rsidRPr="00162625" w:rsidRDefault="00AB6432"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TSS develop a whole-of-government framework for recording, reporting and analysing workforce data to inform workforce planning.</w:t>
            </w:r>
          </w:p>
        </w:tc>
        <w:tc>
          <w:tcPr>
            <w:tcW w:w="3402" w:type="dxa"/>
            <w:shd w:val="clear" w:color="auto" w:fill="FBE4D5" w:themeFill="accent2" w:themeFillTint="33"/>
          </w:tcPr>
          <w:p w14:paraId="70F3A03C" w14:textId="1D2207CC" w:rsidR="00AB6432"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D1472B" w:rsidRPr="00162625" w14:paraId="49C9AC46" w14:textId="77777777" w:rsidTr="00162625">
        <w:tc>
          <w:tcPr>
            <w:tcW w:w="567" w:type="dxa"/>
            <w:shd w:val="clear" w:color="auto" w:fill="FBE4D5" w:themeFill="accent2" w:themeFillTint="33"/>
          </w:tcPr>
          <w:p w14:paraId="39E45725" w14:textId="12EF174C" w:rsidR="00D1472B" w:rsidRPr="00162625" w:rsidRDefault="00D1472B" w:rsidP="00162625">
            <w:pPr>
              <w:pStyle w:val="Tablecopy"/>
              <w:rPr>
                <w:rFonts w:asciiTheme="minorHAnsi" w:hAnsiTheme="minorHAnsi" w:cstheme="minorHAnsi"/>
                <w:szCs w:val="24"/>
              </w:rPr>
            </w:pPr>
            <w:r w:rsidRPr="00162625">
              <w:rPr>
                <w:rFonts w:asciiTheme="minorHAnsi" w:hAnsiTheme="minorHAnsi" w:cstheme="minorHAnsi"/>
                <w:szCs w:val="24"/>
              </w:rPr>
              <w:t>41</w:t>
            </w:r>
          </w:p>
        </w:tc>
        <w:tc>
          <w:tcPr>
            <w:tcW w:w="5102" w:type="dxa"/>
            <w:shd w:val="clear" w:color="auto" w:fill="FBE4D5" w:themeFill="accent2" w:themeFillTint="33"/>
          </w:tcPr>
          <w:p w14:paraId="07EFF618" w14:textId="2615E6D1" w:rsidR="00D1472B" w:rsidRPr="00162625" w:rsidRDefault="002768B2"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Increase the number of placements available in the graduate, cadet and traineeship programs to create more employment opportunities for young people in the TSS.</w:t>
            </w:r>
          </w:p>
        </w:tc>
        <w:tc>
          <w:tcPr>
            <w:tcW w:w="3402" w:type="dxa"/>
            <w:shd w:val="clear" w:color="auto" w:fill="FBE4D5" w:themeFill="accent2" w:themeFillTint="33"/>
          </w:tcPr>
          <w:p w14:paraId="1BC0AD6B" w14:textId="63C7F353" w:rsidR="00D1472B"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AD3729" w:rsidRPr="00162625" w14:paraId="03E16920" w14:textId="77777777" w:rsidTr="00162625">
        <w:tc>
          <w:tcPr>
            <w:tcW w:w="567" w:type="dxa"/>
            <w:shd w:val="clear" w:color="auto" w:fill="FBE4D5" w:themeFill="accent2" w:themeFillTint="33"/>
          </w:tcPr>
          <w:p w14:paraId="0C7D00C2" w14:textId="753D8251" w:rsidR="00AD3729" w:rsidRPr="00162625" w:rsidRDefault="0052543B" w:rsidP="00162625">
            <w:pPr>
              <w:pStyle w:val="Tablecopy"/>
              <w:rPr>
                <w:rFonts w:asciiTheme="minorHAnsi" w:hAnsiTheme="minorHAnsi" w:cstheme="minorHAnsi"/>
                <w:szCs w:val="24"/>
              </w:rPr>
            </w:pPr>
            <w:r w:rsidRPr="00162625">
              <w:rPr>
                <w:rFonts w:asciiTheme="minorHAnsi" w:hAnsiTheme="minorHAnsi" w:cstheme="minorHAnsi"/>
                <w:szCs w:val="24"/>
              </w:rPr>
              <w:t>43</w:t>
            </w:r>
          </w:p>
        </w:tc>
        <w:tc>
          <w:tcPr>
            <w:tcW w:w="5102" w:type="dxa"/>
            <w:shd w:val="clear" w:color="auto" w:fill="FBE4D5" w:themeFill="accent2" w:themeFillTint="33"/>
          </w:tcPr>
          <w:p w14:paraId="3292BC96" w14:textId="6D2720CA" w:rsidR="00AD3729" w:rsidRPr="00162625" w:rsidRDefault="00994912"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Amend the Act to include the power to make, in regulations, the timeframe for an employee to notify their intention to apply for a review under section 50(1) of the Act. Make a regulation prescribing a timeframe for lodging a notice of intention to seek a selection review.</w:t>
            </w:r>
          </w:p>
        </w:tc>
        <w:tc>
          <w:tcPr>
            <w:tcW w:w="3402" w:type="dxa"/>
            <w:shd w:val="clear" w:color="auto" w:fill="FBE4D5" w:themeFill="accent2" w:themeFillTint="33"/>
          </w:tcPr>
          <w:p w14:paraId="4259A37A" w14:textId="79D6B5C2" w:rsidR="00AD3729"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BB6650" w:rsidRPr="00162625" w14:paraId="1EB94A90" w14:textId="77777777" w:rsidTr="00162625">
        <w:tc>
          <w:tcPr>
            <w:tcW w:w="567" w:type="dxa"/>
            <w:shd w:val="clear" w:color="auto" w:fill="FBE4D5" w:themeFill="accent2" w:themeFillTint="33"/>
          </w:tcPr>
          <w:p w14:paraId="74AFC082" w14:textId="2F3D30EF" w:rsidR="00BB6650" w:rsidRPr="00162625" w:rsidRDefault="00BB6650" w:rsidP="00162625">
            <w:pPr>
              <w:pStyle w:val="Tablecopy"/>
              <w:rPr>
                <w:rFonts w:asciiTheme="minorHAnsi" w:hAnsiTheme="minorHAnsi" w:cstheme="minorHAnsi"/>
                <w:szCs w:val="24"/>
              </w:rPr>
            </w:pPr>
            <w:r w:rsidRPr="00162625">
              <w:rPr>
                <w:rFonts w:asciiTheme="minorHAnsi" w:hAnsiTheme="minorHAnsi" w:cstheme="minorHAnsi"/>
                <w:szCs w:val="24"/>
              </w:rPr>
              <w:t>46</w:t>
            </w:r>
          </w:p>
        </w:tc>
        <w:tc>
          <w:tcPr>
            <w:tcW w:w="5102" w:type="dxa"/>
            <w:shd w:val="clear" w:color="auto" w:fill="FBE4D5" w:themeFill="accent2" w:themeFillTint="33"/>
          </w:tcPr>
          <w:p w14:paraId="15792806" w14:textId="50431362" w:rsidR="00BB6650" w:rsidRPr="00162625" w:rsidRDefault="000426C2"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Head of the State Service and heads of agency develop a standard approach to the management of fixed-term transfers across the TSS.</w:t>
            </w:r>
          </w:p>
        </w:tc>
        <w:tc>
          <w:tcPr>
            <w:tcW w:w="3402" w:type="dxa"/>
            <w:shd w:val="clear" w:color="auto" w:fill="FBE4D5" w:themeFill="accent2" w:themeFillTint="33"/>
          </w:tcPr>
          <w:p w14:paraId="64013E20" w14:textId="46F8A953" w:rsidR="00BB6650"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0426C2" w:rsidRPr="00162625" w14:paraId="3A8D6C88" w14:textId="77777777" w:rsidTr="00162625">
        <w:tc>
          <w:tcPr>
            <w:tcW w:w="567" w:type="dxa"/>
            <w:shd w:val="clear" w:color="auto" w:fill="FBE4D5" w:themeFill="accent2" w:themeFillTint="33"/>
          </w:tcPr>
          <w:p w14:paraId="0C902320" w14:textId="5A93BEDA" w:rsidR="000426C2" w:rsidRPr="00162625" w:rsidRDefault="000426C2" w:rsidP="00162625">
            <w:pPr>
              <w:pStyle w:val="Tablecopy"/>
              <w:rPr>
                <w:rFonts w:asciiTheme="minorHAnsi" w:hAnsiTheme="minorHAnsi" w:cstheme="minorHAnsi"/>
                <w:szCs w:val="24"/>
              </w:rPr>
            </w:pPr>
            <w:r w:rsidRPr="00162625">
              <w:rPr>
                <w:rFonts w:asciiTheme="minorHAnsi" w:hAnsiTheme="minorHAnsi" w:cstheme="minorHAnsi"/>
                <w:szCs w:val="24"/>
              </w:rPr>
              <w:t>49</w:t>
            </w:r>
          </w:p>
        </w:tc>
        <w:tc>
          <w:tcPr>
            <w:tcW w:w="5102" w:type="dxa"/>
            <w:shd w:val="clear" w:color="auto" w:fill="FBE4D5" w:themeFill="accent2" w:themeFillTint="33"/>
          </w:tcPr>
          <w:p w14:paraId="10A028EB" w14:textId="29A7C852" w:rsidR="000426C2" w:rsidRPr="00162625" w:rsidRDefault="00A33636"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SSMO continue to explore options for the creation of an internal mobility register with relevant unions.</w:t>
            </w:r>
          </w:p>
        </w:tc>
        <w:tc>
          <w:tcPr>
            <w:tcW w:w="3402" w:type="dxa"/>
            <w:shd w:val="clear" w:color="auto" w:fill="FBE4D5" w:themeFill="accent2" w:themeFillTint="33"/>
          </w:tcPr>
          <w:p w14:paraId="6B4E6BE0" w14:textId="02F9FB9A" w:rsidR="000426C2" w:rsidRPr="00162625" w:rsidRDefault="007017F8"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B71C20" w:rsidRPr="00162625" w14:paraId="0057B493" w14:textId="77777777" w:rsidTr="00162625">
        <w:tc>
          <w:tcPr>
            <w:tcW w:w="567" w:type="dxa"/>
            <w:shd w:val="clear" w:color="auto" w:fill="FBE4D5" w:themeFill="accent2" w:themeFillTint="33"/>
          </w:tcPr>
          <w:p w14:paraId="54C15543" w14:textId="6E25BB0C" w:rsidR="00B71C20" w:rsidRPr="00162625" w:rsidRDefault="00B71C20" w:rsidP="00162625">
            <w:pPr>
              <w:pStyle w:val="Tablecopy"/>
              <w:rPr>
                <w:rFonts w:asciiTheme="minorHAnsi" w:hAnsiTheme="minorHAnsi" w:cstheme="minorHAnsi"/>
                <w:szCs w:val="24"/>
              </w:rPr>
            </w:pPr>
            <w:r w:rsidRPr="00162625">
              <w:rPr>
                <w:rFonts w:asciiTheme="minorHAnsi" w:hAnsiTheme="minorHAnsi" w:cstheme="minorHAnsi"/>
                <w:szCs w:val="24"/>
              </w:rPr>
              <w:t>50</w:t>
            </w:r>
          </w:p>
        </w:tc>
        <w:tc>
          <w:tcPr>
            <w:tcW w:w="5102" w:type="dxa"/>
            <w:shd w:val="clear" w:color="auto" w:fill="FBE4D5" w:themeFill="accent2" w:themeFillTint="33"/>
          </w:tcPr>
          <w:p w14:paraId="17F0C628" w14:textId="78769807" w:rsidR="00B71C20" w:rsidRPr="00162625" w:rsidRDefault="0021463B"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SSMO lead the development and implementation of a whole-of-service TSS employee capability framework.</w:t>
            </w:r>
          </w:p>
        </w:tc>
        <w:tc>
          <w:tcPr>
            <w:tcW w:w="3402" w:type="dxa"/>
            <w:shd w:val="clear" w:color="auto" w:fill="FBE4D5" w:themeFill="accent2" w:themeFillTint="33"/>
          </w:tcPr>
          <w:p w14:paraId="0AEEA5B5" w14:textId="6323F3F0" w:rsidR="00B71C20" w:rsidRPr="00162625" w:rsidRDefault="00A97266"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B71C20" w:rsidRPr="00162625" w14:paraId="5E7D2161" w14:textId="77777777" w:rsidTr="00162625">
        <w:tc>
          <w:tcPr>
            <w:tcW w:w="567" w:type="dxa"/>
            <w:shd w:val="clear" w:color="auto" w:fill="FBE4D5" w:themeFill="accent2" w:themeFillTint="33"/>
          </w:tcPr>
          <w:p w14:paraId="01B0741A" w14:textId="7DA752FD" w:rsidR="00B71C20" w:rsidRPr="00162625" w:rsidRDefault="00B71C20" w:rsidP="00162625">
            <w:pPr>
              <w:pStyle w:val="Tablecopy"/>
              <w:rPr>
                <w:rFonts w:asciiTheme="minorHAnsi" w:hAnsiTheme="minorHAnsi" w:cstheme="minorHAnsi"/>
                <w:szCs w:val="24"/>
              </w:rPr>
            </w:pPr>
            <w:r w:rsidRPr="00162625">
              <w:rPr>
                <w:rFonts w:asciiTheme="minorHAnsi" w:hAnsiTheme="minorHAnsi" w:cstheme="minorHAnsi"/>
                <w:szCs w:val="24"/>
              </w:rPr>
              <w:t>51</w:t>
            </w:r>
          </w:p>
        </w:tc>
        <w:tc>
          <w:tcPr>
            <w:tcW w:w="5102" w:type="dxa"/>
            <w:shd w:val="clear" w:color="auto" w:fill="FBE4D5" w:themeFill="accent2" w:themeFillTint="33"/>
          </w:tcPr>
          <w:p w14:paraId="6962C0E4" w14:textId="6A147B58" w:rsidR="00B71C20" w:rsidRPr="00162625" w:rsidRDefault="00117664"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TSS develop tools, including an employee self-assessment tool, to support the embedding of the employee capability framework into capability development across the TSS. That the TSS reorganise existing training and professional development programs where appropriate to align with the employee capability framework.</w:t>
            </w:r>
          </w:p>
        </w:tc>
        <w:tc>
          <w:tcPr>
            <w:tcW w:w="3402" w:type="dxa"/>
            <w:shd w:val="clear" w:color="auto" w:fill="FBE4D5" w:themeFill="accent2" w:themeFillTint="33"/>
          </w:tcPr>
          <w:p w14:paraId="0C8ED48F" w14:textId="158C932C" w:rsidR="00B71C20" w:rsidRPr="00162625" w:rsidRDefault="00A97266"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117664" w:rsidRPr="00162625" w14:paraId="18461118" w14:textId="77777777" w:rsidTr="00162625">
        <w:tc>
          <w:tcPr>
            <w:tcW w:w="567" w:type="dxa"/>
            <w:shd w:val="clear" w:color="auto" w:fill="FBE4D5" w:themeFill="accent2" w:themeFillTint="33"/>
          </w:tcPr>
          <w:p w14:paraId="32F739E2" w14:textId="566D6717" w:rsidR="00117664" w:rsidRPr="00162625" w:rsidRDefault="00117664" w:rsidP="00162625">
            <w:pPr>
              <w:pStyle w:val="Tablecopy"/>
              <w:rPr>
                <w:rFonts w:asciiTheme="minorHAnsi" w:hAnsiTheme="minorHAnsi" w:cstheme="minorHAnsi"/>
                <w:szCs w:val="24"/>
              </w:rPr>
            </w:pPr>
            <w:r w:rsidRPr="00162625">
              <w:rPr>
                <w:rFonts w:asciiTheme="minorHAnsi" w:hAnsiTheme="minorHAnsi" w:cstheme="minorHAnsi"/>
                <w:szCs w:val="24"/>
              </w:rPr>
              <w:t>54</w:t>
            </w:r>
          </w:p>
        </w:tc>
        <w:tc>
          <w:tcPr>
            <w:tcW w:w="5102" w:type="dxa"/>
            <w:shd w:val="clear" w:color="auto" w:fill="FBE4D5" w:themeFill="accent2" w:themeFillTint="33"/>
          </w:tcPr>
          <w:p w14:paraId="51746359" w14:textId="5E89456E" w:rsidR="00117664" w:rsidRPr="00162625" w:rsidRDefault="00BB6650"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all agencies, in collaboration as appropriate, implement the Auditor-General’s recommendations on the management of underperformance concurrent with a centrally led review of Employment Direction 26 and related processes.</w:t>
            </w:r>
          </w:p>
        </w:tc>
        <w:tc>
          <w:tcPr>
            <w:tcW w:w="3402" w:type="dxa"/>
            <w:shd w:val="clear" w:color="auto" w:fill="FBE4D5" w:themeFill="accent2" w:themeFillTint="33"/>
          </w:tcPr>
          <w:p w14:paraId="79143BC6" w14:textId="118B35C6" w:rsidR="00117664" w:rsidRPr="00162625" w:rsidRDefault="00A97266"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E02951" w:rsidRPr="00162625" w14:paraId="2017CF9B" w14:textId="77777777" w:rsidTr="00162625">
        <w:tc>
          <w:tcPr>
            <w:tcW w:w="567" w:type="dxa"/>
            <w:shd w:val="clear" w:color="auto" w:fill="FBE4D5" w:themeFill="accent2" w:themeFillTint="33"/>
          </w:tcPr>
          <w:p w14:paraId="228FEEEC" w14:textId="4A46958F" w:rsidR="00E02951" w:rsidRPr="00162625" w:rsidRDefault="00826C75" w:rsidP="00162625">
            <w:pPr>
              <w:pStyle w:val="Tablecopy"/>
              <w:rPr>
                <w:rFonts w:asciiTheme="minorHAnsi" w:hAnsiTheme="minorHAnsi" w:cstheme="minorHAnsi"/>
                <w:szCs w:val="24"/>
              </w:rPr>
            </w:pPr>
            <w:r w:rsidRPr="00162625">
              <w:rPr>
                <w:rFonts w:asciiTheme="minorHAnsi" w:hAnsiTheme="minorHAnsi" w:cstheme="minorHAnsi"/>
                <w:szCs w:val="24"/>
              </w:rPr>
              <w:t>57</w:t>
            </w:r>
          </w:p>
        </w:tc>
        <w:tc>
          <w:tcPr>
            <w:tcW w:w="5102" w:type="dxa"/>
            <w:shd w:val="clear" w:color="auto" w:fill="FBE4D5" w:themeFill="accent2" w:themeFillTint="33"/>
          </w:tcPr>
          <w:p w14:paraId="06CD8BC9" w14:textId="70692173" w:rsidR="00E02951" w:rsidRPr="00162625" w:rsidRDefault="00EC08B4" w:rsidP="00162625">
            <w:pPr>
              <w:pStyle w:val="Tablecopy"/>
              <w:rPr>
                <w:rFonts w:asciiTheme="minorHAnsi" w:eastAsia="Gill Sans MT" w:hAnsiTheme="minorHAnsi" w:cstheme="minorHAnsi"/>
                <w:color w:val="262626" w:themeColor="text1" w:themeTint="D9"/>
                <w:szCs w:val="24"/>
              </w:rPr>
            </w:pPr>
            <w:r w:rsidRPr="00162625">
              <w:rPr>
                <w:rFonts w:asciiTheme="minorHAnsi" w:eastAsia="Times New Roman" w:hAnsiTheme="minorHAnsi" w:cstheme="minorHAnsi"/>
                <w:color w:val="262626" w:themeColor="text1" w:themeTint="D9"/>
                <w:szCs w:val="24"/>
              </w:rPr>
              <w:t>Amend Regulation 29 of the State Service Regulations to include dismissal of an employee for reasons of serious misconduct as specified in the Fair Work regulations.</w:t>
            </w:r>
          </w:p>
        </w:tc>
        <w:tc>
          <w:tcPr>
            <w:tcW w:w="3402" w:type="dxa"/>
            <w:shd w:val="clear" w:color="auto" w:fill="FBE4D5" w:themeFill="accent2" w:themeFillTint="33"/>
          </w:tcPr>
          <w:p w14:paraId="16784C67" w14:textId="7E16BA8D" w:rsidR="00E02951" w:rsidRPr="00162625" w:rsidRDefault="00A97266"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AD3729" w:rsidRPr="00162625" w14:paraId="5CBCB420" w14:textId="77777777" w:rsidTr="00162625">
        <w:tc>
          <w:tcPr>
            <w:tcW w:w="567" w:type="dxa"/>
            <w:shd w:val="clear" w:color="auto" w:fill="FBE4D5" w:themeFill="accent2" w:themeFillTint="33"/>
          </w:tcPr>
          <w:p w14:paraId="0BA68983" w14:textId="0BB0BA15" w:rsidR="00AD3729" w:rsidRPr="00162625" w:rsidRDefault="00994912" w:rsidP="00162625">
            <w:pPr>
              <w:pStyle w:val="Tablecopy"/>
              <w:rPr>
                <w:rFonts w:asciiTheme="minorHAnsi" w:hAnsiTheme="minorHAnsi" w:cstheme="minorHAnsi"/>
                <w:szCs w:val="24"/>
              </w:rPr>
            </w:pPr>
            <w:r w:rsidRPr="00162625">
              <w:rPr>
                <w:rFonts w:asciiTheme="minorHAnsi" w:hAnsiTheme="minorHAnsi" w:cstheme="minorHAnsi"/>
                <w:szCs w:val="24"/>
              </w:rPr>
              <w:t>59</w:t>
            </w:r>
          </w:p>
        </w:tc>
        <w:tc>
          <w:tcPr>
            <w:tcW w:w="5102" w:type="dxa"/>
            <w:shd w:val="clear" w:color="auto" w:fill="FBE4D5" w:themeFill="accent2" w:themeFillTint="33"/>
          </w:tcPr>
          <w:p w14:paraId="6C0B9E62" w14:textId="77777777" w:rsidR="0011083D" w:rsidRPr="00162625" w:rsidRDefault="0011083D"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Rewrite Employment Direction 6 to:</w:t>
            </w:r>
          </w:p>
          <w:p w14:paraId="14C8083F" w14:textId="77777777" w:rsidR="0011083D" w:rsidRPr="00162625" w:rsidRDefault="0011083D"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separate the processes for managing employees who have lost essential qualifications or accreditation from the process for assessing employees who are unable to perform the duties of their position for other reasons</w:t>
            </w:r>
          </w:p>
          <w:p w14:paraId="58F10910" w14:textId="77777777" w:rsidR="0011083D" w:rsidRPr="00162625" w:rsidRDefault="0011083D"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 xml:space="preserve">create a relatively simple process for the loss of qualification/accreditation </w:t>
            </w:r>
          </w:p>
          <w:p w14:paraId="0EF61AD1" w14:textId="31F5A326" w:rsidR="00AD3729" w:rsidRPr="00162625" w:rsidRDefault="0011083D"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prescribe the minimum standards to be met by agencies when otherwise assessing the ability of an employee to perform their duties</w:t>
            </w:r>
          </w:p>
        </w:tc>
        <w:tc>
          <w:tcPr>
            <w:tcW w:w="3402" w:type="dxa"/>
            <w:shd w:val="clear" w:color="auto" w:fill="FBE4D5" w:themeFill="accent2" w:themeFillTint="33"/>
          </w:tcPr>
          <w:p w14:paraId="126F8E8F" w14:textId="53E76D08" w:rsidR="00AD3729" w:rsidRPr="00162625" w:rsidRDefault="00A97266" w:rsidP="00162625">
            <w:pPr>
              <w:pStyle w:val="Tablecopy"/>
              <w:rPr>
                <w:rFonts w:asciiTheme="minorHAnsi" w:hAnsiTheme="minorHAnsi" w:cstheme="minorHAnsi"/>
                <w:b/>
                <w:bCs/>
                <w:szCs w:val="24"/>
              </w:rPr>
            </w:pPr>
            <w:r w:rsidRPr="00162625">
              <w:rPr>
                <w:rFonts w:asciiTheme="minorHAnsi" w:hAnsiTheme="minorHAnsi" w:cstheme="minorHAnsi"/>
                <w:b/>
                <w:bCs/>
                <w:szCs w:val="24"/>
              </w:rPr>
              <w:t>Workforce</w:t>
            </w:r>
          </w:p>
        </w:tc>
      </w:tr>
      <w:tr w:rsidR="00AD3729" w:rsidRPr="00162625" w14:paraId="05445620" w14:textId="77777777" w:rsidTr="00356945">
        <w:tc>
          <w:tcPr>
            <w:tcW w:w="567" w:type="dxa"/>
            <w:shd w:val="clear" w:color="auto" w:fill="D0CECE" w:themeFill="background2" w:themeFillShade="E6"/>
          </w:tcPr>
          <w:p w14:paraId="2E2AC65C" w14:textId="4A73D438" w:rsidR="00AD3729" w:rsidRPr="00162625" w:rsidRDefault="00AD3729" w:rsidP="00162625">
            <w:pPr>
              <w:pStyle w:val="Tablecopy"/>
              <w:rPr>
                <w:rFonts w:asciiTheme="minorHAnsi" w:hAnsiTheme="minorHAnsi" w:cstheme="minorHAnsi"/>
                <w:szCs w:val="24"/>
              </w:rPr>
            </w:pPr>
            <w:r w:rsidRPr="00162625">
              <w:rPr>
                <w:rFonts w:asciiTheme="minorHAnsi" w:hAnsiTheme="minorHAnsi" w:cstheme="minorHAnsi"/>
                <w:szCs w:val="24"/>
              </w:rPr>
              <w:t>76</w:t>
            </w:r>
          </w:p>
        </w:tc>
        <w:tc>
          <w:tcPr>
            <w:tcW w:w="5102" w:type="dxa"/>
            <w:shd w:val="clear" w:color="auto" w:fill="D0CECE" w:themeFill="background2" w:themeFillShade="E6"/>
          </w:tcPr>
          <w:p w14:paraId="3A0894EF" w14:textId="1588D545" w:rsidR="00AD3729" w:rsidRPr="00162625" w:rsidRDefault="00E907C4" w:rsidP="00162625">
            <w:pPr>
              <w:pStyle w:val="Tablecopy"/>
              <w:rPr>
                <w:rFonts w:asciiTheme="minorHAnsi" w:eastAsia="Gill Sans MT" w:hAnsiTheme="minorHAnsi" w:cstheme="minorHAnsi"/>
                <w:color w:val="262626" w:themeColor="text1" w:themeTint="D9"/>
                <w:szCs w:val="24"/>
              </w:rPr>
            </w:pPr>
            <w:r w:rsidRPr="00162625">
              <w:rPr>
                <w:rFonts w:asciiTheme="minorHAnsi" w:eastAsia="Gill Sans MT" w:hAnsiTheme="minorHAnsi" w:cstheme="minorHAnsi"/>
                <w:color w:val="262626" w:themeColor="text1" w:themeTint="D9"/>
                <w:szCs w:val="24"/>
              </w:rPr>
              <w:t>That the Government provide funding for the Department of Premier and Cabinet to establish a designated unit to monitor and support the implementation of recommendations across the TSS over a 3-year period.</w:t>
            </w:r>
          </w:p>
        </w:tc>
        <w:tc>
          <w:tcPr>
            <w:tcW w:w="3402" w:type="dxa"/>
            <w:shd w:val="clear" w:color="auto" w:fill="D0CECE" w:themeFill="background2" w:themeFillShade="E6"/>
          </w:tcPr>
          <w:p w14:paraId="764662AC" w14:textId="4348FDCF" w:rsidR="00AD3729" w:rsidRPr="00162625" w:rsidRDefault="00D632CF" w:rsidP="00162625">
            <w:pPr>
              <w:pStyle w:val="Tablecopy"/>
              <w:rPr>
                <w:rFonts w:asciiTheme="minorHAnsi" w:hAnsiTheme="minorHAnsi" w:cstheme="minorHAnsi"/>
                <w:b/>
                <w:bCs/>
                <w:szCs w:val="24"/>
              </w:rPr>
            </w:pPr>
            <w:r w:rsidRPr="00162625">
              <w:rPr>
                <w:rFonts w:asciiTheme="minorHAnsi" w:hAnsiTheme="minorHAnsi" w:cstheme="minorHAnsi"/>
                <w:b/>
                <w:bCs/>
                <w:szCs w:val="24"/>
              </w:rPr>
              <w:t>Service Delivery</w:t>
            </w:r>
          </w:p>
        </w:tc>
      </w:tr>
    </w:tbl>
    <w:p w14:paraId="32D91241" w14:textId="77777777" w:rsidR="008A6423" w:rsidRPr="00162625" w:rsidRDefault="008A6423" w:rsidP="00162625">
      <w:pPr>
        <w:pStyle w:val="Tablecopy"/>
        <w:rPr>
          <w:rFonts w:asciiTheme="minorHAnsi" w:hAnsiTheme="minorHAnsi" w:cstheme="minorHAnsi"/>
          <w:szCs w:val="24"/>
        </w:rPr>
      </w:pPr>
    </w:p>
    <w:p w14:paraId="0327435A" w14:textId="039DBBD1" w:rsidR="00457137" w:rsidRPr="0054510C" w:rsidRDefault="00B12F8E" w:rsidP="00162625">
      <w:pPr>
        <w:pStyle w:val="Heading1"/>
      </w:pPr>
      <w:r>
        <w:t>Reform</w:t>
      </w:r>
      <w:r w:rsidR="00457137" w:rsidRPr="0054510C">
        <w:t xml:space="preserve"> themes</w:t>
      </w:r>
    </w:p>
    <w:p w14:paraId="6A1E453F" w14:textId="52E52F75" w:rsidR="00B12F8E" w:rsidRDefault="00B12F8E" w:rsidP="00705C0E">
      <w:pPr>
        <w:rPr>
          <w:rFonts w:cs="Arial"/>
        </w:rPr>
      </w:pPr>
      <w:r>
        <w:rPr>
          <w:rFonts w:cs="Arial"/>
        </w:rPr>
        <w:t>Since the TSSR report was released, a range of factors have impacted the Tasmanian State Service’s focus in progressing the recommendations including the continued response to the impact of COVID-19 and the release of the Commission of Inquiry into the Tasmanian Government’s Responses to Child Sexual Abuse in Institutional Settings (CoI), to which the Government has committed to prioritising all 191 recommendations.</w:t>
      </w:r>
    </w:p>
    <w:p w14:paraId="7D9BE9FA" w14:textId="78EBA93D" w:rsidR="006723B0" w:rsidRDefault="004D3A03" w:rsidP="00705C0E">
      <w:pPr>
        <w:rPr>
          <w:rFonts w:cs="Arial"/>
        </w:rPr>
      </w:pPr>
      <w:r>
        <w:rPr>
          <w:rFonts w:cs="Arial"/>
        </w:rPr>
        <w:t xml:space="preserve">Work is currently underway to map the alignment of the TSSR Recommendations </w:t>
      </w:r>
      <w:r w:rsidR="00C023E1">
        <w:rPr>
          <w:rFonts w:cs="Arial"/>
        </w:rPr>
        <w:t>and identify themes with</w:t>
      </w:r>
      <w:r w:rsidR="00C724DB">
        <w:rPr>
          <w:rFonts w:cs="Arial"/>
        </w:rPr>
        <w:t xml:space="preserve"> other</w:t>
      </w:r>
      <w:r w:rsidR="00C023E1">
        <w:rPr>
          <w:rFonts w:cs="Arial"/>
        </w:rPr>
        <w:t xml:space="preserve"> State Service reform</w:t>
      </w:r>
      <w:r w:rsidR="00C724DB">
        <w:rPr>
          <w:rFonts w:cs="Arial"/>
        </w:rPr>
        <w:t xml:space="preserve"> including the Commission of Inquiry recommendations. </w:t>
      </w:r>
      <w:r w:rsidR="00AF10A2">
        <w:rPr>
          <w:rFonts w:cs="Arial"/>
        </w:rPr>
        <w:t>Currently 9 consistent themes have been identified</w:t>
      </w:r>
      <w:r w:rsidR="00162625">
        <w:rPr>
          <w:rFonts w:cs="Arial"/>
        </w:rPr>
        <w:br/>
      </w:r>
      <w:r w:rsidR="00D36968">
        <w:rPr>
          <w:rFonts w:cs="Arial"/>
        </w:rPr>
        <w:t>(Table 4).</w:t>
      </w:r>
    </w:p>
    <w:p w14:paraId="3D93500D" w14:textId="713433B5" w:rsidR="0054510C" w:rsidRPr="00356945" w:rsidRDefault="0054510C" w:rsidP="00356945">
      <w:pPr>
        <w:pStyle w:val="FooterCaption"/>
      </w:pPr>
      <w:r w:rsidRPr="008A6423">
        <w:t xml:space="preserve">Table </w:t>
      </w:r>
      <w:r>
        <w:t>4</w:t>
      </w:r>
      <w:r w:rsidRPr="008A6423">
        <w:t xml:space="preserve">: </w:t>
      </w:r>
      <w:r>
        <w:t>Reform themes</w:t>
      </w:r>
    </w:p>
    <w:tbl>
      <w:tblPr>
        <w:tblW w:w="9071" w:type="dxa"/>
        <w:tblCellMar>
          <w:left w:w="0" w:type="dxa"/>
          <w:right w:w="0" w:type="dxa"/>
        </w:tblCellMar>
        <w:tblLook w:val="0420" w:firstRow="1" w:lastRow="0" w:firstColumn="0" w:lastColumn="0" w:noHBand="0" w:noVBand="1"/>
      </w:tblPr>
      <w:tblGrid>
        <w:gridCol w:w="2268"/>
        <w:gridCol w:w="6803"/>
      </w:tblGrid>
      <w:tr w:rsidR="0054510C" w:rsidRPr="005D5BCF" w14:paraId="27D9CFC2" w14:textId="77777777" w:rsidTr="00356945">
        <w:trPr>
          <w:trHeight w:val="384"/>
          <w:tblHeader/>
        </w:trPr>
        <w:tc>
          <w:tcPr>
            <w:tcW w:w="2268" w:type="dxa"/>
            <w:tcBorders>
              <w:top w:val="single" w:sz="8" w:space="0" w:color="000000"/>
              <w:left w:val="single" w:sz="8" w:space="0" w:color="000000"/>
              <w:bottom w:val="single" w:sz="8" w:space="0" w:color="000000"/>
              <w:right w:val="single" w:sz="8" w:space="0" w:color="000000"/>
            </w:tcBorders>
            <w:shd w:val="clear" w:color="auto" w:fill="262626" w:themeFill="text1" w:themeFillTint="D9"/>
            <w:tcMar>
              <w:top w:w="72" w:type="dxa"/>
              <w:left w:w="144" w:type="dxa"/>
              <w:bottom w:w="72" w:type="dxa"/>
              <w:right w:w="144" w:type="dxa"/>
            </w:tcMar>
            <w:vAlign w:val="center"/>
            <w:hideMark/>
          </w:tcPr>
          <w:p w14:paraId="3B43C644" w14:textId="0B21CB26" w:rsidR="0054510C" w:rsidRPr="005D5BCF" w:rsidRDefault="0054510C" w:rsidP="00162625">
            <w:pPr>
              <w:pStyle w:val="Tableheader"/>
              <w:rPr>
                <w:sz w:val="36"/>
                <w:szCs w:val="36"/>
              </w:rPr>
            </w:pPr>
            <w:r w:rsidRPr="005D5BCF">
              <w:t>Theme</w:t>
            </w:r>
            <w:r>
              <w:t>s</w:t>
            </w:r>
            <w:r w:rsidRPr="005D5BCF">
              <w:t xml:space="preserve"> </w:t>
            </w:r>
          </w:p>
        </w:tc>
        <w:tc>
          <w:tcPr>
            <w:tcW w:w="6803" w:type="dxa"/>
            <w:tcBorders>
              <w:top w:val="single" w:sz="8" w:space="0" w:color="000000"/>
              <w:left w:val="single" w:sz="8" w:space="0" w:color="000000"/>
              <w:bottom w:val="single" w:sz="8" w:space="0" w:color="000000"/>
              <w:right w:val="single" w:sz="8" w:space="0" w:color="000000"/>
            </w:tcBorders>
            <w:shd w:val="clear" w:color="auto" w:fill="262626" w:themeFill="text1" w:themeFillTint="D9"/>
            <w:tcMar>
              <w:top w:w="72" w:type="dxa"/>
              <w:left w:w="144" w:type="dxa"/>
              <w:bottom w:w="72" w:type="dxa"/>
              <w:right w:w="144" w:type="dxa"/>
            </w:tcMar>
            <w:hideMark/>
          </w:tcPr>
          <w:p w14:paraId="3219EE5A" w14:textId="77777777" w:rsidR="0054510C" w:rsidRPr="005D5BCF" w:rsidRDefault="0054510C" w:rsidP="00162625">
            <w:pPr>
              <w:pStyle w:val="Tableheader"/>
              <w:rPr>
                <w:sz w:val="36"/>
                <w:szCs w:val="36"/>
              </w:rPr>
            </w:pPr>
            <w:r w:rsidRPr="005D5BCF">
              <w:t>Description</w:t>
            </w:r>
          </w:p>
        </w:tc>
      </w:tr>
      <w:tr w:rsidR="0054510C" w:rsidRPr="005D5BCF" w14:paraId="53F5BAFE"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BEEE9"/>
            <w:tcMar>
              <w:top w:w="72" w:type="dxa"/>
              <w:left w:w="144" w:type="dxa"/>
              <w:bottom w:w="72" w:type="dxa"/>
              <w:right w:w="144" w:type="dxa"/>
            </w:tcMar>
            <w:vAlign w:val="center"/>
            <w:hideMark/>
          </w:tcPr>
          <w:p w14:paraId="6A040FE1" w14:textId="77777777" w:rsidR="0054510C" w:rsidRPr="00162625" w:rsidRDefault="0054510C" w:rsidP="00162625">
            <w:pPr>
              <w:pStyle w:val="Tablecopy"/>
              <w:rPr>
                <w:b/>
                <w:bCs/>
                <w:sz w:val="36"/>
                <w:szCs w:val="36"/>
              </w:rPr>
            </w:pPr>
            <w:r w:rsidRPr="00162625">
              <w:rPr>
                <w:b/>
                <w:bCs/>
              </w:rPr>
              <w:t>One State Service, collaboration and engagement</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212BD" w14:textId="77777777" w:rsidR="0054510C" w:rsidRPr="005D5BCF" w:rsidRDefault="0054510C" w:rsidP="00162625">
            <w:pPr>
              <w:pStyle w:val="Tablecopy"/>
              <w:rPr>
                <w:sz w:val="36"/>
                <w:szCs w:val="36"/>
              </w:rPr>
            </w:pPr>
            <w:r w:rsidRPr="005D5BCF">
              <w:t>New ways of collaborative working, operating as a ‘single State Service’ across agency silos, and effective engagement beyond government.</w:t>
            </w:r>
          </w:p>
        </w:tc>
      </w:tr>
      <w:tr w:rsidR="0054510C" w:rsidRPr="005D5BCF" w14:paraId="21F09845"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8E7E7"/>
            <w:tcMar>
              <w:top w:w="72" w:type="dxa"/>
              <w:left w:w="144" w:type="dxa"/>
              <w:bottom w:w="72" w:type="dxa"/>
              <w:right w:w="144" w:type="dxa"/>
            </w:tcMar>
            <w:vAlign w:val="center"/>
            <w:hideMark/>
          </w:tcPr>
          <w:p w14:paraId="1513966A" w14:textId="77777777" w:rsidR="0054510C" w:rsidRPr="00162625" w:rsidRDefault="0054510C" w:rsidP="00162625">
            <w:pPr>
              <w:pStyle w:val="Tablecopy"/>
              <w:rPr>
                <w:b/>
                <w:bCs/>
                <w:sz w:val="36"/>
                <w:szCs w:val="36"/>
              </w:rPr>
            </w:pPr>
            <w:r w:rsidRPr="00162625">
              <w:rPr>
                <w:b/>
                <w:bCs/>
              </w:rPr>
              <w:t>Data and information</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E28D1" w14:textId="77777777" w:rsidR="0054510C" w:rsidRPr="005D5BCF" w:rsidRDefault="0054510C" w:rsidP="00162625">
            <w:pPr>
              <w:pStyle w:val="Tablecopy"/>
              <w:rPr>
                <w:sz w:val="36"/>
                <w:szCs w:val="36"/>
              </w:rPr>
            </w:pPr>
            <w:r w:rsidRPr="005D5BCF">
              <w:t>Improving whole-of-government data/information sharing, linkage and analysis, and building data/information capability across the State Service.</w:t>
            </w:r>
          </w:p>
        </w:tc>
      </w:tr>
      <w:tr w:rsidR="0054510C" w:rsidRPr="005D5BCF" w14:paraId="2C76E404"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BEEF2"/>
            <w:tcMar>
              <w:top w:w="72" w:type="dxa"/>
              <w:left w:w="144" w:type="dxa"/>
              <w:bottom w:w="72" w:type="dxa"/>
              <w:right w:w="144" w:type="dxa"/>
            </w:tcMar>
            <w:vAlign w:val="center"/>
            <w:hideMark/>
          </w:tcPr>
          <w:p w14:paraId="260E4757" w14:textId="77777777" w:rsidR="0054510C" w:rsidRPr="00162625" w:rsidRDefault="0054510C" w:rsidP="00162625">
            <w:pPr>
              <w:pStyle w:val="Tablecopy"/>
              <w:rPr>
                <w:b/>
                <w:bCs/>
                <w:sz w:val="36"/>
                <w:szCs w:val="36"/>
              </w:rPr>
            </w:pPr>
            <w:r w:rsidRPr="00162625">
              <w:rPr>
                <w:b/>
                <w:bCs/>
              </w:rPr>
              <w:t xml:space="preserve">Workforce </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D397E5" w14:textId="73980023" w:rsidR="0054510C" w:rsidRPr="005D5BCF" w:rsidRDefault="0054510C" w:rsidP="00162625">
            <w:pPr>
              <w:pStyle w:val="Tablecopy"/>
              <w:rPr>
                <w:sz w:val="36"/>
                <w:szCs w:val="36"/>
              </w:rPr>
            </w:pPr>
            <w:r w:rsidRPr="005D5BCF">
              <w:t>Ensuring “the right people in the right jobs at the right time</w:t>
            </w:r>
            <w:r w:rsidR="00D64784" w:rsidRPr="005D5BCF">
              <w:t>.”</w:t>
            </w:r>
          </w:p>
        </w:tc>
      </w:tr>
      <w:tr w:rsidR="0054510C" w:rsidRPr="005D5BCF" w14:paraId="30785DB4"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2EADD"/>
            <w:tcMar>
              <w:top w:w="72" w:type="dxa"/>
              <w:left w:w="144" w:type="dxa"/>
              <w:bottom w:w="72" w:type="dxa"/>
              <w:right w:w="144" w:type="dxa"/>
            </w:tcMar>
            <w:vAlign w:val="center"/>
            <w:hideMark/>
          </w:tcPr>
          <w:p w14:paraId="68162D4A" w14:textId="77777777" w:rsidR="0054510C" w:rsidRPr="00162625" w:rsidRDefault="0054510C" w:rsidP="00162625">
            <w:pPr>
              <w:pStyle w:val="Tablecopy"/>
              <w:rPr>
                <w:b/>
                <w:bCs/>
                <w:sz w:val="36"/>
                <w:szCs w:val="36"/>
              </w:rPr>
            </w:pPr>
            <w:r w:rsidRPr="00162625">
              <w:rPr>
                <w:b/>
                <w:bCs/>
              </w:rPr>
              <w:t>Accountability and governance</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D466CC" w14:textId="77777777" w:rsidR="0054510C" w:rsidRPr="005D5BCF" w:rsidRDefault="0054510C" w:rsidP="00162625">
            <w:pPr>
              <w:pStyle w:val="Tablecopy"/>
              <w:rPr>
                <w:sz w:val="36"/>
                <w:szCs w:val="36"/>
              </w:rPr>
            </w:pPr>
            <w:r w:rsidRPr="005D5BCF">
              <w:t>Strengthening accountability for whole-of-government priorities and cross-portfolio outcomes, embedded through effective governance structures.</w:t>
            </w:r>
          </w:p>
        </w:tc>
      </w:tr>
      <w:tr w:rsidR="0054510C" w:rsidRPr="005D5BCF" w14:paraId="73B458E7"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6E0EA"/>
            <w:tcMar>
              <w:top w:w="72" w:type="dxa"/>
              <w:left w:w="144" w:type="dxa"/>
              <w:bottom w:w="72" w:type="dxa"/>
              <w:right w:w="144" w:type="dxa"/>
            </w:tcMar>
            <w:vAlign w:val="center"/>
            <w:hideMark/>
          </w:tcPr>
          <w:p w14:paraId="14AF81B5" w14:textId="77777777" w:rsidR="0054510C" w:rsidRPr="00162625" w:rsidRDefault="0054510C" w:rsidP="00162625">
            <w:pPr>
              <w:pStyle w:val="Tablecopy"/>
              <w:rPr>
                <w:b/>
                <w:bCs/>
                <w:sz w:val="36"/>
                <w:szCs w:val="36"/>
              </w:rPr>
            </w:pPr>
            <w:r w:rsidRPr="00162625">
              <w:rPr>
                <w:b/>
                <w:bCs/>
              </w:rPr>
              <w:t>Capability</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0FC2E3" w14:textId="77777777" w:rsidR="0054510C" w:rsidRPr="005D5BCF" w:rsidRDefault="0054510C" w:rsidP="00162625">
            <w:pPr>
              <w:pStyle w:val="Tablecopy"/>
              <w:rPr>
                <w:sz w:val="36"/>
                <w:szCs w:val="36"/>
              </w:rPr>
            </w:pPr>
            <w:r w:rsidRPr="005D5BCF">
              <w:t>Ongoing review and improvement of capabilities across the State Service to ensure they are aligned with emerging challenges and priorities.</w:t>
            </w:r>
          </w:p>
        </w:tc>
      </w:tr>
      <w:tr w:rsidR="0054510C" w:rsidRPr="005D5BCF" w14:paraId="0862267E"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FFF9E8"/>
            <w:tcMar>
              <w:top w:w="72" w:type="dxa"/>
              <w:left w:w="144" w:type="dxa"/>
              <w:bottom w:w="72" w:type="dxa"/>
              <w:right w:w="144" w:type="dxa"/>
            </w:tcMar>
            <w:vAlign w:val="center"/>
            <w:hideMark/>
          </w:tcPr>
          <w:p w14:paraId="68C378F9" w14:textId="7A814126" w:rsidR="0054510C" w:rsidRPr="00162625" w:rsidRDefault="0054510C" w:rsidP="00162625">
            <w:pPr>
              <w:pStyle w:val="Tablecopy"/>
              <w:rPr>
                <w:b/>
                <w:bCs/>
                <w:sz w:val="36"/>
                <w:szCs w:val="36"/>
              </w:rPr>
            </w:pPr>
            <w:r w:rsidRPr="00162625">
              <w:rPr>
                <w:b/>
                <w:bCs/>
              </w:rPr>
              <w:t>Efficient service delivery</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4C765" w14:textId="77777777" w:rsidR="0054510C" w:rsidRPr="005D5BCF" w:rsidRDefault="0054510C" w:rsidP="00162625">
            <w:pPr>
              <w:pStyle w:val="Tablecopy"/>
              <w:rPr>
                <w:sz w:val="36"/>
                <w:szCs w:val="36"/>
              </w:rPr>
            </w:pPr>
            <w:r w:rsidRPr="005D5BCF">
              <w:t>Improving internal and external services, processes and systems, and adopting functional leadership for more effective and efficient use of resources.</w:t>
            </w:r>
          </w:p>
        </w:tc>
      </w:tr>
      <w:tr w:rsidR="0054510C" w:rsidRPr="005D5BCF" w14:paraId="6E9CB7D5"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6EEF6"/>
            <w:tcMar>
              <w:top w:w="72" w:type="dxa"/>
              <w:left w:w="144" w:type="dxa"/>
              <w:bottom w:w="72" w:type="dxa"/>
              <w:right w:w="144" w:type="dxa"/>
            </w:tcMar>
            <w:vAlign w:val="center"/>
            <w:hideMark/>
          </w:tcPr>
          <w:p w14:paraId="386B571D" w14:textId="77777777" w:rsidR="0054510C" w:rsidRPr="00162625" w:rsidRDefault="0054510C" w:rsidP="00162625">
            <w:pPr>
              <w:pStyle w:val="Tablecopy"/>
              <w:rPr>
                <w:b/>
                <w:bCs/>
                <w:sz w:val="36"/>
                <w:szCs w:val="36"/>
              </w:rPr>
            </w:pPr>
            <w:r w:rsidRPr="00162625">
              <w:rPr>
                <w:b/>
                <w:bCs/>
              </w:rPr>
              <w:t>Conduct</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F9B4E0" w14:textId="77777777" w:rsidR="0054510C" w:rsidRPr="005D5BCF" w:rsidRDefault="0054510C" w:rsidP="00162625">
            <w:pPr>
              <w:pStyle w:val="Tablecopy"/>
              <w:rPr>
                <w:sz w:val="36"/>
                <w:szCs w:val="36"/>
              </w:rPr>
            </w:pPr>
            <w:r w:rsidRPr="005D5BCF">
              <w:t>Improved management of conduct in the State Service.</w:t>
            </w:r>
          </w:p>
        </w:tc>
      </w:tr>
      <w:tr w:rsidR="0054510C" w:rsidRPr="005D5BCF" w14:paraId="5A794027"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E2E2E2"/>
            <w:tcMar>
              <w:top w:w="72" w:type="dxa"/>
              <w:left w:w="144" w:type="dxa"/>
              <w:bottom w:w="72" w:type="dxa"/>
              <w:right w:w="144" w:type="dxa"/>
            </w:tcMar>
            <w:vAlign w:val="center"/>
            <w:hideMark/>
          </w:tcPr>
          <w:p w14:paraId="0D456B01" w14:textId="77777777" w:rsidR="0054510C" w:rsidRPr="00162625" w:rsidRDefault="0054510C" w:rsidP="00162625">
            <w:pPr>
              <w:pStyle w:val="Tablecopy"/>
              <w:rPr>
                <w:b/>
                <w:bCs/>
                <w:sz w:val="36"/>
                <w:szCs w:val="36"/>
              </w:rPr>
            </w:pPr>
            <w:r w:rsidRPr="00162625">
              <w:rPr>
                <w:b/>
                <w:bCs/>
              </w:rPr>
              <w:t>Regulatory and legislative reform</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26CC52" w14:textId="77777777" w:rsidR="0054510C" w:rsidRPr="005D5BCF" w:rsidRDefault="0054510C" w:rsidP="00162625">
            <w:pPr>
              <w:pStyle w:val="Tablecopy"/>
              <w:rPr>
                <w:sz w:val="36"/>
                <w:szCs w:val="36"/>
              </w:rPr>
            </w:pPr>
            <w:r w:rsidRPr="005D5BCF">
              <w:t>Regulatory and legislative reforms to strengthen the employment framework and improve outcomes for the Tasmanian community.</w:t>
            </w:r>
          </w:p>
        </w:tc>
      </w:tr>
      <w:tr w:rsidR="0054510C" w:rsidRPr="005D5BCF" w14:paraId="690A7329" w14:textId="77777777" w:rsidTr="00162625">
        <w:trPr>
          <w:trHeight w:val="506"/>
        </w:trPr>
        <w:tc>
          <w:tcPr>
            <w:tcW w:w="2268"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789EF440" w14:textId="77777777" w:rsidR="0054510C" w:rsidRPr="00162625" w:rsidRDefault="0054510C" w:rsidP="00162625">
            <w:pPr>
              <w:pStyle w:val="Tablecopy"/>
              <w:rPr>
                <w:b/>
                <w:bCs/>
                <w:sz w:val="36"/>
                <w:szCs w:val="36"/>
              </w:rPr>
            </w:pPr>
            <w:r w:rsidRPr="00162625">
              <w:rPr>
                <w:b/>
                <w:bCs/>
              </w:rPr>
              <w:t>Culture and leadership</w:t>
            </w:r>
          </w:p>
        </w:tc>
        <w:tc>
          <w:tcPr>
            <w:tcW w:w="6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0D4486" w14:textId="77777777" w:rsidR="0054510C" w:rsidRPr="005D5BCF" w:rsidRDefault="0054510C" w:rsidP="00162625">
            <w:pPr>
              <w:pStyle w:val="Tablecopy"/>
              <w:rPr>
                <w:sz w:val="36"/>
                <w:szCs w:val="36"/>
              </w:rPr>
            </w:pPr>
            <w:r w:rsidRPr="005D5BCF">
              <w:t>Strengthening culture and leadership across the State Service. Embedding whole-of-service values and principles in everything we do – including stewardship of the State Service.</w:t>
            </w:r>
          </w:p>
        </w:tc>
      </w:tr>
    </w:tbl>
    <w:p w14:paraId="5A05D00A" w14:textId="77777777" w:rsidR="0054510C" w:rsidRDefault="0054510C" w:rsidP="00705C0E">
      <w:pPr>
        <w:rPr>
          <w:rFonts w:cs="Arial"/>
        </w:rPr>
      </w:pPr>
    </w:p>
    <w:p w14:paraId="1A5F8070" w14:textId="73CF9980" w:rsidR="00705C0E" w:rsidRPr="0054510C" w:rsidRDefault="00705C0E" w:rsidP="00162625">
      <w:pPr>
        <w:pStyle w:val="Heading1"/>
      </w:pPr>
      <w:r w:rsidRPr="0054510C">
        <w:t>Next Steps</w:t>
      </w:r>
    </w:p>
    <w:p w14:paraId="5CCF00F5" w14:textId="20992F87" w:rsidR="00705C0E" w:rsidRDefault="00705C0E" w:rsidP="00162625">
      <w:r>
        <w:t xml:space="preserve">The Department of Premier and Cabinet has been tasked with reviewing timelines relating to the TSSR, </w:t>
      </w:r>
      <w:r w:rsidR="00DF393D">
        <w:t>c</w:t>
      </w:r>
      <w:r>
        <w:t xml:space="preserve">onsidering the alignment with CoI recommendations and providing a briefing to </w:t>
      </w:r>
      <w:r w:rsidR="00215CDC">
        <w:t>Government</w:t>
      </w:r>
      <w:r>
        <w:t>.</w:t>
      </w:r>
    </w:p>
    <w:p w14:paraId="3A9FB2D2" w14:textId="2FC123E9" w:rsidR="00457137" w:rsidRPr="00101E2D" w:rsidRDefault="0099185E" w:rsidP="00162625">
      <w:r>
        <w:t xml:space="preserve">Once </w:t>
      </w:r>
      <w:r w:rsidR="00AC5AE6">
        <w:t>considered</w:t>
      </w:r>
      <w:r w:rsidR="00215CDC">
        <w:t>,</w:t>
      </w:r>
      <w:r w:rsidR="00AC5AE6">
        <w:t xml:space="preserve"> an update on the status </w:t>
      </w:r>
      <w:r w:rsidR="0028006B">
        <w:t xml:space="preserve">will be provided on the Department of Premier and Cabinet website at: </w:t>
      </w:r>
      <w:hyperlink r:id="rId8" w:history="1">
        <w:r w:rsidR="0028006B">
          <w:rPr>
            <w:rStyle w:val="Hyperlink"/>
          </w:rPr>
          <w:t>Department of Premier and Cabinet - Review of the Tasmanian State Service (dpac.tas.gov.au)</w:t>
        </w:r>
      </w:hyperlink>
    </w:p>
    <w:p w14:paraId="406A7C9B" w14:textId="77777777" w:rsidR="00426FA3" w:rsidRPr="00F00593" w:rsidRDefault="00426FA3">
      <w:pPr>
        <w:rPr>
          <w:rFonts w:cs="Arial"/>
        </w:rPr>
      </w:pPr>
    </w:p>
    <w:sectPr w:rsidR="00426FA3" w:rsidRPr="00F00593" w:rsidSect="001447B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AC63" w14:textId="77777777" w:rsidR="009F01AB" w:rsidRDefault="009F01AB" w:rsidP="001447BB">
      <w:pPr>
        <w:spacing w:after="0" w:line="240" w:lineRule="auto"/>
      </w:pPr>
      <w:r>
        <w:separator/>
      </w:r>
    </w:p>
  </w:endnote>
  <w:endnote w:type="continuationSeparator" w:id="0">
    <w:p w14:paraId="2C0E6434" w14:textId="77777777" w:rsidR="009F01AB" w:rsidRDefault="009F01AB" w:rsidP="0014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6852" w14:textId="77777777" w:rsidR="001A2DEC" w:rsidRDefault="001A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sdtContent>
      <w:p w14:paraId="6D0264CF" w14:textId="2DCA2E30" w:rsidR="001447BB" w:rsidRPr="001447BB" w:rsidRDefault="001447BB" w:rsidP="001447BB">
        <w:pPr>
          <w:pStyle w:val="Footer"/>
        </w:pPr>
        <w:r w:rsidRPr="001447BB">
          <w:rPr>
            <w:b/>
            <w:bCs/>
          </w:rPr>
          <w:t>State Service Status Review</w:t>
        </w:r>
        <w:r w:rsidRPr="001447BB">
          <w:t xml:space="preserve"> – Status Update</w:t>
        </w:r>
        <w:r w:rsidRPr="001447BB">
          <w:tab/>
        </w:r>
        <w:r>
          <w:tab/>
        </w:r>
        <w:r w:rsidRPr="001447BB">
          <w:fldChar w:fldCharType="begin"/>
        </w:r>
        <w:r w:rsidRPr="001447BB">
          <w:instrText xml:space="preserve"> PAGE   \* MERGEFORMAT </w:instrText>
        </w:r>
        <w:r w:rsidRPr="001447BB">
          <w:fldChar w:fldCharType="separate"/>
        </w:r>
        <w:r w:rsidRPr="001447BB">
          <w:t>2</w:t>
        </w:r>
        <w:r w:rsidRPr="001447B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06AD" w14:textId="56F181CA" w:rsidR="001447BB" w:rsidRDefault="001447BB" w:rsidP="001447BB">
    <w:pPr>
      <w:pStyle w:val="FooterCaption"/>
    </w:pPr>
    <w:r w:rsidRPr="00FD2559">
      <w:rPr>
        <w:highlight w:val="yellow"/>
      </w:rPr>
      <w:drawing>
        <wp:anchor distT="0" distB="0" distL="114300" distR="114300" simplePos="0" relativeHeight="251660288" behindDoc="1" locked="0" layoutInCell="1" allowOverlap="1" wp14:anchorId="0AFE5EE4" wp14:editId="5B8B0D72">
          <wp:simplePos x="0" y="0"/>
          <wp:positionH relativeFrom="margin">
            <wp:align>right</wp:align>
          </wp:positionH>
          <wp:positionV relativeFrom="paragraph">
            <wp:posOffset>-228600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Pr="00976206">
      <w:t xml:space="preserve"> </w:t>
    </w:r>
    <w:r w:rsidRPr="00976206">
      <w:br/>
    </w:r>
    <w:r w:rsidR="001A2DEC">
      <w:t>Tasmanian State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563F" w14:textId="77777777" w:rsidR="009F01AB" w:rsidRDefault="009F01AB" w:rsidP="001447BB">
      <w:pPr>
        <w:spacing w:after="0" w:line="240" w:lineRule="auto"/>
      </w:pPr>
      <w:r>
        <w:separator/>
      </w:r>
    </w:p>
  </w:footnote>
  <w:footnote w:type="continuationSeparator" w:id="0">
    <w:p w14:paraId="3D2FCAAF" w14:textId="77777777" w:rsidR="009F01AB" w:rsidRDefault="009F01AB" w:rsidP="0014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D71A" w14:textId="77777777" w:rsidR="001A2DEC" w:rsidRDefault="001A2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A8D" w14:textId="77777777" w:rsidR="001A2DEC" w:rsidRDefault="001A2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CE76" w14:textId="77777777" w:rsidR="001A2DEC" w:rsidRDefault="001A2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B24"/>
    <w:multiLevelType w:val="hybridMultilevel"/>
    <w:tmpl w:val="3DF2C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0E57066"/>
    <w:multiLevelType w:val="hybridMultilevel"/>
    <w:tmpl w:val="741AA692"/>
    <w:lvl w:ilvl="0" w:tplc="A40AA4C2">
      <w:start w:val="1"/>
      <w:numFmt w:val="bullet"/>
      <w:lvlText w:val="-"/>
      <w:lvlJc w:val="left"/>
      <w:pPr>
        <w:ind w:left="360" w:hanging="360"/>
      </w:pPr>
      <w:rPr>
        <w:rFonts w:ascii="Segoe UI" w:eastAsia="Gill Sans MT" w:hAnsi="Segoe UI" w:cs="Segoe UI" w:hint="default"/>
        <w:color w:val="262626" w:themeColor="text1" w:themeTint="D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924368">
    <w:abstractNumId w:val="0"/>
  </w:num>
  <w:num w:numId="2" w16cid:durableId="118609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44"/>
    <w:rsid w:val="000426C2"/>
    <w:rsid w:val="00054E6A"/>
    <w:rsid w:val="00091ACD"/>
    <w:rsid w:val="000944BF"/>
    <w:rsid w:val="000B203B"/>
    <w:rsid w:val="000E0BF0"/>
    <w:rsid w:val="0011083D"/>
    <w:rsid w:val="00117664"/>
    <w:rsid w:val="001447BB"/>
    <w:rsid w:val="00162625"/>
    <w:rsid w:val="001A2DEC"/>
    <w:rsid w:val="001B5BB0"/>
    <w:rsid w:val="001F5C7A"/>
    <w:rsid w:val="0021463B"/>
    <w:rsid w:val="00215CDC"/>
    <w:rsid w:val="0023400C"/>
    <w:rsid w:val="002432F9"/>
    <w:rsid w:val="002768B2"/>
    <w:rsid w:val="0028006B"/>
    <w:rsid w:val="00283480"/>
    <w:rsid w:val="0028577C"/>
    <w:rsid w:val="002B5895"/>
    <w:rsid w:val="002E7E8B"/>
    <w:rsid w:val="00303433"/>
    <w:rsid w:val="00347F1C"/>
    <w:rsid w:val="00356945"/>
    <w:rsid w:val="003C22F9"/>
    <w:rsid w:val="003F4E79"/>
    <w:rsid w:val="004011B7"/>
    <w:rsid w:val="00426FA3"/>
    <w:rsid w:val="00434B5F"/>
    <w:rsid w:val="00457137"/>
    <w:rsid w:val="00461481"/>
    <w:rsid w:val="004770A1"/>
    <w:rsid w:val="004928EF"/>
    <w:rsid w:val="004A6785"/>
    <w:rsid w:val="004D2C42"/>
    <w:rsid w:val="004D328C"/>
    <w:rsid w:val="004D3A03"/>
    <w:rsid w:val="00514BA4"/>
    <w:rsid w:val="0052543B"/>
    <w:rsid w:val="0054510C"/>
    <w:rsid w:val="005C5051"/>
    <w:rsid w:val="005C6087"/>
    <w:rsid w:val="005D1E46"/>
    <w:rsid w:val="00620FA8"/>
    <w:rsid w:val="0063152B"/>
    <w:rsid w:val="00645631"/>
    <w:rsid w:val="00652277"/>
    <w:rsid w:val="006723B0"/>
    <w:rsid w:val="0068731D"/>
    <w:rsid w:val="006E1118"/>
    <w:rsid w:val="007010EA"/>
    <w:rsid w:val="007017F8"/>
    <w:rsid w:val="007024C2"/>
    <w:rsid w:val="00705C0E"/>
    <w:rsid w:val="00741AEB"/>
    <w:rsid w:val="00747734"/>
    <w:rsid w:val="00781A76"/>
    <w:rsid w:val="007A7770"/>
    <w:rsid w:val="007D400A"/>
    <w:rsid w:val="007E2A85"/>
    <w:rsid w:val="00826C75"/>
    <w:rsid w:val="00854A1A"/>
    <w:rsid w:val="0086441E"/>
    <w:rsid w:val="008751F7"/>
    <w:rsid w:val="00881759"/>
    <w:rsid w:val="008A6423"/>
    <w:rsid w:val="008D178B"/>
    <w:rsid w:val="009005D0"/>
    <w:rsid w:val="00916487"/>
    <w:rsid w:val="00981B64"/>
    <w:rsid w:val="0099185E"/>
    <w:rsid w:val="00994912"/>
    <w:rsid w:val="009C4366"/>
    <w:rsid w:val="009F01AB"/>
    <w:rsid w:val="009F4074"/>
    <w:rsid w:val="00A2607A"/>
    <w:rsid w:val="00A33636"/>
    <w:rsid w:val="00A4324A"/>
    <w:rsid w:val="00A86DF0"/>
    <w:rsid w:val="00A92693"/>
    <w:rsid w:val="00A93890"/>
    <w:rsid w:val="00A97266"/>
    <w:rsid w:val="00AB6432"/>
    <w:rsid w:val="00AC5AE6"/>
    <w:rsid w:val="00AD3729"/>
    <w:rsid w:val="00AD5744"/>
    <w:rsid w:val="00AF10A2"/>
    <w:rsid w:val="00B12F8E"/>
    <w:rsid w:val="00B2697D"/>
    <w:rsid w:val="00B71C20"/>
    <w:rsid w:val="00B76C0E"/>
    <w:rsid w:val="00B914F1"/>
    <w:rsid w:val="00BA59E7"/>
    <w:rsid w:val="00BB6650"/>
    <w:rsid w:val="00BC5A57"/>
    <w:rsid w:val="00BC669D"/>
    <w:rsid w:val="00C023E1"/>
    <w:rsid w:val="00C724DB"/>
    <w:rsid w:val="00D032BC"/>
    <w:rsid w:val="00D1472B"/>
    <w:rsid w:val="00D1531D"/>
    <w:rsid w:val="00D36968"/>
    <w:rsid w:val="00D437FC"/>
    <w:rsid w:val="00D5084F"/>
    <w:rsid w:val="00D54E08"/>
    <w:rsid w:val="00D632B3"/>
    <w:rsid w:val="00D632CF"/>
    <w:rsid w:val="00D64784"/>
    <w:rsid w:val="00D74427"/>
    <w:rsid w:val="00DA532B"/>
    <w:rsid w:val="00DC12FC"/>
    <w:rsid w:val="00DF393D"/>
    <w:rsid w:val="00E02951"/>
    <w:rsid w:val="00E432CB"/>
    <w:rsid w:val="00E44E44"/>
    <w:rsid w:val="00E907C4"/>
    <w:rsid w:val="00EC08B4"/>
    <w:rsid w:val="00ED74D4"/>
    <w:rsid w:val="00EF3833"/>
    <w:rsid w:val="00F00593"/>
    <w:rsid w:val="00F2578D"/>
    <w:rsid w:val="00F30029"/>
    <w:rsid w:val="00F40F83"/>
    <w:rsid w:val="00F9219C"/>
    <w:rsid w:val="00FA5B2A"/>
    <w:rsid w:val="00FA74A2"/>
    <w:rsid w:val="00FC0C30"/>
    <w:rsid w:val="00FD3B59"/>
    <w:rsid w:val="00FD66E9"/>
    <w:rsid w:val="00FE7441"/>
    <w:rsid w:val="00FF7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3132"/>
  <w15:chartTrackingRefBased/>
  <w15:docId w15:val="{E693FFB2-20E8-4F10-8B48-7B13D1FB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BB"/>
    <w:pPr>
      <w:spacing w:after="240" w:line="288" w:lineRule="auto"/>
    </w:pPr>
    <w:rPr>
      <w:rFonts w:ascii="Arial" w:hAnsi="Arial"/>
      <w:sz w:val="24"/>
    </w:rPr>
  </w:style>
  <w:style w:type="paragraph" w:styleId="Heading1">
    <w:name w:val="heading 1"/>
    <w:basedOn w:val="Normal"/>
    <w:next w:val="Normal"/>
    <w:link w:val="Heading1Char"/>
    <w:uiPriority w:val="9"/>
    <w:qFormat/>
    <w:rsid w:val="00356945"/>
    <w:pPr>
      <w:keepNext/>
      <w:keepLines/>
      <w:spacing w:before="120" w:after="120" w:line="240" w:lineRule="auto"/>
      <w:outlineLvl w:val="0"/>
    </w:pPr>
    <w:rPr>
      <w:rFonts w:asciiTheme="majorHAnsi" w:eastAsiaTheme="majorEastAsia" w:hAnsiTheme="majorHAnsi"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78B"/>
    <w:pPr>
      <w:ind w:left="720"/>
      <w:contextualSpacing/>
    </w:pPr>
  </w:style>
  <w:style w:type="character" w:styleId="Hyperlink">
    <w:name w:val="Hyperlink"/>
    <w:basedOn w:val="DefaultParagraphFont"/>
    <w:uiPriority w:val="99"/>
    <w:semiHidden/>
    <w:unhideWhenUsed/>
    <w:rsid w:val="0028006B"/>
    <w:rPr>
      <w:color w:val="0000FF"/>
      <w:u w:val="single"/>
    </w:rPr>
  </w:style>
  <w:style w:type="paragraph" w:styleId="Header">
    <w:name w:val="header"/>
    <w:basedOn w:val="Normal"/>
    <w:link w:val="HeaderChar"/>
    <w:uiPriority w:val="99"/>
    <w:unhideWhenUsed/>
    <w:rsid w:val="0014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7BB"/>
    <w:rPr>
      <w:rFonts w:ascii="Arial" w:hAnsi="Arial"/>
      <w:sz w:val="24"/>
    </w:rPr>
  </w:style>
  <w:style w:type="paragraph" w:styleId="Footer">
    <w:name w:val="footer"/>
    <w:basedOn w:val="Normal"/>
    <w:link w:val="FooterChar"/>
    <w:uiPriority w:val="99"/>
    <w:unhideWhenUsed/>
    <w:qFormat/>
    <w:rsid w:val="001447BB"/>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447BB"/>
    <w:rPr>
      <w:rFonts w:ascii="Arial" w:hAnsi="Arial"/>
      <w:sz w:val="18"/>
    </w:rPr>
  </w:style>
  <w:style w:type="paragraph" w:customStyle="1" w:styleId="FooterCaption">
    <w:name w:val="Footer / Caption"/>
    <w:qFormat/>
    <w:rsid w:val="00356945"/>
    <w:pPr>
      <w:spacing w:after="120" w:line="240" w:lineRule="auto"/>
    </w:pPr>
    <w:rPr>
      <w:rFonts w:asciiTheme="majorHAnsi" w:eastAsiaTheme="majorEastAsia" w:hAnsiTheme="majorHAnsi" w:cstheme="majorBidi"/>
      <w:b/>
      <w:iCs/>
      <w:noProof/>
      <w:color w:val="000000" w:themeColor="text1"/>
      <w:sz w:val="20"/>
    </w:rPr>
  </w:style>
  <w:style w:type="paragraph" w:styleId="Title">
    <w:name w:val="Title"/>
    <w:basedOn w:val="Normal"/>
    <w:next w:val="Normal"/>
    <w:link w:val="TitleChar"/>
    <w:uiPriority w:val="10"/>
    <w:qFormat/>
    <w:rsid w:val="001447BB"/>
    <w:pPr>
      <w:spacing w:after="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1447BB"/>
    <w:rPr>
      <w:rFonts w:asciiTheme="majorHAnsi" w:eastAsiaTheme="majorEastAsia" w:hAnsiTheme="majorHAnsi" w:cstheme="majorBidi"/>
      <w:b/>
      <w:spacing w:val="-10"/>
      <w:kern w:val="28"/>
      <w:sz w:val="52"/>
      <w:szCs w:val="56"/>
    </w:rPr>
  </w:style>
  <w:style w:type="character" w:customStyle="1" w:styleId="Heading1Char">
    <w:name w:val="Heading 1 Char"/>
    <w:basedOn w:val="DefaultParagraphFont"/>
    <w:link w:val="Heading1"/>
    <w:uiPriority w:val="9"/>
    <w:rsid w:val="00356945"/>
    <w:rPr>
      <w:rFonts w:asciiTheme="majorHAnsi" w:eastAsiaTheme="majorEastAsia" w:hAnsiTheme="majorHAnsi" w:cstheme="majorBidi"/>
      <w:b/>
      <w:color w:val="000000" w:themeColor="text1"/>
      <w:sz w:val="36"/>
      <w:szCs w:val="32"/>
    </w:rPr>
  </w:style>
  <w:style w:type="paragraph" w:customStyle="1" w:styleId="Tableheader">
    <w:name w:val="Table header"/>
    <w:basedOn w:val="Heading1"/>
    <w:qFormat/>
    <w:rsid w:val="00162625"/>
    <w:rPr>
      <w:rFonts w:eastAsia="Times New Roman"/>
      <w:color w:val="FFFFFF" w:themeColor="background1"/>
      <w:sz w:val="24"/>
      <w:lang w:eastAsia="en-AU"/>
    </w:rPr>
  </w:style>
  <w:style w:type="paragraph" w:customStyle="1" w:styleId="Tablecopy">
    <w:name w:val="Table copy"/>
    <w:basedOn w:val="Normal"/>
    <w:qFormat/>
    <w:rsid w:val="00162625"/>
    <w:pPr>
      <w:spacing w:after="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c.tas.gov.au/divisions/policy/review_of_the_tasmanian_state_serv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1D12-06C2-458D-8173-12246FA7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1916</Words>
  <Characters>10924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Noelene</dc:creator>
  <cp:keywords/>
  <dc:description/>
  <cp:lastModifiedBy>Clemens, Catherine</cp:lastModifiedBy>
  <cp:revision>2</cp:revision>
  <cp:lastPrinted>2024-09-17T05:05:00Z</cp:lastPrinted>
  <dcterms:created xsi:type="dcterms:W3CDTF">2024-10-22T01:08:00Z</dcterms:created>
  <dcterms:modified xsi:type="dcterms:W3CDTF">2024-10-22T01:08:00Z</dcterms:modified>
</cp:coreProperties>
</file>