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AD87" w14:textId="7E4E992D" w:rsidR="00605DE0" w:rsidRDefault="00605DE0">
      <w:r>
        <w:t xml:space="preserve">Premier’s Health and Wellbeing Advisory Council </w:t>
      </w:r>
      <w:r w:rsidR="00701A12">
        <w:t xml:space="preserve">- </w:t>
      </w:r>
      <w:r>
        <w:t xml:space="preserve">Website content – drafted </w:t>
      </w:r>
      <w:r w:rsidR="00D8383F">
        <w:t>October</w:t>
      </w:r>
      <w:r>
        <w:t xml:space="preserve"> 2018</w:t>
      </w:r>
    </w:p>
    <w:p w14:paraId="0407F24F" w14:textId="79D3DBF6" w:rsidR="00605DE0" w:rsidRPr="00701A12" w:rsidRDefault="00605DE0">
      <w:pPr>
        <w:rPr>
          <w:b/>
          <w:sz w:val="28"/>
          <w:szCs w:val="28"/>
        </w:rPr>
      </w:pPr>
      <w:r w:rsidRPr="00701A12">
        <w:rPr>
          <w:b/>
          <w:sz w:val="28"/>
          <w:szCs w:val="28"/>
        </w:rPr>
        <w:t>Premier’s Health and Wellbeing Advisory Council</w:t>
      </w:r>
      <w:r w:rsidR="005437D9" w:rsidRPr="00701A12">
        <w:rPr>
          <w:b/>
          <w:sz w:val="28"/>
          <w:szCs w:val="28"/>
        </w:rPr>
        <w:t xml:space="preserve"> </w:t>
      </w:r>
      <w:r w:rsidR="00701A12" w:rsidRPr="00701A12">
        <w:rPr>
          <w:b/>
          <w:sz w:val="28"/>
          <w:szCs w:val="28"/>
        </w:rPr>
        <w:t>(main page)</w:t>
      </w:r>
    </w:p>
    <w:p w14:paraId="3FE76125" w14:textId="020D97BA" w:rsidR="00605DE0" w:rsidRPr="00701A12" w:rsidRDefault="00D8383F">
      <w:pPr>
        <w:rPr>
          <w:b/>
          <w:sz w:val="28"/>
          <w:szCs w:val="28"/>
        </w:rPr>
      </w:pPr>
      <w:r w:rsidRPr="00701A12">
        <w:rPr>
          <w:b/>
          <w:sz w:val="28"/>
          <w:szCs w:val="28"/>
        </w:rPr>
        <w:t xml:space="preserve">Evidence for prevention and </w:t>
      </w:r>
      <w:r w:rsidR="00930845">
        <w:rPr>
          <w:b/>
          <w:sz w:val="28"/>
          <w:szCs w:val="28"/>
        </w:rPr>
        <w:t>Health in All Policies</w:t>
      </w:r>
      <w:bookmarkStart w:id="0" w:name="_GoBack"/>
      <w:bookmarkEnd w:id="0"/>
      <w:r w:rsidRPr="00701A12">
        <w:rPr>
          <w:b/>
          <w:sz w:val="28"/>
          <w:szCs w:val="28"/>
        </w:rPr>
        <w:t xml:space="preserve"> (new page) </w:t>
      </w:r>
    </w:p>
    <w:p w14:paraId="2A8694DF" w14:textId="77777777" w:rsidR="00D8383F" w:rsidRPr="00D8383F" w:rsidRDefault="00D8383F" w:rsidP="00605DE0">
      <w:pPr>
        <w:rPr>
          <w:b/>
        </w:rPr>
      </w:pPr>
      <w:r w:rsidRPr="00D8383F">
        <w:rPr>
          <w:b/>
        </w:rPr>
        <w:t>Health and Wellbeing</w:t>
      </w:r>
    </w:p>
    <w:p w14:paraId="0809ECFB" w14:textId="3E931D13" w:rsidR="00605DE0" w:rsidRDefault="00401A3A" w:rsidP="00605DE0">
      <w:r>
        <w:t xml:space="preserve">For information on how to become a healthier you visit the </w:t>
      </w:r>
      <w:hyperlink r:id="rId6" w:history="1">
        <w:r w:rsidR="00D8383F" w:rsidRPr="003C10BC">
          <w:rPr>
            <w:rStyle w:val="Hyperlink"/>
          </w:rPr>
          <w:t xml:space="preserve">Healthy </w:t>
        </w:r>
        <w:r w:rsidR="003C10BC" w:rsidRPr="003C10BC">
          <w:rPr>
            <w:rStyle w:val="Hyperlink"/>
          </w:rPr>
          <w:t>Tasmania portal</w:t>
        </w:r>
      </w:hyperlink>
      <w:r w:rsidR="003C10BC">
        <w:t xml:space="preserve"> </w:t>
      </w:r>
      <w:r>
        <w:t xml:space="preserve">. For information on how to build health promotion and health literacy skills and knowledge visit </w:t>
      </w:r>
      <w:hyperlink r:id="rId7" w:history="1">
        <w:r w:rsidRPr="00401A3A">
          <w:rPr>
            <w:rStyle w:val="Hyperlink"/>
          </w:rPr>
          <w:t>Working in Health Promoting Ways</w:t>
        </w:r>
      </w:hyperlink>
      <w:r>
        <w:t xml:space="preserve"> and the </w:t>
      </w:r>
      <w:hyperlink r:id="rId8" w:history="1">
        <w:r w:rsidRPr="00401A3A">
          <w:rPr>
            <w:rStyle w:val="Hyperlink"/>
          </w:rPr>
          <w:t>Health Literacy Toolkit</w:t>
        </w:r>
      </w:hyperlink>
      <w:r>
        <w:t xml:space="preserve">. </w:t>
      </w:r>
    </w:p>
    <w:p w14:paraId="7FD514F9" w14:textId="53C48673" w:rsidR="00605DE0" w:rsidRPr="005437D9" w:rsidRDefault="0029216D" w:rsidP="00605DE0">
      <w:pPr>
        <w:rPr>
          <w:b/>
        </w:rPr>
      </w:pPr>
      <w:r>
        <w:rPr>
          <w:b/>
        </w:rPr>
        <w:t>Tasmania’ Health Status</w:t>
      </w:r>
    </w:p>
    <w:p w14:paraId="21551E6F" w14:textId="3BAEA1F1" w:rsidR="0029216D" w:rsidRPr="0029216D" w:rsidRDefault="0029216D" w:rsidP="0029216D">
      <w:pPr>
        <w:spacing w:after="120" w:line="312" w:lineRule="auto"/>
        <w:rPr>
          <w:rFonts w:cs="Arial"/>
        </w:rPr>
      </w:pPr>
      <w:r>
        <w:rPr>
          <w:rFonts w:cs="Arial"/>
        </w:rPr>
        <w:t>Overall the</w:t>
      </w:r>
      <w:r>
        <w:t xml:space="preserve"> health of Tasmanians is improving with longer life expectancy and generally good self-reported health. However, not all Tasmanians enjoy good health. There is a </w:t>
      </w:r>
      <w:r w:rsidRPr="0029216D">
        <w:rPr>
          <w:rFonts w:cs="Arial"/>
        </w:rPr>
        <w:t>widening gap in health outcomes between Tasmanians whereby some people who experience disadvantage bear a greater burden of disease than others</w:t>
      </w:r>
      <w:r>
        <w:rPr>
          <w:rFonts w:cs="Arial"/>
        </w:rPr>
        <w:t xml:space="preserve">.  </w:t>
      </w:r>
      <w:r w:rsidRPr="0029216D">
        <w:rPr>
          <w:rFonts w:cs="Arial"/>
        </w:rPr>
        <w:t xml:space="preserve">The number of Tasmanians with chronic conditions is growing steadily. Combined with our ageing population, this growing burden of disease will have impacts on workforce productivity, quality of life and economic and social participation by Tasmanians in all aspects of life. </w:t>
      </w:r>
      <w:r>
        <w:rPr>
          <w:rFonts w:cs="Arial"/>
        </w:rPr>
        <w:t xml:space="preserve"> Find out more by reading the </w:t>
      </w:r>
      <w:hyperlink r:id="rId9" w:history="1">
        <w:r w:rsidRPr="0029216D">
          <w:rPr>
            <w:rStyle w:val="Hyperlink"/>
            <w:rFonts w:cs="Arial"/>
          </w:rPr>
          <w:t>State of Public Health report</w:t>
        </w:r>
      </w:hyperlink>
      <w:r>
        <w:rPr>
          <w:rFonts w:cs="Arial"/>
        </w:rPr>
        <w:t xml:space="preserve">. </w:t>
      </w:r>
    </w:p>
    <w:p w14:paraId="1B79D9FF" w14:textId="554FF74C" w:rsidR="0029216D" w:rsidRDefault="0029216D" w:rsidP="0029216D">
      <w:pPr>
        <w:rPr>
          <w:b/>
        </w:rPr>
      </w:pPr>
      <w:r w:rsidRPr="0029216D">
        <w:rPr>
          <w:b/>
        </w:rPr>
        <w:t xml:space="preserve">The case for prevention </w:t>
      </w:r>
    </w:p>
    <w:p w14:paraId="66BDED20" w14:textId="77777777" w:rsidR="00334E01" w:rsidRDefault="008D4495" w:rsidP="00653BB8">
      <w:pPr>
        <w:spacing w:after="120" w:line="312" w:lineRule="auto"/>
      </w:pPr>
      <w:r w:rsidRPr="00294441">
        <w:t xml:space="preserve">Prevention saves lives and reduces illness and disability. It frees resources needed elsewhere. The social and economic benefits of prevention are profound. </w:t>
      </w:r>
      <w:r>
        <w:t xml:space="preserve"> Find out more</w:t>
      </w:r>
      <w:r w:rsidR="00653BB8">
        <w:t xml:space="preserve"> by reading</w:t>
      </w:r>
      <w:r w:rsidR="00334E01">
        <w:t>:</w:t>
      </w:r>
    </w:p>
    <w:p w14:paraId="35118376" w14:textId="77777777" w:rsidR="00334E01" w:rsidRDefault="00930845" w:rsidP="00334E01">
      <w:pPr>
        <w:pStyle w:val="ListParagraph"/>
        <w:numPr>
          <w:ilvl w:val="0"/>
          <w:numId w:val="13"/>
        </w:numPr>
        <w:spacing w:after="120" w:line="312" w:lineRule="auto"/>
      </w:pPr>
      <w:hyperlink r:id="rId10" w:history="1">
        <w:r w:rsidR="00653BB8" w:rsidRPr="00653BB8">
          <w:rPr>
            <w:rStyle w:val="Hyperlink"/>
          </w:rPr>
          <w:t>Cost of Inaction on the Social Determinants of Health by the National Centre for Social and Economic Modelling (NATSEM)</w:t>
        </w:r>
      </w:hyperlink>
    </w:p>
    <w:p w14:paraId="26FB8DAF" w14:textId="0FEEB7B8" w:rsidR="00653BB8" w:rsidRDefault="00930845" w:rsidP="00334E01">
      <w:pPr>
        <w:pStyle w:val="ListParagraph"/>
        <w:numPr>
          <w:ilvl w:val="0"/>
          <w:numId w:val="13"/>
        </w:numPr>
        <w:spacing w:after="120" w:line="312" w:lineRule="auto"/>
      </w:pPr>
      <w:hyperlink r:id="rId11" w:history="1">
        <w:r w:rsidR="00653BB8" w:rsidRPr="00653BB8">
          <w:rPr>
            <w:rStyle w:val="Hyperlink"/>
          </w:rPr>
          <w:t>Parliament of Tasmania Joint</w:t>
        </w:r>
        <w:r w:rsidR="00653BB8" w:rsidRPr="00334E01">
          <w:rPr>
            <w:rStyle w:val="Hyperlink"/>
            <w:rFonts w:cs="Arial"/>
          </w:rPr>
          <w:t xml:space="preserve"> Select Committee into Preventative Health Report March 2016</w:t>
        </w:r>
      </w:hyperlink>
    </w:p>
    <w:p w14:paraId="540AC810" w14:textId="1558223B" w:rsidR="00334E01" w:rsidRPr="007A02F7" w:rsidRDefault="007A02F7" w:rsidP="00334E01">
      <w:pPr>
        <w:pStyle w:val="ListParagraph"/>
        <w:numPr>
          <w:ilvl w:val="0"/>
          <w:numId w:val="13"/>
        </w:numPr>
        <w:spacing w:after="120" w:line="312" w:lineRule="auto"/>
        <w:rPr>
          <w:rStyle w:val="Hyperlink"/>
        </w:rPr>
      </w:pPr>
      <w:r>
        <w:fldChar w:fldCharType="begin"/>
      </w:r>
      <w:r w:rsidR="00125536">
        <w:instrText>HYPERLINK "http://www.aceobesitypolicy.com.au/"</w:instrText>
      </w:r>
      <w:r>
        <w:fldChar w:fldCharType="separate"/>
      </w:r>
      <w:r w:rsidR="00334E01" w:rsidRPr="007A02F7">
        <w:rPr>
          <w:rStyle w:val="Hyperlink"/>
        </w:rPr>
        <w:t xml:space="preserve">Assessing Cost-Effectiveness </w:t>
      </w:r>
      <w:r w:rsidR="00125536">
        <w:rPr>
          <w:rStyle w:val="Hyperlink"/>
        </w:rPr>
        <w:t>of Obesity Prevention Policies in Australia. ACE-Obesity Policy 2018 (Deakin University)</w:t>
      </w:r>
    </w:p>
    <w:p w14:paraId="3D998C8D" w14:textId="3EC6A770" w:rsidR="007A02F7" w:rsidRDefault="007A02F7" w:rsidP="00334E01">
      <w:pPr>
        <w:pStyle w:val="ListParagraph"/>
        <w:numPr>
          <w:ilvl w:val="0"/>
          <w:numId w:val="13"/>
        </w:numPr>
        <w:spacing w:after="120" w:line="312" w:lineRule="auto"/>
      </w:pPr>
      <w:r>
        <w:fldChar w:fldCharType="end"/>
      </w:r>
      <w:hyperlink r:id="rId12" w:history="1">
        <w:r w:rsidRPr="007A02F7">
          <w:rPr>
            <w:rStyle w:val="Hyperlink"/>
          </w:rPr>
          <w:t>The Case for Investing in Public Health (World Health Organisation)</w:t>
        </w:r>
      </w:hyperlink>
      <w:r>
        <w:t xml:space="preserve"> </w:t>
      </w:r>
    </w:p>
    <w:p w14:paraId="661249B4" w14:textId="6369EBE0" w:rsidR="00D025EC" w:rsidRDefault="00930845" w:rsidP="00334E01">
      <w:pPr>
        <w:pStyle w:val="ListParagraph"/>
        <w:numPr>
          <w:ilvl w:val="0"/>
          <w:numId w:val="13"/>
        </w:numPr>
        <w:spacing w:after="120" w:line="312" w:lineRule="auto"/>
      </w:pPr>
      <w:hyperlink r:id="rId13" w:history="1">
        <w:r w:rsidR="00D025EC" w:rsidRPr="00D025EC">
          <w:rPr>
            <w:rStyle w:val="Hyperlink"/>
          </w:rPr>
          <w:t>Preventive health: How much does Australia spend and is it enough?</w:t>
        </w:r>
      </w:hyperlink>
    </w:p>
    <w:p w14:paraId="284625FA" w14:textId="60AB41D3" w:rsidR="00653BB8" w:rsidRDefault="00653BB8" w:rsidP="00653BB8">
      <w:pPr>
        <w:spacing w:before="240" w:after="0" w:line="240" w:lineRule="auto"/>
        <w:rPr>
          <w:rFonts w:cs="Arial"/>
        </w:rPr>
      </w:pPr>
      <w:r>
        <w:rPr>
          <w:rFonts w:cs="Arial"/>
        </w:rPr>
        <w:t xml:space="preserve">Members of the Premier’s Health and Wellbeing Advisory Council have provided evidence and </w:t>
      </w:r>
      <w:r w:rsidR="00CB2352">
        <w:rPr>
          <w:rFonts w:cs="Arial"/>
        </w:rPr>
        <w:t>rationale</w:t>
      </w:r>
      <w:r>
        <w:rPr>
          <w:rFonts w:cs="Arial"/>
        </w:rPr>
        <w:t xml:space="preserve"> for prevention in recent submissions. These include the </w:t>
      </w:r>
    </w:p>
    <w:p w14:paraId="262BAAF5" w14:textId="77777777" w:rsidR="00653BB8" w:rsidRPr="00D716BB" w:rsidRDefault="00930845" w:rsidP="00653BB8">
      <w:pPr>
        <w:numPr>
          <w:ilvl w:val="1"/>
          <w:numId w:val="12"/>
        </w:numPr>
        <w:spacing w:before="240" w:after="0" w:line="240" w:lineRule="auto"/>
        <w:rPr>
          <w:rFonts w:cs="Arial"/>
        </w:rPr>
      </w:pPr>
      <w:hyperlink r:id="rId14" w:history="1">
        <w:r w:rsidR="00653BB8" w:rsidRPr="00D716BB">
          <w:rPr>
            <w:rStyle w:val="Hyperlink"/>
            <w:rFonts w:cs="Arial"/>
          </w:rPr>
          <w:t>Heart Foundation Budget Submission 2017-2021</w:t>
        </w:r>
      </w:hyperlink>
    </w:p>
    <w:p w14:paraId="744A4940" w14:textId="77777777" w:rsidR="00653BB8" w:rsidRPr="00D716BB" w:rsidRDefault="00930845" w:rsidP="00653BB8">
      <w:pPr>
        <w:keepLines/>
        <w:numPr>
          <w:ilvl w:val="1"/>
          <w:numId w:val="12"/>
        </w:numPr>
        <w:spacing w:before="240" w:beforeAutospacing="1" w:after="0" w:afterAutospacing="1" w:line="240" w:lineRule="auto"/>
        <w:rPr>
          <w:rFonts w:cs="Arial"/>
        </w:rPr>
      </w:pPr>
      <w:hyperlink r:id="rId15" w:history="1">
        <w:r w:rsidR="00653BB8" w:rsidRPr="00D716BB">
          <w:rPr>
            <w:rStyle w:val="Hyperlink"/>
            <w:rFonts w:cs="Arial"/>
          </w:rPr>
          <w:t>TasCOSS Budget Priorities Statement 2017_2018</w:t>
        </w:r>
      </w:hyperlink>
    </w:p>
    <w:p w14:paraId="60E90AB1" w14:textId="77777777" w:rsidR="00653BB8" w:rsidRPr="00D716BB" w:rsidRDefault="00930845" w:rsidP="00653BB8">
      <w:pPr>
        <w:keepLines/>
        <w:numPr>
          <w:ilvl w:val="1"/>
          <w:numId w:val="12"/>
        </w:numPr>
        <w:spacing w:before="240" w:beforeAutospacing="1" w:after="0" w:afterAutospacing="1" w:line="240" w:lineRule="auto"/>
        <w:rPr>
          <w:rFonts w:cs="Arial"/>
        </w:rPr>
      </w:pPr>
      <w:hyperlink r:id="rId16" w:history="1">
        <w:r w:rsidR="00653BB8" w:rsidRPr="00D716BB">
          <w:rPr>
            <w:rStyle w:val="Hyperlink"/>
            <w:rFonts w:cs="Arial"/>
          </w:rPr>
          <w:t>LGAT Submission – State Budget Priority Statement 2018-2019</w:t>
        </w:r>
      </w:hyperlink>
    </w:p>
    <w:p w14:paraId="674C1E9C" w14:textId="77777777" w:rsidR="00653BB8" w:rsidRPr="00D716BB" w:rsidRDefault="00930845" w:rsidP="00653BB8">
      <w:pPr>
        <w:keepLines/>
        <w:numPr>
          <w:ilvl w:val="1"/>
          <w:numId w:val="12"/>
        </w:numPr>
        <w:spacing w:before="240" w:beforeAutospacing="1" w:after="0" w:afterAutospacing="1" w:line="240" w:lineRule="auto"/>
        <w:rPr>
          <w:rFonts w:cs="Arial"/>
        </w:rPr>
      </w:pPr>
      <w:hyperlink r:id="rId17" w:history="1">
        <w:r w:rsidR="00653BB8" w:rsidRPr="00D716BB">
          <w:rPr>
            <w:rStyle w:val="Hyperlink"/>
            <w:rFonts w:cs="Arial"/>
          </w:rPr>
          <w:t>Healthy Food Access Tasmania Submission to the Healthy Tasmania 5 Year Strategy Discussion Paper, 2015</w:t>
        </w:r>
      </w:hyperlink>
    </w:p>
    <w:p w14:paraId="28284E26" w14:textId="30908079" w:rsidR="008D4495" w:rsidRPr="008D4495" w:rsidRDefault="008D4495" w:rsidP="008D4495">
      <w:pPr>
        <w:rPr>
          <w:rFonts w:ascii="Tahoma" w:hAnsi="Tahoma" w:cs="Tahoma"/>
          <w:b/>
          <w:color w:val="000000"/>
          <w:sz w:val="20"/>
          <w:szCs w:val="20"/>
        </w:rPr>
      </w:pPr>
      <w:r>
        <w:rPr>
          <w:b/>
        </w:rPr>
        <w:t xml:space="preserve">Tasmanian </w:t>
      </w:r>
      <w:r w:rsidR="00E77E1A">
        <w:rPr>
          <w:b/>
        </w:rPr>
        <w:t>Policy Drivers</w:t>
      </w:r>
      <w:r>
        <w:rPr>
          <w:b/>
        </w:rPr>
        <w:t xml:space="preserve"> </w:t>
      </w:r>
    </w:p>
    <w:p w14:paraId="23F62454" w14:textId="7FD04F55" w:rsidR="00401A3A" w:rsidRDefault="00E77E1A" w:rsidP="00E77E1A">
      <w:pPr>
        <w:spacing w:line="240" w:lineRule="auto"/>
        <w:rPr>
          <w:rFonts w:cs="Arial"/>
        </w:rPr>
      </w:pPr>
      <w:r>
        <w:rPr>
          <w:rFonts w:cs="Arial"/>
        </w:rPr>
        <w:t xml:space="preserve">The </w:t>
      </w:r>
      <w:hyperlink r:id="rId18" w:history="1">
        <w:r w:rsidR="006A64E8" w:rsidRPr="00E77E1A">
          <w:rPr>
            <w:rStyle w:val="Hyperlink"/>
            <w:rFonts w:cs="Arial"/>
          </w:rPr>
          <w:t>Healthy Tasmania five year strategic plan</w:t>
        </w:r>
      </w:hyperlink>
      <w:r>
        <w:rPr>
          <w:rFonts w:cs="Arial"/>
        </w:rPr>
        <w:t xml:space="preserve"> recognises taking a Health in All Policies approach as a way to “</w:t>
      </w:r>
      <w:r w:rsidRPr="00E77E1A">
        <w:rPr>
          <w:rFonts w:cs="Arial"/>
          <w:i/>
        </w:rPr>
        <w:t>support agencies and government businesses to better understand and consider the health impacts of their policies</w:t>
      </w:r>
      <w:r>
        <w:rPr>
          <w:rFonts w:cs="Arial"/>
        </w:rPr>
        <w:t xml:space="preserve">..”. This plan was </w:t>
      </w:r>
      <w:r w:rsidR="00401A3A">
        <w:rPr>
          <w:rFonts w:cs="Arial"/>
        </w:rPr>
        <w:t xml:space="preserve">informed by the work of the </w:t>
      </w:r>
      <w:hyperlink r:id="rId19" w:history="1">
        <w:r w:rsidR="00401A3A" w:rsidRPr="00E77E1A">
          <w:rPr>
            <w:rStyle w:val="Hyperlink"/>
            <w:rFonts w:cs="Arial"/>
          </w:rPr>
          <w:t>Healthy Tasmania Committee of the Health Council of Tasmania.</w:t>
        </w:r>
      </w:hyperlink>
      <w:r w:rsidR="00401A3A">
        <w:rPr>
          <w:rFonts w:cs="Arial"/>
        </w:rPr>
        <w:t xml:space="preserve"> </w:t>
      </w:r>
    </w:p>
    <w:p w14:paraId="6657BD43" w14:textId="77777777" w:rsidR="00AC3F3E" w:rsidRPr="000677DB" w:rsidRDefault="00AC3F3E" w:rsidP="00AC3F3E">
      <w:pPr>
        <w:rPr>
          <w:b/>
        </w:rPr>
      </w:pPr>
      <w:r>
        <w:rPr>
          <w:b/>
        </w:rPr>
        <w:lastRenderedPageBreak/>
        <w:t>What influences our health and wellbeing?</w:t>
      </w:r>
    </w:p>
    <w:p w14:paraId="416D22AD" w14:textId="12C812B2" w:rsidR="007152AC" w:rsidRPr="001E03D7" w:rsidRDefault="007152AC" w:rsidP="007152AC">
      <w:pPr>
        <w:spacing w:after="120" w:line="312" w:lineRule="auto"/>
      </w:pPr>
      <w:r w:rsidRPr="001E03D7">
        <w:t xml:space="preserve">Most of the factors that influence our health and wellbeing sit outside of the health sector such as employment, education, transport, poverty, early childhood experiences, housing, planning, food security, and social inclusion. </w:t>
      </w:r>
      <w:r>
        <w:t xml:space="preserve"> Find out more by reading </w:t>
      </w:r>
      <w:hyperlink r:id="rId20" w:history="1">
        <w:r w:rsidRPr="007152AC">
          <w:rPr>
            <w:rStyle w:val="Hyperlink"/>
          </w:rPr>
          <w:t>Closing the gap in a generation: health equity through action on the social determinants of health</w:t>
        </w:r>
      </w:hyperlink>
      <w:r>
        <w:t xml:space="preserve">. </w:t>
      </w:r>
    </w:p>
    <w:p w14:paraId="1B0A30E4" w14:textId="77777777" w:rsidR="00605DE0" w:rsidRPr="000677DB" w:rsidRDefault="00D8383F" w:rsidP="00605DE0">
      <w:pPr>
        <w:rPr>
          <w:b/>
        </w:rPr>
      </w:pPr>
      <w:r>
        <w:rPr>
          <w:b/>
        </w:rPr>
        <w:t>Health in All Policies</w:t>
      </w:r>
    </w:p>
    <w:p w14:paraId="6A6DD6E6" w14:textId="604C742C" w:rsidR="007152AC" w:rsidRDefault="007152AC" w:rsidP="007152AC">
      <w:r>
        <w:t>Health in All Policies (</w:t>
      </w:r>
      <w:r w:rsidRPr="005D5079">
        <w:t>HiAP</w:t>
      </w:r>
      <w:r>
        <w:t>)</w:t>
      </w:r>
      <w:r w:rsidRPr="005D5079">
        <w:t xml:space="preserve"> </w:t>
      </w:r>
      <w:r w:rsidR="004E42A8">
        <w:t>helps agencies to better understand and consider the health impacts of their policies and to develop long term solutions to address the social and economic factors that influence health</w:t>
      </w:r>
      <w:r w:rsidRPr="005D5079">
        <w:t xml:space="preserve">. </w:t>
      </w:r>
      <w:r>
        <w:t xml:space="preserve"> Find out more by reading these </w:t>
      </w:r>
      <w:hyperlink r:id="rId21" w:history="1">
        <w:r w:rsidRPr="007152AC">
          <w:rPr>
            <w:rStyle w:val="Hyperlink"/>
          </w:rPr>
          <w:t>World Health Organisation HiAP resources</w:t>
        </w:r>
      </w:hyperlink>
      <w:r>
        <w:t xml:space="preserve"> and for an Australian perspective see more at the </w:t>
      </w:r>
      <w:hyperlink r:id="rId22" w:history="1">
        <w:r w:rsidRPr="007152AC">
          <w:rPr>
            <w:rStyle w:val="Hyperlink"/>
          </w:rPr>
          <w:t>South Australian Government Health in All Policies approach</w:t>
        </w:r>
      </w:hyperlink>
      <w:r w:rsidR="00334E01">
        <w:t xml:space="preserve"> and for a research perspective by reading this </w:t>
      </w:r>
      <w:hyperlink r:id="rId23" w:history="1">
        <w:r w:rsidR="00334E01" w:rsidRPr="00334E01">
          <w:rPr>
            <w:rStyle w:val="Hyperlink"/>
          </w:rPr>
          <w:t>policy brief compiled by the Southgate Institute for Health, Society and Equity</w:t>
        </w:r>
      </w:hyperlink>
      <w:r w:rsidR="00334E01">
        <w:t xml:space="preserve">. </w:t>
      </w:r>
      <w:hyperlink r:id="rId24" w:history="1">
        <w:r w:rsidR="007C29FC" w:rsidRPr="007C29FC">
          <w:rPr>
            <w:rStyle w:val="Hyperlink"/>
          </w:rPr>
          <w:t>Canterbury District Health Board</w:t>
        </w:r>
      </w:hyperlink>
      <w:r w:rsidR="007C29FC">
        <w:t xml:space="preserve"> leads HiAP in New Zealand and has developed a range of tools and fact sheets. </w:t>
      </w:r>
    </w:p>
    <w:p w14:paraId="68236FB1" w14:textId="77777777" w:rsidR="00AC3F3E" w:rsidRPr="00AC3F3E" w:rsidRDefault="00AC3F3E" w:rsidP="000677DB">
      <w:pPr>
        <w:rPr>
          <w:b/>
        </w:rPr>
      </w:pPr>
      <w:r w:rsidRPr="00AC3F3E">
        <w:rPr>
          <w:b/>
        </w:rPr>
        <w:t>What works in prevention?</w:t>
      </w:r>
    </w:p>
    <w:p w14:paraId="1378834C" w14:textId="03E4E8FA" w:rsidR="003C10BC" w:rsidRDefault="000C2400" w:rsidP="000677DB">
      <w:r>
        <w:t xml:space="preserve">Much work has been done across the world to identify what works in relation to preventing non communicable disease including: </w:t>
      </w:r>
    </w:p>
    <w:p w14:paraId="08A7B9EE" w14:textId="09444E76" w:rsidR="000C2400" w:rsidRDefault="00930845" w:rsidP="000C2400">
      <w:pPr>
        <w:pStyle w:val="ListParagraph"/>
        <w:numPr>
          <w:ilvl w:val="0"/>
          <w:numId w:val="11"/>
        </w:numPr>
      </w:pPr>
      <w:hyperlink r:id="rId25" w:history="1">
        <w:r w:rsidR="000C2400" w:rsidRPr="000C2400">
          <w:rPr>
            <w:rStyle w:val="Hyperlink"/>
          </w:rPr>
          <w:t>World Health Organisation’s Tackling NCDs “Best buys” and other recommended interventions for the prevention and control of noncommunicable diseases</w:t>
        </w:r>
      </w:hyperlink>
    </w:p>
    <w:p w14:paraId="1C82B38D" w14:textId="67B87670" w:rsidR="000C2400" w:rsidRDefault="00930845" w:rsidP="000C2400">
      <w:pPr>
        <w:pStyle w:val="ListParagraph"/>
        <w:numPr>
          <w:ilvl w:val="0"/>
          <w:numId w:val="11"/>
        </w:numPr>
      </w:pPr>
      <w:hyperlink r:id="rId26" w:history="1">
        <w:r w:rsidR="00334E01" w:rsidRPr="00334E01">
          <w:rPr>
            <w:rStyle w:val="Hyperlink"/>
          </w:rPr>
          <w:t>World Innovation Summit for Health (WISH)2016  Forum reports</w:t>
        </w:r>
      </w:hyperlink>
      <w:r w:rsidR="00334E01">
        <w:t xml:space="preserve"> </w:t>
      </w:r>
    </w:p>
    <w:p w14:paraId="2AA4919D" w14:textId="454859F5" w:rsidR="00334E01" w:rsidRDefault="00930845" w:rsidP="000C2400">
      <w:pPr>
        <w:pStyle w:val="ListParagraph"/>
        <w:numPr>
          <w:ilvl w:val="0"/>
          <w:numId w:val="11"/>
        </w:numPr>
      </w:pPr>
      <w:hyperlink r:id="rId27" w:history="1">
        <w:r w:rsidR="00334E01" w:rsidRPr="00334E01">
          <w:rPr>
            <w:rStyle w:val="Hyperlink"/>
          </w:rPr>
          <w:t>World Health Organisation’s Global Action Plan on Physical Activity</w:t>
        </w:r>
      </w:hyperlink>
      <w:r w:rsidR="00334E01">
        <w:t xml:space="preserve"> </w:t>
      </w:r>
    </w:p>
    <w:p w14:paraId="1151BEB9" w14:textId="77777777" w:rsidR="003C10BC" w:rsidRPr="000677DB" w:rsidRDefault="003C10BC" w:rsidP="000677DB"/>
    <w:sectPr w:rsidR="003C10BC" w:rsidRPr="00067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w:altName w:val="Gill Sans"/>
    <w:panose1 w:val="020B06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4F2"/>
    <w:multiLevelType w:val="hybridMultilevel"/>
    <w:tmpl w:val="42C854F4"/>
    <w:lvl w:ilvl="0" w:tplc="776A8F3E">
      <w:start w:val="1"/>
      <w:numFmt w:val="bullet"/>
      <w:pStyle w:val="keymessage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8A136D"/>
    <w:multiLevelType w:val="hybridMultilevel"/>
    <w:tmpl w:val="E3945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A2CCB"/>
    <w:multiLevelType w:val="hybridMultilevel"/>
    <w:tmpl w:val="4D20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870CE"/>
    <w:multiLevelType w:val="multilevel"/>
    <w:tmpl w:val="03287EB0"/>
    <w:lvl w:ilvl="0">
      <w:start w:val="1"/>
      <w:numFmt w:val="bullet"/>
      <w:pStyle w:val="Response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 w15:restartNumberingAfterBreak="0">
    <w:nsid w:val="19ED6108"/>
    <w:multiLevelType w:val="hybridMultilevel"/>
    <w:tmpl w:val="64020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3E4941"/>
    <w:multiLevelType w:val="hybridMultilevel"/>
    <w:tmpl w:val="23FA9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60A91"/>
    <w:multiLevelType w:val="hybridMultilevel"/>
    <w:tmpl w:val="38D6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F5ECB"/>
    <w:multiLevelType w:val="multilevel"/>
    <w:tmpl w:val="9574F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61D89"/>
    <w:multiLevelType w:val="hybridMultilevel"/>
    <w:tmpl w:val="FF922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037C6C"/>
    <w:multiLevelType w:val="hybridMultilevel"/>
    <w:tmpl w:val="12CA4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4A6F13"/>
    <w:multiLevelType w:val="hybridMultilevel"/>
    <w:tmpl w:val="00064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EB7CF8"/>
    <w:multiLevelType w:val="hybridMultilevel"/>
    <w:tmpl w:val="FD3CB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0"/>
  </w:num>
  <w:num w:numId="5">
    <w:abstractNumId w:val="10"/>
  </w:num>
  <w:num w:numId="6">
    <w:abstractNumId w:val="1"/>
  </w:num>
  <w:num w:numId="7">
    <w:abstractNumId w:val="9"/>
  </w:num>
  <w:num w:numId="8">
    <w:abstractNumId w:val="11"/>
  </w:num>
  <w:num w:numId="9">
    <w:abstractNumId w:val="6"/>
  </w:num>
  <w:num w:numId="10">
    <w:abstractNumId w:val="2"/>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7B"/>
    <w:rsid w:val="00060B2A"/>
    <w:rsid w:val="000677DB"/>
    <w:rsid w:val="000C2400"/>
    <w:rsid w:val="00125536"/>
    <w:rsid w:val="00177EFF"/>
    <w:rsid w:val="001B4FC3"/>
    <w:rsid w:val="00232A9B"/>
    <w:rsid w:val="0029216D"/>
    <w:rsid w:val="00334E01"/>
    <w:rsid w:val="003C10BC"/>
    <w:rsid w:val="00401A3A"/>
    <w:rsid w:val="00444338"/>
    <w:rsid w:val="004972B5"/>
    <w:rsid w:val="004E42A8"/>
    <w:rsid w:val="004E4F5F"/>
    <w:rsid w:val="005437D9"/>
    <w:rsid w:val="00584830"/>
    <w:rsid w:val="00593615"/>
    <w:rsid w:val="005957C0"/>
    <w:rsid w:val="005A0515"/>
    <w:rsid w:val="005B5B9B"/>
    <w:rsid w:val="00605DE0"/>
    <w:rsid w:val="00653BB8"/>
    <w:rsid w:val="006A64E8"/>
    <w:rsid w:val="00701A12"/>
    <w:rsid w:val="007128C8"/>
    <w:rsid w:val="007152AC"/>
    <w:rsid w:val="0073572C"/>
    <w:rsid w:val="007A02F7"/>
    <w:rsid w:val="007B7817"/>
    <w:rsid w:val="007C29FC"/>
    <w:rsid w:val="007D6C77"/>
    <w:rsid w:val="008D4495"/>
    <w:rsid w:val="009272FB"/>
    <w:rsid w:val="00930845"/>
    <w:rsid w:val="009E1B7B"/>
    <w:rsid w:val="00A61B1B"/>
    <w:rsid w:val="00AC3F3E"/>
    <w:rsid w:val="00B760ED"/>
    <w:rsid w:val="00C707F9"/>
    <w:rsid w:val="00C9286F"/>
    <w:rsid w:val="00CB2352"/>
    <w:rsid w:val="00D025EC"/>
    <w:rsid w:val="00D264CA"/>
    <w:rsid w:val="00D716BB"/>
    <w:rsid w:val="00D8383F"/>
    <w:rsid w:val="00DB13AA"/>
    <w:rsid w:val="00E77E1A"/>
    <w:rsid w:val="00EF5E9B"/>
    <w:rsid w:val="00F44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07EE"/>
  <w15:chartTrackingRefBased/>
  <w15:docId w15:val="{28AC9FF2-D52E-4C0E-9989-43A988ED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messages">
    <w:name w:val="key messages"/>
    <w:basedOn w:val="ListParagraph"/>
    <w:rsid w:val="00605DE0"/>
    <w:pPr>
      <w:numPr>
        <w:numId w:val="1"/>
      </w:numPr>
      <w:tabs>
        <w:tab w:val="num" w:pos="360"/>
      </w:tabs>
      <w:spacing w:after="240" w:line="240" w:lineRule="auto"/>
      <w:ind w:left="709" w:hanging="709"/>
      <w:contextualSpacing w:val="0"/>
    </w:pPr>
    <w:rPr>
      <w:rFonts w:ascii="GillSans" w:eastAsia="Times New Roman" w:hAnsi="GillSans" w:cs="Arial"/>
      <w:sz w:val="32"/>
      <w:szCs w:val="32"/>
      <w:lang w:eastAsia="en-AU"/>
    </w:rPr>
  </w:style>
  <w:style w:type="paragraph" w:styleId="ListParagraph">
    <w:name w:val="List Paragraph"/>
    <w:basedOn w:val="Normal"/>
    <w:uiPriority w:val="34"/>
    <w:qFormat/>
    <w:rsid w:val="00605DE0"/>
    <w:pPr>
      <w:ind w:left="720"/>
      <w:contextualSpacing/>
    </w:pPr>
  </w:style>
  <w:style w:type="character" w:styleId="Hyperlink">
    <w:name w:val="Hyperlink"/>
    <w:basedOn w:val="DefaultParagraphFont"/>
    <w:uiPriority w:val="99"/>
    <w:unhideWhenUsed/>
    <w:rsid w:val="00605DE0"/>
    <w:rPr>
      <w:color w:val="0563C1" w:themeColor="hyperlink"/>
      <w:u w:val="single"/>
    </w:rPr>
  </w:style>
  <w:style w:type="paragraph" w:customStyle="1" w:styleId="Responselevel1">
    <w:name w:val="Response (level 1)"/>
    <w:basedOn w:val="Normal"/>
    <w:rsid w:val="00EF5E9B"/>
    <w:pPr>
      <w:keepLines/>
      <w:numPr>
        <w:numId w:val="2"/>
      </w:numPr>
      <w:spacing w:before="240" w:after="60" w:line="300" w:lineRule="atLeast"/>
    </w:pPr>
    <w:rPr>
      <w:rFonts w:ascii="Gill Sans MT" w:eastAsia="Times New Roman" w:hAnsi="Gill Sans MT" w:cs="Times New Roman"/>
      <w:sz w:val="32"/>
      <w:szCs w:val="32"/>
    </w:rPr>
  </w:style>
  <w:style w:type="table" w:styleId="TableGrid">
    <w:name w:val="Table Grid"/>
    <w:basedOn w:val="TableNormal"/>
    <w:uiPriority w:val="39"/>
    <w:rsid w:val="00EF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4919"/>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A64E8"/>
    <w:rPr>
      <w:sz w:val="16"/>
      <w:szCs w:val="16"/>
    </w:rPr>
  </w:style>
  <w:style w:type="paragraph" w:styleId="CommentText">
    <w:name w:val="annotation text"/>
    <w:basedOn w:val="Normal"/>
    <w:link w:val="CommentTextChar"/>
    <w:uiPriority w:val="99"/>
    <w:semiHidden/>
    <w:unhideWhenUsed/>
    <w:rsid w:val="006A64E8"/>
    <w:pPr>
      <w:spacing w:line="240" w:lineRule="auto"/>
    </w:pPr>
    <w:rPr>
      <w:sz w:val="20"/>
      <w:szCs w:val="20"/>
    </w:rPr>
  </w:style>
  <w:style w:type="character" w:customStyle="1" w:styleId="CommentTextChar">
    <w:name w:val="Comment Text Char"/>
    <w:basedOn w:val="DefaultParagraphFont"/>
    <w:link w:val="CommentText"/>
    <w:uiPriority w:val="99"/>
    <w:semiHidden/>
    <w:rsid w:val="006A64E8"/>
    <w:rPr>
      <w:sz w:val="20"/>
      <w:szCs w:val="20"/>
    </w:rPr>
  </w:style>
  <w:style w:type="paragraph" w:styleId="CommentSubject">
    <w:name w:val="annotation subject"/>
    <w:basedOn w:val="CommentText"/>
    <w:next w:val="CommentText"/>
    <w:link w:val="CommentSubjectChar"/>
    <w:uiPriority w:val="99"/>
    <w:semiHidden/>
    <w:unhideWhenUsed/>
    <w:rsid w:val="006A64E8"/>
    <w:rPr>
      <w:b/>
      <w:bCs/>
    </w:rPr>
  </w:style>
  <w:style w:type="character" w:customStyle="1" w:styleId="CommentSubjectChar">
    <w:name w:val="Comment Subject Char"/>
    <w:basedOn w:val="CommentTextChar"/>
    <w:link w:val="CommentSubject"/>
    <w:uiPriority w:val="99"/>
    <w:semiHidden/>
    <w:rsid w:val="006A64E8"/>
    <w:rPr>
      <w:b/>
      <w:bCs/>
      <w:sz w:val="20"/>
      <w:szCs w:val="20"/>
    </w:rPr>
  </w:style>
  <w:style w:type="paragraph" w:styleId="BalloonText">
    <w:name w:val="Balloon Text"/>
    <w:basedOn w:val="Normal"/>
    <w:link w:val="BalloonTextChar"/>
    <w:uiPriority w:val="99"/>
    <w:semiHidden/>
    <w:unhideWhenUsed/>
    <w:rsid w:val="006A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E8"/>
    <w:rPr>
      <w:rFonts w:ascii="Segoe UI" w:hAnsi="Segoe UI" w:cs="Segoe UI"/>
      <w:sz w:val="18"/>
      <w:szCs w:val="18"/>
    </w:rPr>
  </w:style>
  <w:style w:type="paragraph" w:customStyle="1" w:styleId="default">
    <w:name w:val="default"/>
    <w:basedOn w:val="Normal"/>
    <w:rsid w:val="00C707F9"/>
    <w:pPr>
      <w:spacing w:after="0"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53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260">
      <w:bodyDiv w:val="1"/>
      <w:marLeft w:val="0"/>
      <w:marRight w:val="0"/>
      <w:marTop w:val="0"/>
      <w:marBottom w:val="0"/>
      <w:divBdr>
        <w:top w:val="none" w:sz="0" w:space="0" w:color="auto"/>
        <w:left w:val="none" w:sz="0" w:space="0" w:color="auto"/>
        <w:bottom w:val="none" w:sz="0" w:space="0" w:color="auto"/>
        <w:right w:val="none" w:sz="0" w:space="0" w:color="auto"/>
      </w:divBdr>
    </w:div>
    <w:div w:id="515390251">
      <w:bodyDiv w:val="1"/>
      <w:marLeft w:val="0"/>
      <w:marRight w:val="0"/>
      <w:marTop w:val="0"/>
      <w:marBottom w:val="0"/>
      <w:divBdr>
        <w:top w:val="none" w:sz="0" w:space="0" w:color="auto"/>
        <w:left w:val="none" w:sz="0" w:space="0" w:color="auto"/>
        <w:bottom w:val="none" w:sz="0" w:space="0" w:color="auto"/>
        <w:right w:val="none" w:sz="0" w:space="0" w:color="auto"/>
      </w:divBdr>
    </w:div>
    <w:div w:id="713844001">
      <w:bodyDiv w:val="1"/>
      <w:marLeft w:val="0"/>
      <w:marRight w:val="0"/>
      <w:marTop w:val="0"/>
      <w:marBottom w:val="0"/>
      <w:divBdr>
        <w:top w:val="none" w:sz="0" w:space="0" w:color="auto"/>
        <w:left w:val="none" w:sz="0" w:space="0" w:color="auto"/>
        <w:bottom w:val="none" w:sz="0" w:space="0" w:color="auto"/>
        <w:right w:val="none" w:sz="0" w:space="0" w:color="auto"/>
      </w:divBdr>
    </w:div>
    <w:div w:id="832529909">
      <w:bodyDiv w:val="1"/>
      <w:marLeft w:val="0"/>
      <w:marRight w:val="0"/>
      <w:marTop w:val="0"/>
      <w:marBottom w:val="0"/>
      <w:divBdr>
        <w:top w:val="none" w:sz="0" w:space="0" w:color="auto"/>
        <w:left w:val="none" w:sz="0" w:space="0" w:color="auto"/>
        <w:bottom w:val="none" w:sz="0" w:space="0" w:color="auto"/>
        <w:right w:val="none" w:sz="0" w:space="0" w:color="auto"/>
      </w:divBdr>
    </w:div>
    <w:div w:id="974405248">
      <w:bodyDiv w:val="1"/>
      <w:marLeft w:val="0"/>
      <w:marRight w:val="0"/>
      <w:marTop w:val="0"/>
      <w:marBottom w:val="0"/>
      <w:divBdr>
        <w:top w:val="none" w:sz="0" w:space="0" w:color="auto"/>
        <w:left w:val="none" w:sz="0" w:space="0" w:color="auto"/>
        <w:bottom w:val="none" w:sz="0" w:space="0" w:color="auto"/>
        <w:right w:val="none" w:sz="0" w:space="0" w:color="auto"/>
      </w:divBdr>
    </w:div>
    <w:div w:id="1118379531">
      <w:bodyDiv w:val="1"/>
      <w:marLeft w:val="0"/>
      <w:marRight w:val="0"/>
      <w:marTop w:val="0"/>
      <w:marBottom w:val="0"/>
      <w:divBdr>
        <w:top w:val="none" w:sz="0" w:space="0" w:color="auto"/>
        <w:left w:val="none" w:sz="0" w:space="0" w:color="auto"/>
        <w:bottom w:val="none" w:sz="0" w:space="0" w:color="auto"/>
        <w:right w:val="none" w:sz="0" w:space="0" w:color="auto"/>
      </w:divBdr>
    </w:div>
    <w:div w:id="1257639576">
      <w:bodyDiv w:val="1"/>
      <w:marLeft w:val="0"/>
      <w:marRight w:val="0"/>
      <w:marTop w:val="0"/>
      <w:marBottom w:val="0"/>
      <w:divBdr>
        <w:top w:val="none" w:sz="0" w:space="0" w:color="auto"/>
        <w:left w:val="none" w:sz="0" w:space="0" w:color="auto"/>
        <w:bottom w:val="none" w:sz="0" w:space="0" w:color="auto"/>
        <w:right w:val="none" w:sz="0" w:space="0" w:color="auto"/>
      </w:divBdr>
    </w:div>
    <w:div w:id="1602103884">
      <w:bodyDiv w:val="1"/>
      <w:marLeft w:val="0"/>
      <w:marRight w:val="0"/>
      <w:marTop w:val="0"/>
      <w:marBottom w:val="0"/>
      <w:divBdr>
        <w:top w:val="none" w:sz="0" w:space="0" w:color="auto"/>
        <w:left w:val="none" w:sz="0" w:space="0" w:color="auto"/>
        <w:bottom w:val="none" w:sz="0" w:space="0" w:color="auto"/>
        <w:right w:val="none" w:sz="0" w:space="0" w:color="auto"/>
      </w:divBdr>
    </w:div>
    <w:div w:id="1640841525">
      <w:bodyDiv w:val="1"/>
      <w:marLeft w:val="0"/>
      <w:marRight w:val="0"/>
      <w:marTop w:val="0"/>
      <w:marBottom w:val="0"/>
      <w:divBdr>
        <w:top w:val="none" w:sz="0" w:space="0" w:color="auto"/>
        <w:left w:val="none" w:sz="0" w:space="0" w:color="auto"/>
        <w:bottom w:val="none" w:sz="0" w:space="0" w:color="auto"/>
        <w:right w:val="none" w:sz="0" w:space="0" w:color="auto"/>
      </w:divBdr>
    </w:div>
    <w:div w:id="1749617491">
      <w:bodyDiv w:val="1"/>
      <w:marLeft w:val="0"/>
      <w:marRight w:val="0"/>
      <w:marTop w:val="0"/>
      <w:marBottom w:val="0"/>
      <w:divBdr>
        <w:top w:val="none" w:sz="0" w:space="0" w:color="auto"/>
        <w:left w:val="none" w:sz="0" w:space="0" w:color="auto"/>
        <w:bottom w:val="none" w:sz="0" w:space="0" w:color="auto"/>
        <w:right w:val="none" w:sz="0" w:space="0" w:color="auto"/>
      </w:divBdr>
    </w:div>
    <w:div w:id="2010520935">
      <w:bodyDiv w:val="1"/>
      <w:marLeft w:val="0"/>
      <w:marRight w:val="0"/>
      <w:marTop w:val="0"/>
      <w:marBottom w:val="0"/>
      <w:divBdr>
        <w:top w:val="none" w:sz="0" w:space="0" w:color="auto"/>
        <w:left w:val="none" w:sz="0" w:space="0" w:color="auto"/>
        <w:bottom w:val="none" w:sz="0" w:space="0" w:color="auto"/>
        <w:right w:val="none" w:sz="0" w:space="0" w:color="auto"/>
      </w:divBdr>
    </w:div>
    <w:div w:id="20592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tas.gov.au/publichealth/health_literacy" TargetMode="External"/><Relationship Id="rId13" Type="http://schemas.openxmlformats.org/officeDocument/2006/relationships/hyperlink" Target="http://fare.org.au/wp-content/uploads/Preventive-health-How-much-does-Australia-spend-and-is-it-enough_FINAL.pdf" TargetMode="External"/><Relationship Id="rId18" Type="http://schemas.openxmlformats.org/officeDocument/2006/relationships/hyperlink" Target="https://www.dhhs.tas.gov.au/__data/assets/pdf_file/0008/224567/Healthy_Tasmania_Strategic_Plan_Web_v8_LR.pdf" TargetMode="External"/><Relationship Id="rId26" Type="http://schemas.openxmlformats.org/officeDocument/2006/relationships/hyperlink" Target="http://www.wish.org.qa/summits/wish-2016/forum-reports/" TargetMode="External"/><Relationship Id="rId3" Type="http://schemas.openxmlformats.org/officeDocument/2006/relationships/styles" Target="styles.xml"/><Relationship Id="rId21" Type="http://schemas.openxmlformats.org/officeDocument/2006/relationships/hyperlink" Target="https://www.paho.org/hq/index.php?option=com_content&amp;view=article&amp;id=9356:2014-health-all-policies-resources&amp;Itemid=40173&amp;lang=fr" TargetMode="External"/><Relationship Id="rId7" Type="http://schemas.openxmlformats.org/officeDocument/2006/relationships/hyperlink" Target="https://www.dhhs.tas.gov.au/wihpw" TargetMode="External"/><Relationship Id="rId12" Type="http://schemas.openxmlformats.org/officeDocument/2006/relationships/hyperlink" Target="http://www.euro.who.int/__data/assets/pdf_file/0009/278073/Case-Investing-Public-Health.pdf" TargetMode="External"/><Relationship Id="rId17" Type="http://schemas.openxmlformats.org/officeDocument/2006/relationships/hyperlink" Target="https://www.heartfoundation.org.au/images/uploads/publications/Heathy_Food_Access_Tasmania_-_Healthy_Tasmania_submission_FINAL19.2.2016.pdf" TargetMode="External"/><Relationship Id="rId25" Type="http://schemas.openxmlformats.org/officeDocument/2006/relationships/hyperlink" Target="http://www.who.int/ncds/management/best-buys/en/" TargetMode="External"/><Relationship Id="rId2" Type="http://schemas.openxmlformats.org/officeDocument/2006/relationships/numbering" Target="numbering.xml"/><Relationship Id="rId16" Type="http://schemas.openxmlformats.org/officeDocument/2006/relationships/hyperlink" Target="https://www.lgat.tas.gov.au/webdata/resources/files/LGAT%20Budget%20Priority%20Statement%202018-19.pdf" TargetMode="External"/><Relationship Id="rId20" Type="http://schemas.openxmlformats.org/officeDocument/2006/relationships/hyperlink" Target="http://www.who.int/social_determinants/final_report/csdh_finalreport_200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hhs.tas.gov.au/healthytasmania" TargetMode="External"/><Relationship Id="rId11" Type="http://schemas.openxmlformats.org/officeDocument/2006/relationships/hyperlink" Target="http://www.parliament.tas.gov.au/ctee/Joint/Reports/JSCPH%20FINAL%20REPORT%20160311.pdf" TargetMode="External"/><Relationship Id="rId24" Type="http://schemas.openxmlformats.org/officeDocument/2006/relationships/hyperlink" Target="https://www.cph.co.nz/your-health/health-in-all-policies/" TargetMode="External"/><Relationship Id="rId5" Type="http://schemas.openxmlformats.org/officeDocument/2006/relationships/webSettings" Target="webSettings.xml"/><Relationship Id="rId15" Type="http://schemas.openxmlformats.org/officeDocument/2006/relationships/hyperlink" Target="http://www.tascoss.org.au/budget-priorities-2/" TargetMode="External"/><Relationship Id="rId23" Type="http://schemas.openxmlformats.org/officeDocument/2006/relationships/hyperlink" Target="http://www.flinders.edu.au/medicine/fms/sites/southgate/documents/Policy%20briefing%20FINAL.pdf" TargetMode="External"/><Relationship Id="rId28" Type="http://schemas.openxmlformats.org/officeDocument/2006/relationships/fontTable" Target="fontTable.xml"/><Relationship Id="rId10" Type="http://schemas.openxmlformats.org/officeDocument/2006/relationships/hyperlink" Target="https://www.cha.org.au/images/CHA-NATSEM%20Cost%20of%20Inaction.pdf" TargetMode="External"/><Relationship Id="rId19" Type="http://schemas.openxmlformats.org/officeDocument/2006/relationships/hyperlink" Target="https://www.dhhs.tas.gov.au/__data/assets/pdf_file/0009/224568/Healthy_Tasmania_Committee_-_Report_to_Government.pdf" TargetMode="External"/><Relationship Id="rId4" Type="http://schemas.openxmlformats.org/officeDocument/2006/relationships/settings" Target="settings.xml"/><Relationship Id="rId9" Type="http://schemas.openxmlformats.org/officeDocument/2006/relationships/hyperlink" Target="https://www.dhhs.tas.gov.au/publichealth/epidemiology" TargetMode="External"/><Relationship Id="rId14" Type="http://schemas.openxmlformats.org/officeDocument/2006/relationships/hyperlink" Target="https://www.heartfoundation.org.au/images/uploads/publications/Heart_Foundation_2017-18_State_Budget_Submission.pdf" TargetMode="External"/><Relationship Id="rId22" Type="http://schemas.openxmlformats.org/officeDocument/2006/relationships/hyperlink" Target="https://www.sahealth.sa.gov.au/wps/wcm/connect/public+content/sa+health+internet/health+reform/health+in+all+policies" TargetMode="External"/><Relationship Id="rId27" Type="http://schemas.openxmlformats.org/officeDocument/2006/relationships/hyperlink" Target="http://www.who.int/ncds/prevention/physical-activity/global-action-plan-2018-203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1A9F6-E0C4-4BCB-A943-8D9A7187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Julie</dc:creator>
  <cp:keywords/>
  <dc:description/>
  <cp:lastModifiedBy>Williams, Julie</cp:lastModifiedBy>
  <cp:revision>21</cp:revision>
  <dcterms:created xsi:type="dcterms:W3CDTF">2018-10-05T00:27:00Z</dcterms:created>
  <dcterms:modified xsi:type="dcterms:W3CDTF">2019-01-06T23:15:00Z</dcterms:modified>
</cp:coreProperties>
</file>