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3F4C" w14:textId="0F8DCF9B" w:rsidR="00203714" w:rsidRPr="008C62F5" w:rsidRDefault="00F532ED" w:rsidP="00203714">
      <w:pPr>
        <w:keepNext/>
        <w:keepLines/>
        <w:spacing w:before="120" w:after="240" w:line="240" w:lineRule="auto"/>
        <w:outlineLvl w:val="2"/>
        <w:rPr>
          <w:rFonts w:ascii="Arial" w:eastAsia="MS Gothic" w:hAnsi="Arial" w:cs="Times New Roman"/>
          <w:b/>
          <w:i/>
          <w:iCs/>
          <w:color w:val="1F3864"/>
          <w:kern w:val="0"/>
          <w:sz w:val="28"/>
          <w:szCs w:val="28"/>
          <w14:ligatures w14:val="none"/>
        </w:rPr>
      </w:pPr>
      <w:proofErr w:type="gramStart"/>
      <w:r w:rsidRPr="008C62F5">
        <w:rPr>
          <w:rFonts w:ascii="Arial" w:eastAsia="MS Gothic" w:hAnsi="Arial" w:cs="Times New Roman"/>
          <w:b/>
          <w:i/>
          <w:iCs/>
          <w:color w:val="1F3864"/>
          <w:kern w:val="0"/>
          <w:sz w:val="28"/>
          <w:szCs w:val="28"/>
          <w14:ligatures w14:val="none"/>
        </w:rPr>
        <w:t>At a glance</w:t>
      </w:r>
      <w:proofErr w:type="gramEnd"/>
      <w:r w:rsidRPr="008C62F5">
        <w:rPr>
          <w:rFonts w:ascii="Arial" w:eastAsia="MS Gothic" w:hAnsi="Arial" w:cs="Times New Roman"/>
          <w:b/>
          <w:i/>
          <w:iCs/>
          <w:color w:val="1F3864"/>
          <w:kern w:val="0"/>
          <w:sz w:val="28"/>
          <w:szCs w:val="28"/>
          <w14:ligatures w14:val="none"/>
        </w:rPr>
        <w:t xml:space="preserve"> - </w:t>
      </w:r>
      <w:r w:rsidR="00203714" w:rsidRPr="008C62F5">
        <w:rPr>
          <w:rFonts w:ascii="Arial" w:eastAsia="MS Gothic" w:hAnsi="Arial" w:cs="Times New Roman"/>
          <w:b/>
          <w:i/>
          <w:iCs/>
          <w:color w:val="1F3864"/>
          <w:kern w:val="0"/>
          <w:sz w:val="28"/>
          <w:szCs w:val="28"/>
          <w14:ligatures w14:val="none"/>
        </w:rPr>
        <w:t>Local Government Electoral Bill discussion paper</w:t>
      </w:r>
    </w:p>
    <w:p w14:paraId="432BB5DB" w14:textId="6553F53B" w:rsidR="008D432F" w:rsidRDefault="00D46E1A" w:rsidP="00203714">
      <w:pPr>
        <w:spacing w:after="120" w:line="288" w:lineRule="auto"/>
        <w:rPr>
          <w:rFonts w:ascii="Arial" w:eastAsia="Arial" w:hAnsi="Arial" w:cs="Times New Roman"/>
          <w:kern w:val="0"/>
          <w:sz w:val="24"/>
          <w14:ligatures w14:val="none"/>
        </w:rPr>
      </w:pPr>
      <w:r>
        <w:rPr>
          <w:rFonts w:ascii="Arial" w:eastAsia="Arial" w:hAnsi="Arial" w:cs="Times New Roman"/>
          <w:kern w:val="0"/>
          <w:sz w:val="24"/>
          <w14:ligatures w14:val="none"/>
        </w:rPr>
        <w:t>The Government is inviting public comment on forward-looking reforms to how we conduct local government elections in Tasmania.</w:t>
      </w:r>
    </w:p>
    <w:p w14:paraId="4FB9241C" w14:textId="4E622415"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The </w:t>
      </w:r>
      <w:r>
        <w:rPr>
          <w:rFonts w:ascii="Arial" w:eastAsia="Arial" w:hAnsi="Arial" w:cs="Times New Roman"/>
          <w:kern w:val="0"/>
          <w:sz w:val="24"/>
          <w14:ligatures w14:val="none"/>
        </w:rPr>
        <w:t>discussion</w:t>
      </w:r>
      <w:r w:rsidR="00D46E1A">
        <w:rPr>
          <w:rFonts w:ascii="Arial" w:eastAsia="Arial" w:hAnsi="Arial" w:cs="Times New Roman"/>
          <w:kern w:val="0"/>
          <w:sz w:val="24"/>
          <w14:ligatures w14:val="none"/>
        </w:rPr>
        <w:t xml:space="preserve"> paper</w:t>
      </w:r>
      <w:r>
        <w:rPr>
          <w:rFonts w:ascii="Arial" w:eastAsia="Arial" w:hAnsi="Arial" w:cs="Times New Roman"/>
          <w:kern w:val="0"/>
          <w:sz w:val="24"/>
          <w14:ligatures w14:val="none"/>
        </w:rPr>
        <w:t xml:space="preserve"> is</w:t>
      </w:r>
      <w:r w:rsidRPr="00203714">
        <w:rPr>
          <w:rFonts w:ascii="Arial" w:eastAsia="Arial" w:hAnsi="Arial" w:cs="Times New Roman"/>
          <w:kern w:val="0"/>
          <w:sz w:val="24"/>
          <w14:ligatures w14:val="none"/>
        </w:rPr>
        <w:t xml:space="preserve"> organised around five key outcomes:</w:t>
      </w:r>
    </w:p>
    <w:p w14:paraId="0CAB257C"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a more flexible and accessible format for local government elections</w:t>
      </w:r>
    </w:p>
    <w:p w14:paraId="1CC9BB53" w14:textId="4192A405"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a better </w:t>
      </w:r>
      <w:r w:rsidR="00283EB9">
        <w:rPr>
          <w:rFonts w:ascii="Arial" w:eastAsia="Arial" w:hAnsi="Arial" w:cs="Times New Roman"/>
          <w:kern w:val="0"/>
          <w:sz w:val="24"/>
          <w14:ligatures w14:val="none"/>
        </w:rPr>
        <w:t xml:space="preserve">voting </w:t>
      </w:r>
      <w:r w:rsidRPr="00203714">
        <w:rPr>
          <w:rFonts w:ascii="Arial" w:eastAsia="Arial" w:hAnsi="Arial" w:cs="Times New Roman"/>
          <w:kern w:val="0"/>
          <w:sz w:val="24"/>
          <w14:ligatures w14:val="none"/>
        </w:rPr>
        <w:t>franchise for electors and changes to eligibility to run for office</w:t>
      </w:r>
    </w:p>
    <w:p w14:paraId="02241840"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better quality of public information at elections</w:t>
      </w:r>
    </w:p>
    <w:p w14:paraId="3DC31276"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strengthened donations disclosure and electoral advertising requirements</w:t>
      </w:r>
    </w:p>
    <w:p w14:paraId="7FA81015" w14:textId="77777777" w:rsidR="00203714" w:rsidRPr="00203714" w:rsidRDefault="00203714" w:rsidP="00203714">
      <w:pPr>
        <w:pStyle w:val="ListParagraph"/>
        <w:numPr>
          <w:ilvl w:val="0"/>
          <w:numId w:val="1"/>
        </w:numPr>
        <w:spacing w:after="120" w:line="312"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other changes to support the integrity of elections.</w:t>
      </w:r>
    </w:p>
    <w:p w14:paraId="283DFA83" w14:textId="4C8839BE" w:rsidR="00203714" w:rsidRPr="00203714" w:rsidRDefault="00203714" w:rsidP="00203714">
      <w:pPr>
        <w:keepNext/>
        <w:keepLines/>
        <w:spacing w:before="120" w:after="240" w:line="240" w:lineRule="auto"/>
        <w:outlineLvl w:val="2"/>
        <w:rPr>
          <w:rFonts w:ascii="Arial" w:eastAsia="MS Gothic" w:hAnsi="Arial" w:cs="Times New Roman"/>
          <w:b/>
          <w:color w:val="1F3864"/>
          <w:kern w:val="0"/>
          <w:sz w:val="24"/>
          <w:szCs w:val="26"/>
          <w14:ligatures w14:val="none"/>
        </w:rPr>
      </w:pPr>
      <w:r w:rsidRPr="00203714">
        <w:rPr>
          <w:rFonts w:ascii="Arial" w:eastAsia="MS Gothic" w:hAnsi="Arial" w:cs="Times New Roman"/>
          <w:b/>
          <w:color w:val="1F3864"/>
          <w:kern w:val="0"/>
          <w:sz w:val="24"/>
          <w:szCs w:val="26"/>
          <w14:ligatures w14:val="none"/>
        </w:rPr>
        <w:t xml:space="preserve">Future format of elections </w:t>
      </w:r>
    </w:p>
    <w:p w14:paraId="6D7DF6F4" w14:textId="0E2321CB" w:rsidR="00203714" w:rsidRDefault="002C20A1" w:rsidP="00203714">
      <w:pPr>
        <w:spacing w:after="120" w:line="288" w:lineRule="auto"/>
        <w:rPr>
          <w:rFonts w:ascii="Arial" w:eastAsia="Arial" w:hAnsi="Arial" w:cs="Times New Roman"/>
          <w:kern w:val="0"/>
          <w:sz w:val="24"/>
          <w14:ligatures w14:val="none"/>
        </w:rPr>
      </w:pPr>
      <w:r>
        <w:rPr>
          <w:rFonts w:ascii="Arial" w:eastAsia="Arial" w:hAnsi="Arial" w:cs="Times New Roman"/>
          <w:kern w:val="0"/>
          <w:sz w:val="24"/>
          <w14:ligatures w14:val="none"/>
        </w:rPr>
        <w:t>The paper outlines scenarios for how we may conduct</w:t>
      </w:r>
      <w:r w:rsidR="00203714" w:rsidRPr="00203714">
        <w:rPr>
          <w:rFonts w:ascii="Arial" w:eastAsia="Arial" w:hAnsi="Arial" w:cs="Times New Roman"/>
          <w:kern w:val="0"/>
          <w:sz w:val="24"/>
          <w14:ligatures w14:val="none"/>
        </w:rPr>
        <w:t xml:space="preserve"> local government elections in the future</w:t>
      </w:r>
      <w:r w:rsidR="00203714">
        <w:rPr>
          <w:rFonts w:ascii="Arial" w:eastAsia="Arial" w:hAnsi="Arial" w:cs="Times New Roman"/>
          <w:kern w:val="0"/>
          <w:sz w:val="24"/>
          <w14:ligatures w14:val="none"/>
        </w:rPr>
        <w:t xml:space="preserve">. </w:t>
      </w:r>
      <w:r w:rsidR="00203714" w:rsidRPr="00203714">
        <w:rPr>
          <w:rFonts w:ascii="Arial" w:eastAsia="Arial" w:hAnsi="Arial" w:cs="Arial"/>
          <w:kern w:val="0"/>
          <w:sz w:val="24"/>
          <w:szCs w:val="24"/>
          <w14:ligatures w14:val="none"/>
        </w:rPr>
        <w:t xml:space="preserve">This responds to challenges, namely decreasing postal services standards and increasing costs, which will continue to challenge the conduct of elections by postal ballot. </w:t>
      </w:r>
      <w:r w:rsidR="00203714" w:rsidRPr="00203714">
        <w:rPr>
          <w:rFonts w:ascii="Arial" w:eastAsia="Arial" w:hAnsi="Arial" w:cs="Times New Roman"/>
          <w:kern w:val="0"/>
          <w:sz w:val="24"/>
          <w14:ligatures w14:val="none"/>
        </w:rPr>
        <w:t>We know some change to the current model is inevitable. The goal is to ensure our legislation provides flexibility to adapt the format of elections having regard to evolving technologies and community needs, among other things.</w:t>
      </w:r>
    </w:p>
    <w:p w14:paraId="1477DC44" w14:textId="2A25E2E2"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The paper presents two scenario</w:t>
      </w:r>
      <w:r>
        <w:rPr>
          <w:rFonts w:ascii="Arial" w:eastAsia="Arial" w:hAnsi="Arial" w:cs="Times New Roman"/>
          <w:kern w:val="0"/>
          <w:sz w:val="24"/>
          <w14:ligatures w14:val="none"/>
        </w:rPr>
        <w:t>s</w:t>
      </w:r>
      <w:r w:rsidRPr="00203714">
        <w:rPr>
          <w:rFonts w:ascii="Arial" w:eastAsia="Arial" w:hAnsi="Arial" w:cs="Times New Roman"/>
          <w:kern w:val="0"/>
          <w:sz w:val="24"/>
          <w14:ligatures w14:val="none"/>
        </w:rPr>
        <w:t>:</w:t>
      </w:r>
    </w:p>
    <w:p w14:paraId="5549C64A" w14:textId="77777777" w:rsidR="00203714" w:rsidRPr="00203714" w:rsidRDefault="00203714" w:rsidP="00203714">
      <w:pPr>
        <w:pStyle w:val="ListParagraph"/>
        <w:numPr>
          <w:ilvl w:val="0"/>
          <w:numId w:val="4"/>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t xml:space="preserve">The first scenario is an upfront change to an </w:t>
      </w:r>
      <w:r w:rsidRPr="00203714">
        <w:rPr>
          <w:rFonts w:ascii="Arial" w:eastAsia="Arial" w:hAnsi="Arial" w:cs="Arial"/>
          <w:b/>
          <w:bCs/>
          <w:kern w:val="0"/>
          <w:sz w:val="24"/>
          <w:szCs w:val="24"/>
          <w14:ligatures w14:val="none"/>
        </w:rPr>
        <w:t>attendance voting mode</w:t>
      </w:r>
      <w:r w:rsidRPr="00203714">
        <w:rPr>
          <w:rFonts w:ascii="Arial" w:eastAsia="Arial" w:hAnsi="Arial" w:cs="Arial"/>
          <w:kern w:val="0"/>
          <w:sz w:val="24"/>
          <w:szCs w:val="24"/>
          <w14:ligatures w14:val="none"/>
        </w:rPr>
        <w:t>, either with a single polling day or a polling period, which would represent a substantial departure for local government elections in Tasmania.</w:t>
      </w:r>
    </w:p>
    <w:p w14:paraId="0A48D775" w14:textId="5EFDC029" w:rsidR="00203714" w:rsidRPr="00203714" w:rsidRDefault="00203714" w:rsidP="00203714">
      <w:pPr>
        <w:pStyle w:val="ListParagraph"/>
        <w:numPr>
          <w:ilvl w:val="0"/>
          <w:numId w:val="4"/>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t xml:space="preserve">The second scenario relies upon </w:t>
      </w:r>
      <w:r w:rsidRPr="00203714">
        <w:rPr>
          <w:rFonts w:ascii="Arial" w:eastAsia="Arial" w:hAnsi="Arial" w:cs="Arial"/>
          <w:b/>
          <w:bCs/>
          <w:kern w:val="0"/>
          <w:sz w:val="24"/>
          <w:szCs w:val="24"/>
          <w14:ligatures w14:val="none"/>
        </w:rPr>
        <w:t>continued distribution by mail of ballot papers</w:t>
      </w:r>
      <w:r w:rsidRPr="00203714">
        <w:rPr>
          <w:rFonts w:ascii="Arial" w:eastAsia="Arial" w:hAnsi="Arial" w:cs="Arial"/>
          <w:kern w:val="0"/>
          <w:sz w:val="24"/>
          <w:szCs w:val="24"/>
          <w14:ligatures w14:val="none"/>
        </w:rPr>
        <w:t xml:space="preserve">, with electors encouraged and enabled to complete and return ballots by hand to physical issuing places, creating a ‘hybrid’ electoral system. </w:t>
      </w:r>
    </w:p>
    <w:p w14:paraId="277E5D6D" w14:textId="77777777"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In either instance, voters with barriers to participation (including electors with a print disability, who live in remote locations or are interstate or overseas) would be better served by legislative amendments to enable telephone voting, along with an option to continue to access conventional postal voting where that is practicable. </w:t>
      </w:r>
    </w:p>
    <w:p w14:paraId="229A1CA7" w14:textId="77777777" w:rsidR="00203714" w:rsidRPr="00203714" w:rsidRDefault="00203714" w:rsidP="00203714">
      <w:pPr>
        <w:keepNext/>
        <w:keepLines/>
        <w:spacing w:before="120" w:after="240" w:line="240" w:lineRule="auto"/>
        <w:outlineLvl w:val="2"/>
        <w:rPr>
          <w:rFonts w:ascii="Arial" w:eastAsia="MS Gothic" w:hAnsi="Arial" w:cs="Times New Roman"/>
          <w:b/>
          <w:color w:val="1F3864"/>
          <w:kern w:val="0"/>
          <w:sz w:val="24"/>
          <w:szCs w:val="26"/>
          <w14:ligatures w14:val="none"/>
        </w:rPr>
      </w:pPr>
      <w:r w:rsidRPr="00203714">
        <w:rPr>
          <w:rFonts w:ascii="Arial" w:eastAsia="MS Gothic" w:hAnsi="Arial" w:cs="Times New Roman"/>
          <w:b/>
          <w:color w:val="1F3864"/>
          <w:kern w:val="0"/>
          <w:sz w:val="24"/>
          <w:szCs w:val="26"/>
          <w14:ligatures w14:val="none"/>
        </w:rPr>
        <w:t>New directions: who should vote in local government elections and how should we elect the deputy mayor?</w:t>
      </w:r>
    </w:p>
    <w:p w14:paraId="6BE2F380" w14:textId="28EFABFB" w:rsidR="00203714" w:rsidRPr="00203714" w:rsidRDefault="00203714" w:rsidP="00203714">
      <w:pPr>
        <w:spacing w:after="120" w:line="288" w:lineRule="auto"/>
        <w:rPr>
          <w:rFonts w:ascii="Arial" w:eastAsia="Arial" w:hAnsi="Arial" w:cs="Times New Roman"/>
          <w:kern w:val="0"/>
          <w:sz w:val="24"/>
          <w14:ligatures w14:val="none"/>
        </w:rPr>
      </w:pPr>
      <w:r w:rsidRPr="00203714">
        <w:rPr>
          <w:rFonts w:ascii="Arial" w:eastAsia="Arial" w:hAnsi="Arial" w:cs="Times New Roman"/>
          <w:kern w:val="0"/>
          <w:sz w:val="24"/>
          <w14:ligatures w14:val="none"/>
        </w:rPr>
        <w:t xml:space="preserve">While proposed reforms in the discussion paper seek to support and deliver on initiatives agreed </w:t>
      </w:r>
      <w:r w:rsidR="00F90224">
        <w:rPr>
          <w:rFonts w:ascii="Arial" w:eastAsia="Arial" w:hAnsi="Arial" w:cs="Times New Roman"/>
          <w:kern w:val="0"/>
          <w:sz w:val="24"/>
          <w14:ligatures w14:val="none"/>
        </w:rPr>
        <w:t>through the earlier</w:t>
      </w:r>
      <w:r w:rsidRPr="00203714">
        <w:rPr>
          <w:rFonts w:ascii="Arial" w:eastAsia="Arial" w:hAnsi="Arial" w:cs="Times New Roman"/>
          <w:kern w:val="0"/>
          <w:sz w:val="24"/>
          <w14:ligatures w14:val="none"/>
        </w:rPr>
        <w:t xml:space="preserve"> Local Government Legislation Review, there are two main exceptions to this where we think there is merit in testing </w:t>
      </w:r>
      <w:r w:rsidR="002517F1">
        <w:rPr>
          <w:rFonts w:ascii="Arial" w:eastAsia="Arial" w:hAnsi="Arial" w:cs="Times New Roman"/>
          <w:kern w:val="0"/>
          <w:sz w:val="24"/>
          <w14:ligatures w14:val="none"/>
        </w:rPr>
        <w:t>recent</w:t>
      </w:r>
      <w:r w:rsidRPr="00203714">
        <w:rPr>
          <w:rFonts w:ascii="Arial" w:eastAsia="Arial" w:hAnsi="Arial" w:cs="Times New Roman"/>
          <w:kern w:val="0"/>
          <w:sz w:val="24"/>
          <w14:ligatures w14:val="none"/>
        </w:rPr>
        <w:t xml:space="preserve"> community and sector views about alternative approaches. These are: </w:t>
      </w:r>
    </w:p>
    <w:p w14:paraId="7CA46DE8" w14:textId="1D743ECD" w:rsidR="00203714" w:rsidRPr="00203714" w:rsidRDefault="00203714" w:rsidP="00203714">
      <w:pPr>
        <w:pStyle w:val="ListParagraph"/>
        <w:numPr>
          <w:ilvl w:val="0"/>
          <w:numId w:val="2"/>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t>consideration for the continued eligibility to vote by non-citizens</w:t>
      </w:r>
      <w:r>
        <w:rPr>
          <w:rFonts w:ascii="Arial" w:eastAsia="Arial" w:hAnsi="Arial" w:cs="Arial"/>
          <w:kern w:val="0"/>
          <w:sz w:val="24"/>
          <w:szCs w:val="24"/>
          <w14:ligatures w14:val="none"/>
        </w:rPr>
        <w:t>; and</w:t>
      </w:r>
    </w:p>
    <w:p w14:paraId="4B195996" w14:textId="7FCC589B" w:rsidR="00203714" w:rsidRPr="00203714" w:rsidRDefault="00203714" w:rsidP="00203714">
      <w:pPr>
        <w:pStyle w:val="ListParagraph"/>
        <w:numPr>
          <w:ilvl w:val="0"/>
          <w:numId w:val="2"/>
        </w:numPr>
        <w:spacing w:after="120" w:line="312" w:lineRule="auto"/>
        <w:rPr>
          <w:rFonts w:ascii="Arial" w:eastAsia="Arial" w:hAnsi="Arial" w:cs="Arial"/>
          <w:kern w:val="0"/>
          <w:sz w:val="24"/>
          <w:szCs w:val="24"/>
          <w14:ligatures w14:val="none"/>
        </w:rPr>
      </w:pPr>
      <w:r w:rsidRPr="00203714">
        <w:rPr>
          <w:rFonts w:ascii="Arial" w:eastAsia="Arial" w:hAnsi="Arial" w:cs="Arial"/>
          <w:kern w:val="0"/>
          <w:sz w:val="24"/>
          <w:szCs w:val="24"/>
          <w14:ligatures w14:val="none"/>
        </w:rPr>
        <w:lastRenderedPageBreak/>
        <w:t>the manner of electing deputy mayors</w:t>
      </w:r>
      <w:r>
        <w:rPr>
          <w:rFonts w:ascii="Arial" w:eastAsia="Arial" w:hAnsi="Arial" w:cs="Arial"/>
          <w:kern w:val="0"/>
          <w:sz w:val="24"/>
          <w:szCs w:val="24"/>
          <w14:ligatures w14:val="none"/>
        </w:rPr>
        <w:t xml:space="preserve">, proposing that the deputy mayor is instead elected </w:t>
      </w:r>
      <w:r w:rsidR="006042E7">
        <w:rPr>
          <w:rFonts w:ascii="Arial" w:eastAsia="Arial" w:hAnsi="Arial" w:cs="Arial"/>
          <w:kern w:val="0"/>
          <w:sz w:val="24"/>
          <w:szCs w:val="24"/>
          <w14:ligatures w14:val="none"/>
        </w:rPr>
        <w:t>‘</w:t>
      </w:r>
      <w:r>
        <w:rPr>
          <w:rFonts w:ascii="Arial" w:eastAsia="Arial" w:hAnsi="Arial" w:cs="Arial"/>
          <w:kern w:val="0"/>
          <w:sz w:val="24"/>
          <w:szCs w:val="24"/>
          <w14:ligatures w14:val="none"/>
        </w:rPr>
        <w:t>around the table</w:t>
      </w:r>
      <w:r w:rsidR="006042E7">
        <w:rPr>
          <w:rFonts w:ascii="Arial" w:eastAsia="Arial" w:hAnsi="Arial" w:cs="Arial"/>
          <w:kern w:val="0"/>
          <w:sz w:val="24"/>
          <w:szCs w:val="24"/>
          <w14:ligatures w14:val="none"/>
        </w:rPr>
        <w:t>’</w:t>
      </w:r>
      <w:r>
        <w:rPr>
          <w:rFonts w:ascii="Arial" w:eastAsia="Arial" w:hAnsi="Arial" w:cs="Arial"/>
          <w:kern w:val="0"/>
          <w:sz w:val="24"/>
          <w:szCs w:val="24"/>
          <w14:ligatures w14:val="none"/>
        </w:rPr>
        <w:t xml:space="preserve"> in the manner of deputy mayor vacancies during the term, </w:t>
      </w:r>
      <w:proofErr w:type="gramStart"/>
      <w:r>
        <w:rPr>
          <w:rFonts w:ascii="Arial" w:eastAsia="Arial" w:hAnsi="Arial" w:cs="Arial"/>
          <w:kern w:val="0"/>
          <w:sz w:val="24"/>
          <w:szCs w:val="24"/>
          <w14:ligatures w14:val="none"/>
        </w:rPr>
        <w:t>and also</w:t>
      </w:r>
      <w:proofErr w:type="gramEnd"/>
      <w:r>
        <w:rPr>
          <w:rFonts w:ascii="Arial" w:eastAsia="Arial" w:hAnsi="Arial" w:cs="Arial"/>
          <w:kern w:val="0"/>
          <w:sz w:val="24"/>
          <w:szCs w:val="24"/>
          <w14:ligatures w14:val="none"/>
        </w:rPr>
        <w:t xml:space="preserve"> that councils may elect between a deputy mayor appointed for a fixed period, or an acting mayor appointed f</w:t>
      </w:r>
      <w:r w:rsidR="002C3246">
        <w:rPr>
          <w:rFonts w:ascii="Arial" w:eastAsia="Arial" w:hAnsi="Arial" w:cs="Arial"/>
          <w:kern w:val="0"/>
          <w:sz w:val="24"/>
          <w:szCs w:val="24"/>
          <w14:ligatures w14:val="none"/>
        </w:rPr>
        <w:t>ro</w:t>
      </w:r>
      <w:r>
        <w:rPr>
          <w:rFonts w:ascii="Arial" w:eastAsia="Arial" w:hAnsi="Arial" w:cs="Arial"/>
          <w:kern w:val="0"/>
          <w:sz w:val="24"/>
          <w:szCs w:val="24"/>
          <w14:ligatures w14:val="none"/>
        </w:rPr>
        <w:t>m time-to-time</w:t>
      </w:r>
      <w:r w:rsidRPr="00203714">
        <w:rPr>
          <w:rFonts w:ascii="Arial" w:eastAsia="Arial" w:hAnsi="Arial" w:cs="Arial"/>
          <w:kern w:val="0"/>
          <w:sz w:val="24"/>
          <w:szCs w:val="24"/>
          <w14:ligatures w14:val="none"/>
        </w:rPr>
        <w:t>.</w:t>
      </w:r>
    </w:p>
    <w:p w14:paraId="03F3086C" w14:textId="1450D2C2" w:rsidR="00CF2A8F" w:rsidRDefault="00203714">
      <w:pPr>
        <w:rPr>
          <w:rFonts w:ascii="Arial" w:eastAsia="MS Gothic" w:hAnsi="Arial" w:cs="Times New Roman"/>
          <w:b/>
          <w:color w:val="1F3864"/>
          <w:kern w:val="0"/>
          <w:sz w:val="24"/>
          <w:szCs w:val="26"/>
          <w14:ligatures w14:val="none"/>
        </w:rPr>
      </w:pPr>
      <w:r w:rsidRPr="00203714">
        <w:rPr>
          <w:rFonts w:ascii="Arial" w:eastAsia="MS Gothic" w:hAnsi="Arial" w:cs="Times New Roman"/>
          <w:b/>
          <w:color w:val="1F3864"/>
          <w:kern w:val="0"/>
          <w:sz w:val="24"/>
          <w:szCs w:val="26"/>
          <w14:ligatures w14:val="none"/>
        </w:rPr>
        <w:t>Technical reforms</w:t>
      </w:r>
    </w:p>
    <w:p w14:paraId="1414F39D" w14:textId="2B1CE89F" w:rsidR="00203714" w:rsidRPr="00203714" w:rsidRDefault="00203714" w:rsidP="00203714">
      <w:pPr>
        <w:spacing w:after="120" w:line="312" w:lineRule="auto"/>
        <w:rPr>
          <w:rFonts w:ascii="Arial" w:eastAsia="Arial" w:hAnsi="Arial" w:cs="Times New Roman"/>
          <w:i/>
          <w:iCs/>
          <w:kern w:val="0"/>
          <w:sz w:val="24"/>
          <w14:ligatures w14:val="none"/>
        </w:rPr>
      </w:pPr>
      <w:r w:rsidRPr="00203714">
        <w:rPr>
          <w:rFonts w:ascii="Arial" w:eastAsia="Arial" w:hAnsi="Arial" w:cs="Times New Roman"/>
          <w:i/>
          <w:iCs/>
          <w:kern w:val="0"/>
          <w:sz w:val="24"/>
          <w14:ligatures w14:val="none"/>
        </w:rPr>
        <w:t>A more flexible and accessible format for local government elections</w:t>
      </w:r>
    </w:p>
    <w:p w14:paraId="2E7B9085" w14:textId="77777777" w:rsidR="00203714" w:rsidRPr="00203714" w:rsidRDefault="00203714" w:rsidP="00203714">
      <w:pPr>
        <w:rPr>
          <w:rFonts w:ascii="Arial" w:eastAsia="Arial" w:hAnsi="Arial" w:cs="Times New Roman"/>
          <w:kern w:val="0"/>
          <w:sz w:val="24"/>
          <w14:ligatures w14:val="none"/>
        </w:rPr>
      </w:pPr>
      <w:r w:rsidRPr="00203714">
        <w:rPr>
          <w:rFonts w:ascii="Arial" w:eastAsia="Arial" w:hAnsi="Arial" w:cs="Times New Roman"/>
          <w:kern w:val="0"/>
          <w:sz w:val="24"/>
          <w14:ligatures w14:val="none"/>
        </w:rPr>
        <w:t>This set of reforms will provide future flexibility for the conduct of local government elections and, importantly, remove current barriers to using available assistive practices and technologies for electors with print disabilities and electors who are interstate or overseas.</w:t>
      </w:r>
    </w:p>
    <w:p w14:paraId="11B97D9F" w14:textId="6F2E763C" w:rsidR="00203714" w:rsidRDefault="00203714">
      <w:pPr>
        <w:rPr>
          <w:rFonts w:ascii="Arial" w:eastAsia="Arial" w:hAnsi="Arial" w:cs="Times New Roman"/>
          <w:i/>
          <w:iCs/>
          <w:kern w:val="0"/>
          <w:sz w:val="24"/>
          <w14:ligatures w14:val="none"/>
        </w:rPr>
      </w:pPr>
      <w:r w:rsidRPr="00203714">
        <w:rPr>
          <w:rFonts w:ascii="Arial" w:eastAsia="Arial" w:hAnsi="Arial" w:cs="Times New Roman"/>
          <w:i/>
          <w:iCs/>
          <w:kern w:val="0"/>
          <w:sz w:val="24"/>
          <w14:ligatures w14:val="none"/>
        </w:rPr>
        <w:t>A better franchise for electors and changes to eligibility to run for office</w:t>
      </w:r>
    </w:p>
    <w:p w14:paraId="60DDB8E0" w14:textId="26228290" w:rsidR="00203714" w:rsidRDefault="00203714" w:rsidP="00203714">
      <w:pPr>
        <w:rPr>
          <w:rFonts w:ascii="Arial" w:eastAsia="Arial" w:hAnsi="Arial" w:cs="Times New Roman"/>
          <w:sz w:val="24"/>
        </w:rPr>
      </w:pPr>
      <w:r w:rsidRPr="00203714">
        <w:rPr>
          <w:rFonts w:ascii="Arial" w:eastAsia="Arial" w:hAnsi="Arial" w:cs="Times New Roman"/>
          <w:sz w:val="24"/>
        </w:rPr>
        <w:t>This set of reforms will make the administration of the local government electoral franchise more robust and, importantly, embed the core ‘one person, one vote’ principle for future elections. It also provides a higher – but appropriate – bar for nomination without the introduction of a candidate nomination fee.</w:t>
      </w:r>
    </w:p>
    <w:p w14:paraId="6D9C4BEC" w14:textId="2D25E686" w:rsidR="00203714" w:rsidRDefault="00203714" w:rsidP="00203714">
      <w:pPr>
        <w:rPr>
          <w:rFonts w:ascii="Arial" w:eastAsia="Arial" w:hAnsi="Arial" w:cs="Times New Roman"/>
          <w:i/>
          <w:iCs/>
          <w:sz w:val="24"/>
        </w:rPr>
      </w:pPr>
      <w:r w:rsidRPr="00203714">
        <w:rPr>
          <w:rFonts w:ascii="Arial" w:eastAsia="Arial" w:hAnsi="Arial" w:cs="Times New Roman"/>
          <w:i/>
          <w:iCs/>
          <w:sz w:val="24"/>
        </w:rPr>
        <w:t>Better quality public information at elections</w:t>
      </w:r>
    </w:p>
    <w:p w14:paraId="449779E7" w14:textId="2E847320" w:rsidR="00203714" w:rsidRDefault="00203714" w:rsidP="00203714">
      <w:pPr>
        <w:rPr>
          <w:rFonts w:ascii="Arial" w:eastAsia="Arial" w:hAnsi="Arial" w:cs="Times New Roman"/>
          <w:sz w:val="24"/>
        </w:rPr>
      </w:pPr>
      <w:r w:rsidRPr="00203714">
        <w:rPr>
          <w:rFonts w:ascii="Arial" w:eastAsia="Arial" w:hAnsi="Arial" w:cs="Times New Roman"/>
          <w:sz w:val="24"/>
        </w:rPr>
        <w:t>This set of reforms is intended to improve the understanding by electors of the candidate field, including notation on the ballot where candidate nominations have been lodged by a registered political party and the publication of candidate information statements and relevant regulatory information provided by the Director of Local Government.</w:t>
      </w:r>
    </w:p>
    <w:p w14:paraId="6C920D09" w14:textId="21FCDF80" w:rsidR="00203714" w:rsidRDefault="00203714" w:rsidP="00203714">
      <w:pPr>
        <w:rPr>
          <w:rFonts w:ascii="Arial" w:eastAsia="Arial" w:hAnsi="Arial" w:cs="Times New Roman"/>
          <w:i/>
          <w:iCs/>
          <w:sz w:val="24"/>
        </w:rPr>
      </w:pPr>
      <w:r w:rsidRPr="00203714">
        <w:rPr>
          <w:rFonts w:ascii="Arial" w:eastAsia="Arial" w:hAnsi="Arial" w:cs="Times New Roman"/>
          <w:i/>
          <w:iCs/>
          <w:sz w:val="24"/>
        </w:rPr>
        <w:t>Strengthened donations disclosure and electoral advertising requirements</w:t>
      </w:r>
    </w:p>
    <w:p w14:paraId="471D85BD" w14:textId="6A9D2093" w:rsidR="00203714" w:rsidRDefault="00203714" w:rsidP="00203714">
      <w:pPr>
        <w:rPr>
          <w:rFonts w:ascii="Arial" w:eastAsia="Arial" w:hAnsi="Arial" w:cs="Times New Roman"/>
          <w:sz w:val="24"/>
        </w:rPr>
      </w:pPr>
      <w:r w:rsidRPr="00203714">
        <w:rPr>
          <w:rFonts w:ascii="Arial" w:eastAsia="Arial" w:hAnsi="Arial" w:cs="Times New Roman"/>
          <w:sz w:val="24"/>
        </w:rPr>
        <w:t xml:space="preserve">This set of reforms will provide integrated approach to the management of political donations and electoral expenditure, including advertising. It seeks to align requirements for Tasmanian local government and Legislative Council elections to the extent considered appropriate and practicable. Importantly, it introduces gifts and donations disclosure requirements for non-incumbent candidates for the first time. Proposed prohibitions on the publication of deceptive and misleading statements are aligned to the </w:t>
      </w:r>
      <w:r w:rsidRPr="00203714">
        <w:rPr>
          <w:rFonts w:ascii="Arial" w:eastAsia="Arial" w:hAnsi="Arial" w:cs="Times New Roman"/>
          <w:i/>
          <w:iCs/>
          <w:sz w:val="24"/>
        </w:rPr>
        <w:t>Electoral Act 2004</w:t>
      </w:r>
      <w:r w:rsidRPr="00203714">
        <w:rPr>
          <w:rFonts w:ascii="Arial" w:eastAsia="Arial" w:hAnsi="Arial" w:cs="Times New Roman"/>
          <w:sz w:val="24"/>
        </w:rPr>
        <w:t>.</w:t>
      </w:r>
    </w:p>
    <w:p w14:paraId="18981DF8" w14:textId="7C492522" w:rsidR="00203714" w:rsidRDefault="00203714" w:rsidP="00203714">
      <w:pPr>
        <w:rPr>
          <w:rFonts w:ascii="Arial" w:eastAsia="Arial" w:hAnsi="Arial" w:cs="Times New Roman"/>
          <w:i/>
          <w:iCs/>
          <w:sz w:val="24"/>
        </w:rPr>
      </w:pPr>
      <w:r w:rsidRPr="00203714">
        <w:rPr>
          <w:rFonts w:ascii="Arial" w:eastAsia="Arial" w:hAnsi="Arial" w:cs="Times New Roman"/>
          <w:i/>
          <w:iCs/>
          <w:sz w:val="24"/>
        </w:rPr>
        <w:t>Other changes to support the integrity of elections</w:t>
      </w:r>
    </w:p>
    <w:p w14:paraId="471C3E95" w14:textId="55068533" w:rsidR="00203714" w:rsidRPr="00203714" w:rsidRDefault="00203714" w:rsidP="00203714">
      <w:pPr>
        <w:spacing w:line="288" w:lineRule="auto"/>
        <w:rPr>
          <w:rFonts w:ascii="Arial" w:eastAsia="Arial" w:hAnsi="Arial" w:cs="Times New Roman"/>
          <w:sz w:val="24"/>
        </w:rPr>
      </w:pPr>
      <w:r w:rsidRPr="00203714">
        <w:rPr>
          <w:rFonts w:ascii="Arial" w:eastAsia="Arial" w:hAnsi="Arial" w:cs="Times New Roman"/>
          <w:sz w:val="24"/>
        </w:rPr>
        <w:t>These additional reforms provide for the continued integrity of local government elections and adopt measures common to other jurisdictions and Tasmanian parliamentary elections. Sanctions for elections offences will be enhanced and the Tasmanian Electoral Commission provided with corresponding powers of investigation; and a legislated caretaker framework will embed the voluntary policy approach adopted by most councils at the 2022 elections. Consistent with the Local Government Legislation Review, elector polls are to be retained, but a larger section of the electorate will be required to petition for an elector poll to be held, reflecting their substantial costs.</w:t>
      </w:r>
    </w:p>
    <w:sectPr w:rsidR="00203714" w:rsidRPr="00203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E2035"/>
    <w:multiLevelType w:val="hybridMultilevel"/>
    <w:tmpl w:val="C2582F8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47DE540F"/>
    <w:multiLevelType w:val="hybridMultilevel"/>
    <w:tmpl w:val="04E8A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9D62DC"/>
    <w:multiLevelType w:val="hybridMultilevel"/>
    <w:tmpl w:val="D2769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01C5260"/>
    <w:multiLevelType w:val="hybridMultilevel"/>
    <w:tmpl w:val="C2582F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02985257">
    <w:abstractNumId w:val="3"/>
  </w:num>
  <w:num w:numId="2" w16cid:durableId="172305412">
    <w:abstractNumId w:val="2"/>
  </w:num>
  <w:num w:numId="3" w16cid:durableId="1512446801">
    <w:abstractNumId w:val="0"/>
  </w:num>
  <w:num w:numId="4" w16cid:durableId="46107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14"/>
    <w:rsid w:val="00202FC1"/>
    <w:rsid w:val="00203714"/>
    <w:rsid w:val="002517F1"/>
    <w:rsid w:val="00283EB9"/>
    <w:rsid w:val="002A775C"/>
    <w:rsid w:val="002C20A1"/>
    <w:rsid w:val="002C3246"/>
    <w:rsid w:val="002E5936"/>
    <w:rsid w:val="00343E7F"/>
    <w:rsid w:val="005A1CF3"/>
    <w:rsid w:val="006042E7"/>
    <w:rsid w:val="00611F5B"/>
    <w:rsid w:val="00637152"/>
    <w:rsid w:val="006C5C87"/>
    <w:rsid w:val="008C62F5"/>
    <w:rsid w:val="008D432F"/>
    <w:rsid w:val="00963A17"/>
    <w:rsid w:val="009B4272"/>
    <w:rsid w:val="00B2446C"/>
    <w:rsid w:val="00CF2A8F"/>
    <w:rsid w:val="00D46E1A"/>
    <w:rsid w:val="00D63E4A"/>
    <w:rsid w:val="00F314C9"/>
    <w:rsid w:val="00F532ED"/>
    <w:rsid w:val="00F62A66"/>
    <w:rsid w:val="00F90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8818"/>
  <w15:chartTrackingRefBased/>
  <w15:docId w15:val="{8B885207-4E2D-4631-A0CC-7525E93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14"/>
    <w:rPr>
      <w:rFonts w:eastAsiaTheme="majorEastAsia" w:cstheme="majorBidi"/>
      <w:color w:val="272727" w:themeColor="text1" w:themeTint="D8"/>
    </w:rPr>
  </w:style>
  <w:style w:type="paragraph" w:styleId="Title">
    <w:name w:val="Title"/>
    <w:basedOn w:val="Normal"/>
    <w:next w:val="Normal"/>
    <w:link w:val="TitleChar"/>
    <w:uiPriority w:val="10"/>
    <w:qFormat/>
    <w:rsid w:val="00203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14"/>
    <w:pPr>
      <w:spacing w:before="160"/>
      <w:jc w:val="center"/>
    </w:pPr>
    <w:rPr>
      <w:i/>
      <w:iCs/>
      <w:color w:val="404040" w:themeColor="text1" w:themeTint="BF"/>
    </w:rPr>
  </w:style>
  <w:style w:type="character" w:customStyle="1" w:styleId="QuoteChar">
    <w:name w:val="Quote Char"/>
    <w:basedOn w:val="DefaultParagraphFont"/>
    <w:link w:val="Quote"/>
    <w:uiPriority w:val="29"/>
    <w:rsid w:val="00203714"/>
    <w:rPr>
      <w:i/>
      <w:iCs/>
      <w:color w:val="404040" w:themeColor="text1" w:themeTint="BF"/>
    </w:rPr>
  </w:style>
  <w:style w:type="paragraph" w:styleId="ListParagraph">
    <w:name w:val="List Paragraph"/>
    <w:basedOn w:val="Normal"/>
    <w:uiPriority w:val="34"/>
    <w:qFormat/>
    <w:rsid w:val="00203714"/>
    <w:pPr>
      <w:ind w:left="720"/>
      <w:contextualSpacing/>
    </w:pPr>
  </w:style>
  <w:style w:type="character" w:styleId="IntenseEmphasis">
    <w:name w:val="Intense Emphasis"/>
    <w:basedOn w:val="DefaultParagraphFont"/>
    <w:uiPriority w:val="21"/>
    <w:qFormat/>
    <w:rsid w:val="00203714"/>
    <w:rPr>
      <w:i/>
      <w:iCs/>
      <w:color w:val="0F4761" w:themeColor="accent1" w:themeShade="BF"/>
    </w:rPr>
  </w:style>
  <w:style w:type="paragraph" w:styleId="IntenseQuote">
    <w:name w:val="Intense Quote"/>
    <w:basedOn w:val="Normal"/>
    <w:next w:val="Normal"/>
    <w:link w:val="IntenseQuoteChar"/>
    <w:uiPriority w:val="30"/>
    <w:qFormat/>
    <w:rsid w:val="00203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714"/>
    <w:rPr>
      <w:i/>
      <w:iCs/>
      <w:color w:val="0F4761" w:themeColor="accent1" w:themeShade="BF"/>
    </w:rPr>
  </w:style>
  <w:style w:type="character" w:styleId="IntenseReference">
    <w:name w:val="Intense Reference"/>
    <w:basedOn w:val="DefaultParagraphFont"/>
    <w:uiPriority w:val="32"/>
    <w:qFormat/>
    <w:rsid w:val="00203714"/>
    <w:rPr>
      <w:b/>
      <w:bCs/>
      <w:smallCaps/>
      <w:color w:val="0F4761" w:themeColor="accent1" w:themeShade="BF"/>
      <w:spacing w:val="5"/>
    </w:rPr>
  </w:style>
  <w:style w:type="character" w:styleId="CommentReference">
    <w:name w:val="annotation reference"/>
    <w:basedOn w:val="DefaultParagraphFont"/>
    <w:uiPriority w:val="99"/>
    <w:semiHidden/>
    <w:unhideWhenUsed/>
    <w:rsid w:val="00B2446C"/>
    <w:rPr>
      <w:sz w:val="16"/>
      <w:szCs w:val="16"/>
    </w:rPr>
  </w:style>
  <w:style w:type="paragraph" w:styleId="CommentText">
    <w:name w:val="annotation text"/>
    <w:basedOn w:val="Normal"/>
    <w:link w:val="CommentTextChar"/>
    <w:uiPriority w:val="99"/>
    <w:unhideWhenUsed/>
    <w:rsid w:val="00B2446C"/>
    <w:pPr>
      <w:spacing w:line="240" w:lineRule="auto"/>
    </w:pPr>
    <w:rPr>
      <w:sz w:val="20"/>
      <w:szCs w:val="20"/>
    </w:rPr>
  </w:style>
  <w:style w:type="character" w:customStyle="1" w:styleId="CommentTextChar">
    <w:name w:val="Comment Text Char"/>
    <w:basedOn w:val="DefaultParagraphFont"/>
    <w:link w:val="CommentText"/>
    <w:uiPriority w:val="99"/>
    <w:rsid w:val="00B2446C"/>
    <w:rPr>
      <w:sz w:val="20"/>
      <w:szCs w:val="20"/>
    </w:rPr>
  </w:style>
  <w:style w:type="paragraph" w:styleId="CommentSubject">
    <w:name w:val="annotation subject"/>
    <w:basedOn w:val="CommentText"/>
    <w:next w:val="CommentText"/>
    <w:link w:val="CommentSubjectChar"/>
    <w:uiPriority w:val="99"/>
    <w:semiHidden/>
    <w:unhideWhenUsed/>
    <w:rsid w:val="00B2446C"/>
    <w:rPr>
      <w:b/>
      <w:bCs/>
    </w:rPr>
  </w:style>
  <w:style w:type="character" w:customStyle="1" w:styleId="CommentSubjectChar">
    <w:name w:val="Comment Subject Char"/>
    <w:basedOn w:val="CommentTextChar"/>
    <w:link w:val="CommentSubject"/>
    <w:uiPriority w:val="99"/>
    <w:semiHidden/>
    <w:rsid w:val="00B2446C"/>
    <w:rPr>
      <w:b/>
      <w:bCs/>
      <w:sz w:val="20"/>
      <w:szCs w:val="20"/>
    </w:rPr>
  </w:style>
  <w:style w:type="paragraph" w:styleId="Revision">
    <w:name w:val="Revision"/>
    <w:hidden/>
    <w:uiPriority w:val="99"/>
    <w:semiHidden/>
    <w:rsid w:val="00604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Dalla-Fontana, Isaac</dc:creator>
  <cp:keywords/>
  <dc:description/>
  <cp:lastModifiedBy>Koerbin, Andrew</cp:lastModifiedBy>
  <cp:revision>2</cp:revision>
  <dcterms:created xsi:type="dcterms:W3CDTF">2025-02-12T02:28:00Z</dcterms:created>
  <dcterms:modified xsi:type="dcterms:W3CDTF">2025-02-12T02:28:00Z</dcterms:modified>
</cp:coreProperties>
</file>