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41C0" w14:textId="6C263BE2" w:rsidR="00C74ADE" w:rsidRDefault="00C74ADE" w:rsidP="006711A8">
      <w:pPr>
        <w:pStyle w:val="Title"/>
      </w:pPr>
      <w:r>
        <w:t>Neighbourhood Houses</w:t>
      </w:r>
      <w:r>
        <w:t xml:space="preserve"> </w:t>
      </w:r>
      <w:r>
        <w:t>Tasmania Inc.</w:t>
      </w:r>
    </w:p>
    <w:p w14:paraId="186148FF" w14:textId="77777777" w:rsidR="002A23BF" w:rsidRDefault="00C74ADE" w:rsidP="002A23BF">
      <w:pPr>
        <w:pStyle w:val="Subtitle"/>
      </w:pPr>
      <w:r w:rsidRPr="002A23BF">
        <w:t>Independent Review Commissioned by the Department of Premier and Cabinet</w:t>
      </w:r>
    </w:p>
    <w:p w14:paraId="5EC704DF" w14:textId="0A0C63E7" w:rsidR="00C74ADE" w:rsidRPr="002A23BF" w:rsidRDefault="00C74ADE" w:rsidP="002A23BF">
      <w:pPr>
        <w:pStyle w:val="Subtitle"/>
      </w:pPr>
      <w:r w:rsidRPr="002A23BF">
        <w:t>November 2022</w:t>
      </w:r>
    </w:p>
    <w:p w14:paraId="4F96DF18" w14:textId="77777777" w:rsidR="00C74ADE" w:rsidRDefault="00C74ADE" w:rsidP="006711A8">
      <w:pPr>
        <w:pStyle w:val="Heading1"/>
      </w:pPr>
      <w:r>
        <w:t xml:space="preserve">Executive </w:t>
      </w:r>
      <w:r w:rsidRPr="006711A8">
        <w:t>Summary</w:t>
      </w:r>
    </w:p>
    <w:p w14:paraId="6C989B91" w14:textId="77777777" w:rsidR="00C74ADE" w:rsidRDefault="00C74ADE" w:rsidP="006711A8">
      <w:r>
        <w:t>There is a fine balance in grassroots,</w:t>
      </w:r>
      <w:r>
        <w:t xml:space="preserve"> </w:t>
      </w:r>
      <w:r>
        <w:t>community organisations between</w:t>
      </w:r>
      <w:r>
        <w:t xml:space="preserve"> </w:t>
      </w:r>
      <w:r>
        <w:t>ensuring local voice, local people and</w:t>
      </w:r>
      <w:r>
        <w:t xml:space="preserve"> </w:t>
      </w:r>
      <w:r>
        <w:t>local input are driving the work and</w:t>
      </w:r>
      <w:r>
        <w:t xml:space="preserve"> </w:t>
      </w:r>
      <w:r>
        <w:t>support of Neighbourhood Houses</w:t>
      </w:r>
      <w:r>
        <w:t xml:space="preserve"> </w:t>
      </w:r>
      <w:r>
        <w:t>while also ensuring the right skills,</w:t>
      </w:r>
      <w:r>
        <w:t xml:space="preserve"> </w:t>
      </w:r>
      <w:r>
        <w:t>knowledge and behaviours are at the</w:t>
      </w:r>
      <w:r>
        <w:t xml:space="preserve"> </w:t>
      </w:r>
      <w:r>
        <w:t>board table. Rigour in decision</w:t>
      </w:r>
      <w:r>
        <w:t xml:space="preserve"> </w:t>
      </w:r>
      <w:r>
        <w:t>making, sound governance and a</w:t>
      </w:r>
      <w:r>
        <w:t xml:space="preserve"> </w:t>
      </w:r>
      <w:r>
        <w:t>contemporary, safe workplace for the</w:t>
      </w:r>
      <w:r>
        <w:t xml:space="preserve"> </w:t>
      </w:r>
      <w:r>
        <w:t>CEO and team to operate in are part</w:t>
      </w:r>
      <w:r>
        <w:t xml:space="preserve"> </w:t>
      </w:r>
      <w:r>
        <w:t>of getting this balance right.</w:t>
      </w:r>
    </w:p>
    <w:p w14:paraId="5AEA57E4" w14:textId="73CA04EE" w:rsidR="00C74ADE" w:rsidRDefault="00C74ADE" w:rsidP="006711A8">
      <w:r>
        <w:t>Like all evolving organisations facing a</w:t>
      </w:r>
      <w:r>
        <w:t xml:space="preserve"> </w:t>
      </w:r>
      <w:r>
        <w:t>range of new challenges that an</w:t>
      </w:r>
      <w:r>
        <w:t xml:space="preserve"> </w:t>
      </w:r>
      <w:r>
        <w:t>ever-changing global context is</w:t>
      </w:r>
      <w:r>
        <w:t xml:space="preserve"> </w:t>
      </w:r>
      <w:r>
        <w:t>throwing at us, ongoing uncertainty</w:t>
      </w:r>
      <w:r>
        <w:t xml:space="preserve"> </w:t>
      </w:r>
      <w:r>
        <w:t>can lead to pressures and tensions in</w:t>
      </w:r>
      <w:r>
        <w:t xml:space="preserve"> </w:t>
      </w:r>
      <w:r>
        <w:t>many not-for-profit organisations.</w:t>
      </w:r>
    </w:p>
    <w:p w14:paraId="0A4FBF42" w14:textId="653E55E6" w:rsidR="00C74ADE" w:rsidRDefault="00C74ADE" w:rsidP="006711A8">
      <w:r>
        <w:t>Local knowledge and relationships are</w:t>
      </w:r>
      <w:r>
        <w:t xml:space="preserve"> </w:t>
      </w:r>
      <w:r>
        <w:t>important and providing the right</w:t>
      </w:r>
      <w:r>
        <w:t xml:space="preserve"> </w:t>
      </w:r>
      <w:r>
        <w:t>services and support to meet the</w:t>
      </w:r>
      <w:r>
        <w:t xml:space="preserve"> </w:t>
      </w:r>
      <w:r>
        <w:t>complexity of needs in local</w:t>
      </w:r>
      <w:r>
        <w:t xml:space="preserve"> </w:t>
      </w:r>
      <w:r>
        <w:t>communities continues to challenge</w:t>
      </w:r>
      <w:r>
        <w:t xml:space="preserve"> </w:t>
      </w:r>
      <w:r>
        <w:t>government agencies and community</w:t>
      </w:r>
      <w:r>
        <w:t xml:space="preserve"> </w:t>
      </w:r>
      <w:r>
        <w:t>organisations alike.</w:t>
      </w:r>
    </w:p>
    <w:p w14:paraId="0AE35358" w14:textId="1553DE98" w:rsidR="00C74ADE" w:rsidRDefault="00C74ADE" w:rsidP="006711A8">
      <w:r>
        <w:t>Over many years, Neighbourhood</w:t>
      </w:r>
      <w:r>
        <w:t xml:space="preserve"> </w:t>
      </w:r>
      <w:r>
        <w:t>Houses (NH) have been the backbone</w:t>
      </w:r>
      <w:r>
        <w:t xml:space="preserve"> </w:t>
      </w:r>
      <w:r>
        <w:t>of communities that are home to</w:t>
      </w:r>
      <w:r>
        <w:t xml:space="preserve"> </w:t>
      </w:r>
      <w:r>
        <w:t>many Tasmanians who live with a</w:t>
      </w:r>
      <w:r>
        <w:t xml:space="preserve"> </w:t>
      </w:r>
      <w:r>
        <w:t>range of income and poverty related</w:t>
      </w:r>
      <w:r>
        <w:t xml:space="preserve"> </w:t>
      </w:r>
      <w:r>
        <w:t>challenges and disadvantage.</w:t>
      </w:r>
    </w:p>
    <w:p w14:paraId="37F50478" w14:textId="7E56B511" w:rsidR="00C74ADE" w:rsidRDefault="00C74ADE" w:rsidP="006711A8">
      <w:r>
        <w:t>Neighbourhood Houses play an</w:t>
      </w:r>
      <w:r>
        <w:t xml:space="preserve"> </w:t>
      </w:r>
      <w:r>
        <w:t>irreplaceable role in our communities</w:t>
      </w:r>
      <w:r>
        <w:t xml:space="preserve"> </w:t>
      </w:r>
      <w:r>
        <w:t>and are the constant for many people</w:t>
      </w:r>
      <w:r>
        <w:t xml:space="preserve"> </w:t>
      </w:r>
      <w:r>
        <w:t>in a world where not much else is</w:t>
      </w:r>
      <w:r>
        <w:t xml:space="preserve"> </w:t>
      </w:r>
      <w:r>
        <w:t>reliable, stable, and consistent. But like</w:t>
      </w:r>
      <w:r>
        <w:t xml:space="preserve"> </w:t>
      </w:r>
      <w:r>
        <w:t>major public institutions, small,</w:t>
      </w:r>
      <w:r>
        <w:t xml:space="preserve"> </w:t>
      </w:r>
      <w:r>
        <w:t>medium, and large businesses and the</w:t>
      </w:r>
      <w:r>
        <w:t xml:space="preserve"> </w:t>
      </w:r>
      <w:r>
        <w:t>broader community services</w:t>
      </w:r>
      <w:r>
        <w:t xml:space="preserve"> </w:t>
      </w:r>
      <w:r>
        <w:t>industries in Tasmania, the recent</w:t>
      </w:r>
      <w:r>
        <w:t xml:space="preserve"> </w:t>
      </w:r>
      <w:r>
        <w:t>local, national, and global events have</w:t>
      </w:r>
      <w:r>
        <w:t xml:space="preserve"> </w:t>
      </w:r>
      <w:r>
        <w:t>resulted in even our most long-term</w:t>
      </w:r>
      <w:r>
        <w:t xml:space="preserve"> </w:t>
      </w:r>
      <w:r>
        <w:t>organisations being tested and</w:t>
      </w:r>
      <w:r>
        <w:t xml:space="preserve"> </w:t>
      </w:r>
      <w:r>
        <w:t>struggling to meet “purpose”.</w:t>
      </w:r>
    </w:p>
    <w:p w14:paraId="1220BB76" w14:textId="2638A4E1" w:rsidR="00C74ADE" w:rsidRDefault="00C74ADE" w:rsidP="006711A8">
      <w:r>
        <w:t>It has therefore been timely to review</w:t>
      </w:r>
      <w:r>
        <w:t xml:space="preserve"> </w:t>
      </w:r>
      <w:r>
        <w:t xml:space="preserve">the governance of </w:t>
      </w:r>
      <w:r>
        <w:rPr>
          <w:color w:val="222222"/>
        </w:rPr>
        <w:t>Neighbourhood</w:t>
      </w:r>
      <w:r>
        <w:rPr>
          <w:color w:val="222222"/>
        </w:rPr>
        <w:t xml:space="preserve"> </w:t>
      </w:r>
      <w:r>
        <w:rPr>
          <w:color w:val="222222"/>
        </w:rPr>
        <w:t>Houses Tas (NHT)</w:t>
      </w:r>
      <w:r>
        <w:t>. The peak body for</w:t>
      </w:r>
      <w:r>
        <w:t xml:space="preserve"> </w:t>
      </w:r>
      <w:r>
        <w:t>the Neighbourhood House Network in</w:t>
      </w:r>
      <w:r>
        <w:t xml:space="preserve"> </w:t>
      </w:r>
      <w:r>
        <w:t>Tasmania is an important overarching</w:t>
      </w:r>
      <w:r>
        <w:t xml:space="preserve"> </w:t>
      </w:r>
      <w:r>
        <w:t>element of the fabric of</w:t>
      </w:r>
      <w:r>
        <w:t xml:space="preserve"> </w:t>
      </w:r>
      <w:r>
        <w:t>Neighbourhood Houses and the</w:t>
      </w:r>
      <w:r>
        <w:t xml:space="preserve"> </w:t>
      </w:r>
      <w:r>
        <w:t>interface between community,</w:t>
      </w:r>
      <w:r>
        <w:t xml:space="preserve"> </w:t>
      </w:r>
      <w:r>
        <w:t>government, and the Network.</w:t>
      </w:r>
    </w:p>
    <w:p w14:paraId="00E37448" w14:textId="5D094A29" w:rsidR="00C74ADE" w:rsidRDefault="00C74ADE" w:rsidP="006711A8">
      <w:r>
        <w:t>The last 3 years however has seen</w:t>
      </w:r>
      <w:r>
        <w:t xml:space="preserve"> </w:t>
      </w:r>
      <w:r>
        <w:t>significant challenges in retention of</w:t>
      </w:r>
      <w:r>
        <w:t xml:space="preserve"> </w:t>
      </w:r>
      <w:r>
        <w:t>CEOs and board members. There</w:t>
      </w:r>
      <w:r>
        <w:t xml:space="preserve"> </w:t>
      </w:r>
      <w:r>
        <w:t>have also been broader challenges in</w:t>
      </w:r>
      <w:r>
        <w:t xml:space="preserve"> </w:t>
      </w:r>
      <w:r>
        <w:t>maintaining trusted relationships with</w:t>
      </w:r>
      <w:r>
        <w:t xml:space="preserve"> </w:t>
      </w:r>
      <w:r>
        <w:t>key stakeholders and government</w:t>
      </w:r>
      <w:r>
        <w:t xml:space="preserve"> </w:t>
      </w:r>
      <w:r>
        <w:t>due to this high turnover.</w:t>
      </w:r>
    </w:p>
    <w:p w14:paraId="383972AC" w14:textId="4C46CF8D" w:rsidR="00C74ADE" w:rsidRDefault="00C74ADE" w:rsidP="006711A8">
      <w:r>
        <w:t>This is not unique to NHT. The review</w:t>
      </w:r>
      <w:r>
        <w:t xml:space="preserve"> </w:t>
      </w:r>
      <w:r>
        <w:t>has found similar challenges have</w:t>
      </w:r>
      <w:r>
        <w:t xml:space="preserve"> </w:t>
      </w:r>
      <w:r>
        <w:t>occurred in other jurisdictions with</w:t>
      </w:r>
      <w:r>
        <w:t xml:space="preserve"> </w:t>
      </w:r>
      <w:r>
        <w:t>the need for some level of</w:t>
      </w:r>
      <w:r>
        <w:t xml:space="preserve"> </w:t>
      </w:r>
      <w:r>
        <w:t>independent review to reset the</w:t>
      </w:r>
      <w:r>
        <w:t xml:space="preserve"> </w:t>
      </w:r>
      <w:r>
        <w:t>purpose, governance, and</w:t>
      </w:r>
      <w:r>
        <w:t xml:space="preserve"> </w:t>
      </w:r>
      <w:r>
        <w:t>relationships.</w:t>
      </w:r>
    </w:p>
    <w:p w14:paraId="22708126" w14:textId="447C25AF" w:rsidR="00C74ADE" w:rsidRDefault="00C74ADE" w:rsidP="006711A8">
      <w:r>
        <w:t>The recognition by the current board</w:t>
      </w:r>
      <w:r>
        <w:t xml:space="preserve"> </w:t>
      </w:r>
      <w:r>
        <w:t>in partnership with the government of</w:t>
      </w:r>
      <w:r>
        <w:t xml:space="preserve"> </w:t>
      </w:r>
      <w:r>
        <w:t>a need for review is an important</w:t>
      </w:r>
      <w:r>
        <w:t xml:space="preserve"> </w:t>
      </w:r>
      <w:r>
        <w:t>starting point for assessment of</w:t>
      </w:r>
      <w:r>
        <w:t xml:space="preserve"> </w:t>
      </w:r>
      <w:r>
        <w:t>performance against the Not-for-</w:t>
      </w:r>
      <w:r>
        <w:t xml:space="preserve"> </w:t>
      </w:r>
      <w:r>
        <w:t>Profit Best Practice Governance</w:t>
      </w:r>
      <w:r>
        <w:t xml:space="preserve"> </w:t>
      </w:r>
      <w:r>
        <w:t>Principles.</w:t>
      </w:r>
    </w:p>
    <w:p w14:paraId="49BB30B4" w14:textId="7EEE2E04" w:rsidR="00C74ADE" w:rsidRDefault="00C74ADE" w:rsidP="006711A8">
      <w:r>
        <w:t>This review has undertaken an</w:t>
      </w:r>
      <w:r>
        <w:t xml:space="preserve"> </w:t>
      </w:r>
      <w:r>
        <w:t>extensive examination of the</w:t>
      </w:r>
      <w:r>
        <w:t xml:space="preserve"> </w:t>
      </w:r>
      <w:r>
        <w:t>literature, the governance</w:t>
      </w:r>
      <w:r>
        <w:t xml:space="preserve"> </w:t>
      </w:r>
      <w:r>
        <w:t>documentation of NHT and a</w:t>
      </w:r>
      <w:r>
        <w:t xml:space="preserve"> </w:t>
      </w:r>
      <w:r>
        <w:t>comprehensive stakeholder</w:t>
      </w:r>
      <w:r>
        <w:t xml:space="preserve"> </w:t>
      </w:r>
      <w:r>
        <w:t>consultation.</w:t>
      </w:r>
    </w:p>
    <w:p w14:paraId="334984B5" w14:textId="54951B34" w:rsidR="00C74ADE" w:rsidRDefault="00C74ADE" w:rsidP="006711A8">
      <w:r>
        <w:lastRenderedPageBreak/>
        <w:t>Three strong themes emerge that help to understand the current challenges:</w:t>
      </w:r>
    </w:p>
    <w:p w14:paraId="581ACC4D" w14:textId="4A704E4D" w:rsidR="00C74ADE" w:rsidRPr="00C74ADE" w:rsidRDefault="00C74ADE" w:rsidP="006711A8">
      <w:pPr>
        <w:pStyle w:val="ListParagraph"/>
        <w:numPr>
          <w:ilvl w:val="0"/>
          <w:numId w:val="3"/>
        </w:numPr>
      </w:pPr>
      <w:r w:rsidRPr="00C74ADE">
        <w:t>There has been a lack of understanding and/or</w:t>
      </w:r>
      <w:r w:rsidRPr="00C74ADE">
        <w:t xml:space="preserve"> </w:t>
      </w:r>
      <w:r w:rsidRPr="00C74ADE">
        <w:t>execution by successive NHT boards of their fiduciary</w:t>
      </w:r>
      <w:r w:rsidRPr="00C74ADE">
        <w:t xml:space="preserve"> </w:t>
      </w:r>
      <w:r w:rsidRPr="00C74ADE">
        <w:t>duties and therefore legal obligations. This includes</w:t>
      </w:r>
      <w:r w:rsidRPr="00C74ADE">
        <w:t xml:space="preserve"> </w:t>
      </w:r>
      <w:r w:rsidRPr="00C74ADE">
        <w:t>ensuring an organisation has clarity of purpose,</w:t>
      </w:r>
      <w:r w:rsidRPr="00C74ADE">
        <w:t xml:space="preserve"> </w:t>
      </w:r>
      <w:r w:rsidRPr="00C74ADE">
        <w:t>mitigating risk of key person dependency, through to</w:t>
      </w:r>
      <w:r>
        <w:t xml:space="preserve"> </w:t>
      </w:r>
      <w:r w:rsidRPr="00C74ADE">
        <w:t>the critical relationship between a board and CEO.</w:t>
      </w:r>
    </w:p>
    <w:p w14:paraId="50688AF9" w14:textId="46491FFF" w:rsidR="00C74ADE" w:rsidRPr="00C74ADE" w:rsidRDefault="00C74ADE" w:rsidP="006711A8">
      <w:pPr>
        <w:pStyle w:val="ListParagraph"/>
        <w:numPr>
          <w:ilvl w:val="0"/>
          <w:numId w:val="3"/>
        </w:numPr>
      </w:pPr>
      <w:r w:rsidRPr="00C74ADE">
        <w:t>There is a lack of shared purpose and clarity of the</w:t>
      </w:r>
      <w:r w:rsidRPr="00C74ADE">
        <w:t xml:space="preserve"> </w:t>
      </w:r>
      <w:r w:rsidRPr="00C74ADE">
        <w:t>role and responsibilities of the peak. This has</w:t>
      </w:r>
      <w:r w:rsidRPr="00C74ADE">
        <w:t xml:space="preserve"> </w:t>
      </w:r>
      <w:r w:rsidRPr="00C74ADE">
        <w:t>contributed to division between individual</w:t>
      </w:r>
      <w:r>
        <w:t xml:space="preserve"> </w:t>
      </w:r>
      <w:r w:rsidRPr="00C74ADE">
        <w:t>Neighbourhood Houses and division between the</w:t>
      </w:r>
      <w:r w:rsidRPr="00C74ADE">
        <w:t xml:space="preserve"> </w:t>
      </w:r>
      <w:r w:rsidRPr="00C74ADE">
        <w:t>Neighbourhood House Network and Neighbourhood</w:t>
      </w:r>
      <w:r w:rsidRPr="00C74ADE">
        <w:t xml:space="preserve"> </w:t>
      </w:r>
      <w:r w:rsidRPr="00C74ADE">
        <w:t>Houses Tasmania as the peak body.</w:t>
      </w:r>
    </w:p>
    <w:p w14:paraId="77417D78" w14:textId="5F8CC274" w:rsidR="00C74ADE" w:rsidRDefault="00C74ADE" w:rsidP="006711A8">
      <w:pPr>
        <w:pStyle w:val="ListParagraph"/>
        <w:numPr>
          <w:ilvl w:val="0"/>
          <w:numId w:val="3"/>
        </w:numPr>
      </w:pPr>
      <w:r w:rsidRPr="00C74ADE">
        <w:t>The need for change management and transition</w:t>
      </w:r>
      <w:r w:rsidRPr="00C74ADE">
        <w:t xml:space="preserve"> </w:t>
      </w:r>
      <w:r w:rsidRPr="00C74ADE">
        <w:t>support after the departure of the long-term CEO</w:t>
      </w:r>
      <w:r w:rsidRPr="00C74ADE">
        <w:t xml:space="preserve"> </w:t>
      </w:r>
      <w:r w:rsidRPr="00C74ADE">
        <w:t xml:space="preserve">and then subsequently, the departure of the </w:t>
      </w:r>
      <w:proofErr w:type="spellStart"/>
      <w:r w:rsidRPr="00C74ADE">
        <w:t>longterm</w:t>
      </w:r>
      <w:proofErr w:type="spellEnd"/>
      <w:r>
        <w:t xml:space="preserve"> </w:t>
      </w:r>
      <w:r w:rsidRPr="00C74ADE">
        <w:t>Chair was not recognised, and the impact of</w:t>
      </w:r>
      <w:r w:rsidRPr="00C74ADE">
        <w:t xml:space="preserve"> </w:t>
      </w:r>
      <w:r w:rsidRPr="00C74ADE">
        <w:t>these changes has underpinned many of the current</w:t>
      </w:r>
      <w:r w:rsidRPr="00C74ADE">
        <w:t xml:space="preserve"> </w:t>
      </w:r>
      <w:r w:rsidRPr="00C74ADE">
        <w:t>challenges.</w:t>
      </w:r>
    </w:p>
    <w:p w14:paraId="698A18F7" w14:textId="31A4CC33" w:rsidR="00C74ADE" w:rsidRPr="00C74ADE" w:rsidRDefault="00C74ADE" w:rsidP="006711A8">
      <w:r w:rsidRPr="00C74ADE">
        <w:t>It is important to note that the term</w:t>
      </w:r>
      <w:r w:rsidRPr="00C74ADE">
        <w:t xml:space="preserve"> </w:t>
      </w:r>
      <w:r w:rsidRPr="00C74ADE">
        <w:t>“NHT Board” throughout this report</w:t>
      </w:r>
      <w:r w:rsidRPr="00C74ADE">
        <w:t xml:space="preserve"> </w:t>
      </w:r>
      <w:r w:rsidRPr="00C74ADE">
        <w:t>does not refer solely to the current</w:t>
      </w:r>
      <w:r w:rsidRPr="00C74ADE">
        <w:t xml:space="preserve"> </w:t>
      </w:r>
      <w:r w:rsidRPr="00C74ADE">
        <w:t>board and is used collectively for the</w:t>
      </w:r>
      <w:r w:rsidRPr="00C74ADE">
        <w:t xml:space="preserve"> </w:t>
      </w:r>
      <w:r w:rsidRPr="00C74ADE">
        <w:t>various iterations of board and board</w:t>
      </w:r>
      <w:r w:rsidRPr="00C74ADE">
        <w:t xml:space="preserve"> </w:t>
      </w:r>
      <w:r w:rsidRPr="00C74ADE">
        <w:t xml:space="preserve">members over the last three </w:t>
      </w:r>
      <w:r w:rsidRPr="00C74ADE">
        <w:t>–</w:t>
      </w:r>
      <w:r w:rsidRPr="00C74ADE">
        <w:t xml:space="preserve"> four</w:t>
      </w:r>
      <w:r w:rsidRPr="00C74ADE">
        <w:t xml:space="preserve"> </w:t>
      </w:r>
      <w:r w:rsidRPr="00C74ADE">
        <w:t>years. While this review has been</w:t>
      </w:r>
      <w:r w:rsidRPr="00C74ADE">
        <w:t xml:space="preserve"> </w:t>
      </w:r>
      <w:r w:rsidRPr="00C74ADE">
        <w:t>undertaken in November 2022, a</w:t>
      </w:r>
      <w:r w:rsidRPr="00C74ADE">
        <w:t xml:space="preserve"> </w:t>
      </w:r>
      <w:r w:rsidRPr="00C74ADE">
        <w:t>range of factors that have led to the</w:t>
      </w:r>
      <w:r w:rsidRPr="00C74ADE">
        <w:t xml:space="preserve"> </w:t>
      </w:r>
      <w:r w:rsidRPr="00C74ADE">
        <w:t>current situation and as highlighted</w:t>
      </w:r>
      <w:r w:rsidRPr="00C74ADE">
        <w:t xml:space="preserve"> </w:t>
      </w:r>
      <w:r w:rsidRPr="00C74ADE">
        <w:t>above have been in play at a</w:t>
      </w:r>
      <w:r w:rsidRPr="00C74ADE">
        <w:t xml:space="preserve"> </w:t>
      </w:r>
      <w:r w:rsidRPr="00C74ADE">
        <w:t>governance, organisational and</w:t>
      </w:r>
      <w:r w:rsidRPr="00C74ADE">
        <w:t xml:space="preserve"> </w:t>
      </w:r>
      <w:r w:rsidRPr="00C74ADE">
        <w:t>Network level for at least three years.</w:t>
      </w:r>
    </w:p>
    <w:p w14:paraId="608A1A78" w14:textId="18D2CE8C" w:rsidR="00C74ADE" w:rsidRPr="00C74ADE" w:rsidRDefault="00C74ADE" w:rsidP="006711A8">
      <w:r w:rsidRPr="00C74ADE">
        <w:t>The key findings are consistent with</w:t>
      </w:r>
      <w:r w:rsidRPr="00C74ADE">
        <w:t xml:space="preserve"> </w:t>
      </w:r>
      <w:r w:rsidRPr="00C74ADE">
        <w:t>what most stakeholders articulated</w:t>
      </w:r>
      <w:r w:rsidRPr="00C74ADE">
        <w:t xml:space="preserve"> </w:t>
      </w:r>
      <w:r w:rsidRPr="00C74ADE">
        <w:t>through either the survey and/or</w:t>
      </w:r>
      <w:r w:rsidRPr="00C74ADE">
        <w:t xml:space="preserve"> </w:t>
      </w:r>
      <w:r w:rsidRPr="00C74ADE">
        <w:t>stakeholder interviews and it is</w:t>
      </w:r>
      <w:r w:rsidRPr="00C74ADE">
        <w:t xml:space="preserve"> </w:t>
      </w:r>
      <w:r w:rsidRPr="00C74ADE">
        <w:t>unlikely to come as a surprise. The</w:t>
      </w:r>
      <w:r w:rsidRPr="00C74ADE">
        <w:t xml:space="preserve"> </w:t>
      </w:r>
      <w:r w:rsidRPr="00C74ADE">
        <w:t>recommendations are also consistent</w:t>
      </w:r>
      <w:r w:rsidRPr="00C74ADE">
        <w:t xml:space="preserve"> </w:t>
      </w:r>
      <w:r w:rsidRPr="00C74ADE">
        <w:t>with the views of most stakeholders.</w:t>
      </w:r>
      <w:r w:rsidRPr="00C74ADE">
        <w:t xml:space="preserve"> </w:t>
      </w:r>
      <w:r w:rsidRPr="00C74ADE">
        <w:t>The need for constitutional changes,</w:t>
      </w:r>
      <w:r w:rsidRPr="00C74ADE">
        <w:t xml:space="preserve"> </w:t>
      </w:r>
      <w:r w:rsidRPr="00C74ADE">
        <w:t>the introduction of more independent</w:t>
      </w:r>
      <w:r w:rsidRPr="00C74ADE">
        <w:t xml:space="preserve"> </w:t>
      </w:r>
      <w:r w:rsidRPr="00C74ADE">
        <w:t>but still values aligned board</w:t>
      </w:r>
      <w:r w:rsidRPr="00C74ADE">
        <w:t xml:space="preserve"> </w:t>
      </w:r>
      <w:r w:rsidRPr="00C74ADE">
        <w:t>members and a renewed approach to</w:t>
      </w:r>
      <w:r w:rsidRPr="00C74ADE">
        <w:t xml:space="preserve"> </w:t>
      </w:r>
      <w:r w:rsidRPr="00C74ADE">
        <w:t>the shared purpose, role and</w:t>
      </w:r>
      <w:r w:rsidRPr="00C74ADE">
        <w:t xml:space="preserve"> </w:t>
      </w:r>
      <w:r w:rsidRPr="00C74ADE">
        <w:t>structure of regional networks will go</w:t>
      </w:r>
      <w:r w:rsidRPr="00C74ADE">
        <w:t xml:space="preserve"> </w:t>
      </w:r>
      <w:r w:rsidRPr="00C74ADE">
        <w:t>a long way towards a more united</w:t>
      </w:r>
      <w:r w:rsidRPr="00C74ADE">
        <w:t xml:space="preserve"> </w:t>
      </w:r>
      <w:r w:rsidRPr="00C74ADE">
        <w:t>network.</w:t>
      </w:r>
    </w:p>
    <w:p w14:paraId="6C2B9FBA" w14:textId="77777777" w:rsidR="003060C2" w:rsidRPr="003060C2" w:rsidRDefault="00C74ADE" w:rsidP="006711A8">
      <w:r w:rsidRPr="00C74ADE">
        <w:t>There will need to be a period of</w:t>
      </w:r>
      <w:r w:rsidRPr="00C74ADE">
        <w:t xml:space="preserve"> </w:t>
      </w:r>
      <w:r w:rsidRPr="00C74ADE">
        <w:t>transition and a period of letting go</w:t>
      </w:r>
      <w:r w:rsidRPr="00C74ADE">
        <w:t xml:space="preserve"> </w:t>
      </w:r>
      <w:r w:rsidRPr="00C74ADE">
        <w:t>and moving forward. There will need</w:t>
      </w:r>
      <w:r w:rsidRPr="00C74ADE">
        <w:t xml:space="preserve"> </w:t>
      </w:r>
      <w:r w:rsidRPr="00C74ADE">
        <w:t>to be both individual and shared</w:t>
      </w:r>
      <w:r w:rsidR="003060C2">
        <w:t xml:space="preserve"> </w:t>
      </w:r>
      <w:r w:rsidR="003060C2" w:rsidRPr="003060C2">
        <w:t>decisions to work in the best interests</w:t>
      </w:r>
      <w:r w:rsidR="003060C2" w:rsidRPr="003060C2">
        <w:t xml:space="preserve"> </w:t>
      </w:r>
      <w:r w:rsidR="003060C2" w:rsidRPr="003060C2">
        <w:t>of the peak body. The peak body is</w:t>
      </w:r>
      <w:r w:rsidR="003060C2" w:rsidRPr="003060C2">
        <w:t xml:space="preserve"> </w:t>
      </w:r>
      <w:r w:rsidR="003060C2" w:rsidRPr="003060C2">
        <w:t>such a critical element of the valuable</w:t>
      </w:r>
      <w:r w:rsidR="003060C2" w:rsidRPr="003060C2">
        <w:t xml:space="preserve"> </w:t>
      </w:r>
      <w:r w:rsidR="003060C2" w:rsidRPr="003060C2">
        <w:t>work of each House and that includes</w:t>
      </w:r>
      <w:r w:rsidR="003060C2" w:rsidRPr="003060C2">
        <w:t xml:space="preserve"> </w:t>
      </w:r>
      <w:r w:rsidR="003060C2" w:rsidRPr="003060C2">
        <w:t>everyone that works in a paid or</w:t>
      </w:r>
      <w:r w:rsidR="003060C2" w:rsidRPr="003060C2">
        <w:t xml:space="preserve"> </w:t>
      </w:r>
      <w:r w:rsidR="003060C2" w:rsidRPr="003060C2">
        <w:t>voluntary role in a Neighbourhood</w:t>
      </w:r>
      <w:r w:rsidR="003060C2" w:rsidRPr="003060C2">
        <w:t xml:space="preserve"> </w:t>
      </w:r>
      <w:r w:rsidR="003060C2" w:rsidRPr="003060C2">
        <w:t>House. So, there is a collective</w:t>
      </w:r>
      <w:r w:rsidR="003060C2" w:rsidRPr="003060C2">
        <w:t xml:space="preserve"> </w:t>
      </w:r>
      <w:r w:rsidR="003060C2" w:rsidRPr="003060C2">
        <w:t>responsibility to ensure it is given the</w:t>
      </w:r>
      <w:r w:rsidR="003060C2" w:rsidRPr="003060C2">
        <w:t xml:space="preserve"> </w:t>
      </w:r>
      <w:r w:rsidR="003060C2" w:rsidRPr="003060C2">
        <w:t>opportunity to provide collective</w:t>
      </w:r>
      <w:r w:rsidR="003060C2" w:rsidRPr="003060C2">
        <w:t xml:space="preserve"> </w:t>
      </w:r>
      <w:r w:rsidR="003060C2" w:rsidRPr="003060C2">
        <w:t>value to its members. To do so is to</w:t>
      </w:r>
      <w:r w:rsidR="003060C2" w:rsidRPr="003060C2">
        <w:t xml:space="preserve"> </w:t>
      </w:r>
      <w:r w:rsidR="003060C2" w:rsidRPr="003060C2">
        <w:t>the benefit of all.</w:t>
      </w:r>
    </w:p>
    <w:p w14:paraId="4FD6DCE3" w14:textId="54A229D4" w:rsidR="003060C2" w:rsidRPr="003060C2" w:rsidRDefault="003060C2" w:rsidP="006711A8">
      <w:r w:rsidRPr="003060C2">
        <w:t>In a period so challenging globally</w:t>
      </w:r>
      <w:r w:rsidRPr="003060C2">
        <w:t xml:space="preserve"> </w:t>
      </w:r>
      <w:r w:rsidRPr="003060C2">
        <w:t>and locally, there is nothing more</w:t>
      </w:r>
      <w:r w:rsidRPr="003060C2">
        <w:t xml:space="preserve"> </w:t>
      </w:r>
      <w:r w:rsidRPr="003060C2">
        <w:t>important right now than ensuring</w:t>
      </w:r>
      <w:r w:rsidRPr="003060C2">
        <w:t xml:space="preserve"> </w:t>
      </w:r>
      <w:r w:rsidRPr="003060C2">
        <w:t>people in Tasmania living on low</w:t>
      </w:r>
      <w:r w:rsidRPr="003060C2">
        <w:t xml:space="preserve"> </w:t>
      </w:r>
      <w:r w:rsidRPr="003060C2">
        <w:t>incomes have a strong united voice</w:t>
      </w:r>
      <w:r w:rsidRPr="003060C2">
        <w:t xml:space="preserve"> </w:t>
      </w:r>
      <w:r w:rsidRPr="003060C2">
        <w:t>to government and know that</w:t>
      </w:r>
      <w:r w:rsidRPr="003060C2">
        <w:t xml:space="preserve"> </w:t>
      </w:r>
      <w:r w:rsidRPr="003060C2">
        <w:t>someone has their back. The</w:t>
      </w:r>
      <w:r w:rsidRPr="003060C2">
        <w:t xml:space="preserve"> </w:t>
      </w:r>
      <w:r w:rsidRPr="003060C2">
        <w:t>collective power and influence of a</w:t>
      </w:r>
      <w:r w:rsidRPr="003060C2">
        <w:t xml:space="preserve"> </w:t>
      </w:r>
      <w:r w:rsidRPr="003060C2">
        <w:t>shared voice on lived experience is</w:t>
      </w:r>
      <w:r w:rsidRPr="003060C2">
        <w:t xml:space="preserve"> </w:t>
      </w:r>
      <w:r w:rsidRPr="003060C2">
        <w:t>diminished when there is disunity.</w:t>
      </w:r>
    </w:p>
    <w:p w14:paraId="684345EA" w14:textId="77777777" w:rsidR="001E0C8A" w:rsidRDefault="003060C2" w:rsidP="006711A8">
      <w:r w:rsidRPr="003060C2">
        <w:t xml:space="preserve">And once this occurs, the </w:t>
      </w:r>
      <w:proofErr w:type="gramStart"/>
      <w:r w:rsidRPr="003060C2">
        <w:t>much</w:t>
      </w:r>
      <w:r w:rsidRPr="003060C2">
        <w:t xml:space="preserve"> </w:t>
      </w:r>
      <w:r w:rsidRPr="003060C2">
        <w:t>needed</w:t>
      </w:r>
      <w:proofErr w:type="gramEnd"/>
      <w:r w:rsidRPr="003060C2">
        <w:t xml:space="preserve"> </w:t>
      </w:r>
      <w:r w:rsidRPr="003060C2">
        <w:t>investment in people,</w:t>
      </w:r>
      <w:r w:rsidRPr="003060C2">
        <w:t xml:space="preserve"> </w:t>
      </w:r>
      <w:r w:rsidRPr="003060C2">
        <w:t>services, programs, and facilities is put</w:t>
      </w:r>
      <w:r w:rsidRPr="003060C2">
        <w:t xml:space="preserve"> </w:t>
      </w:r>
      <w:r w:rsidRPr="003060C2">
        <w:t>at risk. As the current stewards of</w:t>
      </w:r>
      <w:r w:rsidRPr="003060C2">
        <w:t xml:space="preserve"> </w:t>
      </w:r>
      <w:r w:rsidRPr="003060C2">
        <w:t>NHT and the Network more broadly,</w:t>
      </w:r>
      <w:r w:rsidRPr="003060C2">
        <w:t xml:space="preserve"> </w:t>
      </w:r>
      <w:r w:rsidRPr="003060C2">
        <w:t>shared leadership and unity is the</w:t>
      </w:r>
      <w:r w:rsidRPr="003060C2">
        <w:t xml:space="preserve"> </w:t>
      </w:r>
      <w:r w:rsidRPr="003060C2">
        <w:t>only way forward.</w:t>
      </w:r>
    </w:p>
    <w:p w14:paraId="3B25D7BF" w14:textId="35B7D3C0" w:rsidR="003060C2" w:rsidRDefault="003060C2" w:rsidP="006711A8">
      <w:pPr>
        <w:rPr>
          <w:rFonts w:ascii="MADETOMMY-Bold" w:hAnsi="MADETOMMY-Bold" w:cs="MADETOMMY-Bold"/>
          <w:b/>
          <w:bCs/>
          <w:sz w:val="30"/>
          <w:szCs w:val="30"/>
        </w:rPr>
      </w:pPr>
      <w:r w:rsidRPr="003060C2">
        <w:rPr>
          <w:rFonts w:ascii="MADETOMMY-Bold" w:hAnsi="MADETOMMY-Bold" w:cs="MADETOMMY-Bold"/>
          <w:b/>
          <w:bCs/>
          <w:sz w:val="30"/>
          <w:szCs w:val="30"/>
        </w:rPr>
        <w:t xml:space="preserve"> </w:t>
      </w:r>
      <w:r>
        <w:rPr>
          <w:rFonts w:ascii="MADETOMMY-Bold" w:hAnsi="MADETOMMY-Bold" w:cs="MADETOMMY-Bold"/>
          <w:b/>
          <w:bCs/>
          <w:sz w:val="30"/>
          <w:szCs w:val="30"/>
        </w:rPr>
        <w:br w:type="page"/>
      </w:r>
    </w:p>
    <w:p w14:paraId="1F0EB3C7" w14:textId="77777777" w:rsidR="003060C2" w:rsidRDefault="003060C2" w:rsidP="006711A8">
      <w:pPr>
        <w:pStyle w:val="Heading1"/>
      </w:pPr>
      <w:r>
        <w:lastRenderedPageBreak/>
        <w:t>Key Findings</w:t>
      </w:r>
    </w:p>
    <w:p w14:paraId="3F3BD130" w14:textId="50D1E36D" w:rsidR="003060C2" w:rsidRDefault="003060C2" w:rsidP="006711A8">
      <w:pPr>
        <w:pStyle w:val="Heading2"/>
      </w:pPr>
      <w:r>
        <w:t>Summary</w:t>
      </w:r>
    </w:p>
    <w:p w14:paraId="369ABC0F" w14:textId="4DB7B9DF" w:rsidR="003060C2" w:rsidRDefault="003060C2" w:rsidP="006711A8">
      <w:r>
        <w:t>The key findings include an assessment against the AICD Principles of Good</w:t>
      </w:r>
      <w:r>
        <w:t xml:space="preserve"> </w:t>
      </w:r>
      <w:r>
        <w:t>Governance for Not-for-Profits in conjunction with a detailed break-down across</w:t>
      </w:r>
      <w:r>
        <w:t xml:space="preserve"> </w:t>
      </w:r>
      <w:r>
        <w:t>general and specific areas. As highlighted in the executive summary, while the</w:t>
      </w:r>
      <w:r>
        <w:t xml:space="preserve"> </w:t>
      </w:r>
      <w:r>
        <w:t>generic term “the board” has been used throughout the report and key findings,</w:t>
      </w:r>
      <w:r>
        <w:t xml:space="preserve"> </w:t>
      </w:r>
      <w:r>
        <w:t>this does not specifically pertain only to the current board, but to any/all directors</w:t>
      </w:r>
      <w:r>
        <w:t xml:space="preserve"> </w:t>
      </w:r>
      <w:r>
        <w:t>who have held board roles over the past three years.</w:t>
      </w:r>
    </w:p>
    <w:p w14:paraId="2D1FACDE" w14:textId="5FB8A73C" w:rsidR="003060C2" w:rsidRDefault="003060C2" w:rsidP="006711A8">
      <w:r>
        <w:t>While the review is focused on the NHT governance, some findings relate</w:t>
      </w:r>
      <w:r>
        <w:t xml:space="preserve"> </w:t>
      </w:r>
      <w:r>
        <w:t>specifically to the relationship between NHT &amp; NH’s and/or the NH regional</w:t>
      </w:r>
      <w:r>
        <w:t xml:space="preserve"> </w:t>
      </w:r>
      <w:r>
        <w:t>networks. These relationships are both directly and indirectly related to the</w:t>
      </w:r>
      <w:r>
        <w:t xml:space="preserve"> </w:t>
      </w:r>
      <w:r>
        <w:t>governance of NHT.</w:t>
      </w:r>
    </w:p>
    <w:p w14:paraId="44B75396" w14:textId="5A589A9D" w:rsidR="003060C2" w:rsidRDefault="003060C2" w:rsidP="006711A8">
      <w:r>
        <w:t>The combined departures of a ten-year tenure of CEO and Chair required a</w:t>
      </w:r>
      <w:r>
        <w:t xml:space="preserve"> </w:t>
      </w:r>
      <w:r>
        <w:t>change management process for the organisation to successfully transition to a</w:t>
      </w:r>
      <w:r>
        <w:t xml:space="preserve"> </w:t>
      </w:r>
      <w:r>
        <w:t>new CEO. The impact of this transition from a long-term CEO to a new CEO was,</w:t>
      </w:r>
      <w:r>
        <w:t xml:space="preserve"> </w:t>
      </w:r>
      <w:r>
        <w:t>with hindsight, not well enough understood and has impacted the subsequent</w:t>
      </w:r>
      <w:r>
        <w:t xml:space="preserve"> </w:t>
      </w:r>
      <w:r>
        <w:t>CEO’s, NHT and the Network.</w:t>
      </w:r>
    </w:p>
    <w:p w14:paraId="6C3CD8F7" w14:textId="1D788541" w:rsidR="003060C2" w:rsidRDefault="003060C2" w:rsidP="006711A8">
      <w:pPr>
        <w:pStyle w:val="Heading2"/>
      </w:pPr>
      <w:r w:rsidRPr="003060C2">
        <w:t>Key Findings against the AICD Principles of Good Governance</w:t>
      </w:r>
      <w:r w:rsidRPr="003060C2">
        <w:t xml:space="preserve"> </w:t>
      </w:r>
      <w:r w:rsidRPr="003060C2">
        <w:t>for NFP</w:t>
      </w:r>
    </w:p>
    <w:p w14:paraId="51E7E424" w14:textId="331CCC36" w:rsidR="003060C2" w:rsidRPr="003060C2" w:rsidRDefault="003060C2" w:rsidP="007820CA">
      <w:pPr>
        <w:keepNext/>
        <w:rPr>
          <w:rStyle w:val="Strong"/>
        </w:rPr>
      </w:pPr>
      <w:r w:rsidRPr="003060C2">
        <w:rPr>
          <w:rStyle w:val="Strong"/>
        </w:rPr>
        <w:t xml:space="preserve">Purpose and strategy – the organisation </w:t>
      </w:r>
      <w:proofErr w:type="gramStart"/>
      <w:r w:rsidRPr="003060C2">
        <w:rPr>
          <w:rStyle w:val="Strong"/>
        </w:rPr>
        <w:t>has</w:t>
      </w:r>
      <w:proofErr w:type="gramEnd"/>
      <w:r w:rsidRPr="003060C2">
        <w:rPr>
          <w:rStyle w:val="Strong"/>
        </w:rPr>
        <w:t xml:space="preserve"> a clear purpose and a strategy, which aligns its activities to its purpose</w:t>
      </w:r>
    </w:p>
    <w:p w14:paraId="2B23A140" w14:textId="1B49B112" w:rsidR="003060C2" w:rsidRPr="003060C2" w:rsidRDefault="003060C2" w:rsidP="006711A8">
      <w:r w:rsidRPr="003060C2">
        <w:t>While the constitution and strategic plan lay out the purpose &amp; strategy, there are mixed</w:t>
      </w:r>
      <w:r w:rsidRPr="003060C2">
        <w:t xml:space="preserve"> </w:t>
      </w:r>
      <w:r w:rsidRPr="003060C2">
        <w:t>views and knowledge of these across the membership. This includes the diverse views</w:t>
      </w:r>
      <w:r w:rsidRPr="003060C2">
        <w:t xml:space="preserve"> </w:t>
      </w:r>
      <w:r w:rsidRPr="003060C2">
        <w:t>and definitions on community development, place-based and the range of activities that</w:t>
      </w:r>
      <w:r w:rsidRPr="003060C2">
        <w:t xml:space="preserve"> </w:t>
      </w:r>
      <w:r w:rsidRPr="003060C2">
        <w:t>do or do not align with the functions of a peak body.</w:t>
      </w:r>
    </w:p>
    <w:p w14:paraId="6B9B52C4" w14:textId="6A527EE4" w:rsidR="003060C2" w:rsidRPr="003060C2" w:rsidRDefault="003060C2" w:rsidP="007820CA">
      <w:pPr>
        <w:keepNext/>
        <w:rPr>
          <w:rStyle w:val="Strong"/>
        </w:rPr>
      </w:pPr>
      <w:r w:rsidRPr="003060C2">
        <w:rPr>
          <w:rStyle w:val="Strong"/>
        </w:rPr>
        <w:t>Roles and responsibilities - there is clarity about the roles, responsibilities, and relationships of the board</w:t>
      </w:r>
    </w:p>
    <w:p w14:paraId="5C9CADC4" w14:textId="29BF8567" w:rsidR="003060C2" w:rsidRPr="006711A8" w:rsidRDefault="003060C2" w:rsidP="00CF7D21">
      <w:r w:rsidRPr="006711A8">
        <w:t>The current board demonstrates a good understanding of their role and responsibility.</w:t>
      </w:r>
      <w:r w:rsidRPr="006711A8">
        <w:t xml:space="preserve"> </w:t>
      </w:r>
      <w:r w:rsidRPr="006711A8">
        <w:t>However, a range of fiduciary duties over the last three years have not been fulfilled with</w:t>
      </w:r>
      <w:r w:rsidRPr="006711A8">
        <w:t xml:space="preserve"> </w:t>
      </w:r>
      <w:r w:rsidRPr="006711A8">
        <w:t>specific noting of the role and responsibility of the board and the relationship with the</w:t>
      </w:r>
      <w:r w:rsidRPr="006711A8">
        <w:t xml:space="preserve"> </w:t>
      </w:r>
      <w:r w:rsidRPr="006711A8">
        <w:t>CEO in a range of areas including performance review and performance management.</w:t>
      </w:r>
    </w:p>
    <w:p w14:paraId="2208DF56" w14:textId="77777777" w:rsidR="003060C2" w:rsidRDefault="003060C2" w:rsidP="00CF7D21">
      <w:r w:rsidRPr="003060C2">
        <w:t>In particular, the number of incidents of conflict that (a range of iterations) of the board</w:t>
      </w:r>
      <w:r w:rsidRPr="003060C2">
        <w:t xml:space="preserve"> </w:t>
      </w:r>
      <w:r w:rsidRPr="003060C2">
        <w:t>were aware of without evidence of action being taken to ensure a safe work environment</w:t>
      </w:r>
      <w:r w:rsidRPr="003060C2">
        <w:t xml:space="preserve"> </w:t>
      </w:r>
      <w:r w:rsidRPr="003060C2">
        <w:t>is considered a serious breach of a board’s responsibility.</w:t>
      </w:r>
    </w:p>
    <w:p w14:paraId="0DB8896B" w14:textId="4B22B994" w:rsidR="002552B9" w:rsidRPr="005A5A7E" w:rsidRDefault="002552B9" w:rsidP="002552B9">
      <w:pPr>
        <w:rPr>
          <w:rStyle w:val="Strong"/>
        </w:rPr>
      </w:pPr>
      <w:r w:rsidRPr="005A5A7E">
        <w:rPr>
          <w:rStyle w:val="Strong"/>
        </w:rPr>
        <w:t xml:space="preserve">Board composition </w:t>
      </w:r>
      <w:r w:rsidR="005A5A7E">
        <w:rPr>
          <w:rStyle w:val="Strong"/>
        </w:rPr>
        <w:t>–</w:t>
      </w:r>
      <w:r w:rsidRPr="005A5A7E">
        <w:rPr>
          <w:rStyle w:val="Strong"/>
        </w:rPr>
        <w:t xml:space="preserve"> the</w:t>
      </w:r>
      <w:r w:rsidR="005A5A7E">
        <w:rPr>
          <w:rStyle w:val="Strong"/>
        </w:rPr>
        <w:t xml:space="preserve"> </w:t>
      </w:r>
      <w:r w:rsidRPr="005A5A7E">
        <w:rPr>
          <w:rStyle w:val="Strong"/>
        </w:rPr>
        <w:t>board’s structure and</w:t>
      </w:r>
      <w:r w:rsidR="005A5A7E">
        <w:rPr>
          <w:rStyle w:val="Strong"/>
        </w:rPr>
        <w:t xml:space="preserve"> </w:t>
      </w:r>
      <w:r w:rsidRPr="005A5A7E">
        <w:rPr>
          <w:rStyle w:val="Strong"/>
        </w:rPr>
        <w:t>composition enable it to</w:t>
      </w:r>
      <w:r w:rsidR="005A5A7E">
        <w:rPr>
          <w:rStyle w:val="Strong"/>
        </w:rPr>
        <w:t xml:space="preserve"> </w:t>
      </w:r>
      <w:r w:rsidRPr="005A5A7E">
        <w:rPr>
          <w:rStyle w:val="Strong"/>
        </w:rPr>
        <w:t>fulfil its role effectively</w:t>
      </w:r>
    </w:p>
    <w:p w14:paraId="74FEE808" w14:textId="68F04D35" w:rsidR="002552B9" w:rsidRDefault="002552B9" w:rsidP="00CF7D21">
      <w:r>
        <w:t>The review finds the current board composition as outlined in the constitution does not</w:t>
      </w:r>
      <w:r w:rsidR="005A5A7E">
        <w:t xml:space="preserve"> </w:t>
      </w:r>
      <w:r>
        <w:t>provide best practice for the board to fulfil its role effectively.</w:t>
      </w:r>
    </w:p>
    <w:p w14:paraId="61F0DDBD" w14:textId="31D7E524" w:rsidR="002552B9" w:rsidRDefault="002552B9" w:rsidP="00CF7D21">
      <w:r>
        <w:t>The board requires a level of independence in conjunction with a range of skills,</w:t>
      </w:r>
      <w:r w:rsidR="005A5A7E">
        <w:t xml:space="preserve"> </w:t>
      </w:r>
      <w:r>
        <w:t>knowledge and experience relating to community development and place-based service</w:t>
      </w:r>
      <w:r w:rsidR="005A5A7E">
        <w:t xml:space="preserve"> </w:t>
      </w:r>
      <w:r>
        <w:t>models to enable good governance of Neighbourhood Houses Tas.</w:t>
      </w:r>
    </w:p>
    <w:p w14:paraId="79E8C290" w14:textId="1806FE49" w:rsidR="002552B9" w:rsidRPr="007820CA" w:rsidRDefault="002552B9" w:rsidP="007820CA">
      <w:pPr>
        <w:keepNext/>
        <w:rPr>
          <w:rStyle w:val="Strong"/>
        </w:rPr>
      </w:pPr>
      <w:r w:rsidRPr="007820CA">
        <w:rPr>
          <w:rStyle w:val="Strong"/>
        </w:rPr>
        <w:lastRenderedPageBreak/>
        <w:t>Board effectiveness – the</w:t>
      </w:r>
      <w:r w:rsidR="005A5A7E" w:rsidRPr="007820CA">
        <w:rPr>
          <w:rStyle w:val="Strong"/>
        </w:rPr>
        <w:t xml:space="preserve"> </w:t>
      </w:r>
      <w:r w:rsidRPr="007820CA">
        <w:rPr>
          <w:rStyle w:val="Strong"/>
        </w:rPr>
        <w:t>board is run effectively,</w:t>
      </w:r>
      <w:r w:rsidR="005A5A7E" w:rsidRPr="007820CA">
        <w:rPr>
          <w:rStyle w:val="Strong"/>
        </w:rPr>
        <w:t xml:space="preserve"> </w:t>
      </w:r>
      <w:r w:rsidRPr="007820CA">
        <w:rPr>
          <w:rStyle w:val="Strong"/>
        </w:rPr>
        <w:t>and its performance is</w:t>
      </w:r>
      <w:r w:rsidR="005A5A7E" w:rsidRPr="007820CA">
        <w:rPr>
          <w:rStyle w:val="Strong"/>
        </w:rPr>
        <w:t xml:space="preserve"> </w:t>
      </w:r>
      <w:r w:rsidRPr="007820CA">
        <w:rPr>
          <w:rStyle w:val="Strong"/>
        </w:rPr>
        <w:t>periodically evaluated</w:t>
      </w:r>
    </w:p>
    <w:p w14:paraId="307C22B5" w14:textId="4D2E77E1" w:rsidR="002552B9" w:rsidRDefault="002552B9" w:rsidP="00CF7D21">
      <w:r>
        <w:t>While the desktop analysis finds scope of the governance documents are in place</w:t>
      </w:r>
      <w:r w:rsidR="007820CA">
        <w:t xml:space="preserve"> </w:t>
      </w:r>
      <w:r>
        <w:t>(although not up to date), the administration and application of these is questioned due</w:t>
      </w:r>
      <w:r w:rsidR="007820CA">
        <w:t xml:space="preserve"> </w:t>
      </w:r>
      <w:r>
        <w:t>to the current state of conflict between the peak body and some of its members. This</w:t>
      </w:r>
      <w:r w:rsidR="007820CA">
        <w:t xml:space="preserve"> </w:t>
      </w:r>
      <w:r>
        <w:t>ongoing conflict, while not between current board members, is impacting the</w:t>
      </w:r>
      <w:r w:rsidR="007820CA">
        <w:t xml:space="preserve"> </w:t>
      </w:r>
      <w:r>
        <w:t>effectiveness of this and previous boards.</w:t>
      </w:r>
    </w:p>
    <w:p w14:paraId="2DD1937E" w14:textId="78436BE2" w:rsidR="002552B9" w:rsidRDefault="002552B9" w:rsidP="00CF7D21">
      <w:r>
        <w:t>While there is a meeting review checklist on the agenda at the conclusion of each board</w:t>
      </w:r>
      <w:r w:rsidR="007820CA">
        <w:t xml:space="preserve"> </w:t>
      </w:r>
      <w:r>
        <w:t>meeting, the review has found no evidence of the board comprehensively reviewing its</w:t>
      </w:r>
      <w:r w:rsidR="007820CA">
        <w:t xml:space="preserve"> </w:t>
      </w:r>
      <w:r>
        <w:t>own performance periodically.</w:t>
      </w:r>
    </w:p>
    <w:p w14:paraId="0A07D352" w14:textId="2A3E2F06" w:rsidR="002552B9" w:rsidRPr="007820CA" w:rsidRDefault="002552B9" w:rsidP="007820CA">
      <w:pPr>
        <w:keepNext/>
        <w:rPr>
          <w:rStyle w:val="Strong"/>
        </w:rPr>
      </w:pPr>
      <w:r w:rsidRPr="007820CA">
        <w:rPr>
          <w:rStyle w:val="Strong"/>
        </w:rPr>
        <w:t>Risk management – board</w:t>
      </w:r>
      <w:r w:rsidR="007820CA" w:rsidRPr="007820CA">
        <w:rPr>
          <w:rStyle w:val="Strong"/>
        </w:rPr>
        <w:t xml:space="preserve"> </w:t>
      </w:r>
      <w:r w:rsidRPr="007820CA">
        <w:rPr>
          <w:rStyle w:val="Strong"/>
        </w:rPr>
        <w:t>decision making is</w:t>
      </w:r>
      <w:r w:rsidR="007820CA" w:rsidRPr="007820CA">
        <w:rPr>
          <w:rStyle w:val="Strong"/>
        </w:rPr>
        <w:t xml:space="preserve"> </w:t>
      </w:r>
      <w:r w:rsidRPr="007820CA">
        <w:rPr>
          <w:rStyle w:val="Strong"/>
        </w:rPr>
        <w:t>informed by an</w:t>
      </w:r>
      <w:r w:rsidR="007820CA" w:rsidRPr="007820CA">
        <w:rPr>
          <w:rStyle w:val="Strong"/>
        </w:rPr>
        <w:t xml:space="preserve"> </w:t>
      </w:r>
      <w:r w:rsidRPr="007820CA">
        <w:rPr>
          <w:rStyle w:val="Strong"/>
        </w:rPr>
        <w:t>understanding of risk and</w:t>
      </w:r>
      <w:r w:rsidR="007820CA" w:rsidRPr="007820CA">
        <w:rPr>
          <w:rStyle w:val="Strong"/>
        </w:rPr>
        <w:t xml:space="preserve"> </w:t>
      </w:r>
      <w:r w:rsidRPr="007820CA">
        <w:rPr>
          <w:rStyle w:val="Strong"/>
        </w:rPr>
        <w:t>how it is managed</w:t>
      </w:r>
    </w:p>
    <w:p w14:paraId="13981AE5" w14:textId="77777777" w:rsidR="00CF7D21" w:rsidRDefault="002552B9" w:rsidP="00CF7D21">
      <w:r>
        <w:t>The review did not receive any evidence of the active use of a risk register or framework</w:t>
      </w:r>
      <w:r w:rsidR="00EF2748">
        <w:t xml:space="preserve"> </w:t>
      </w:r>
      <w:r>
        <w:t>in any of the meeting documents the review requested. Given the high level of risk based</w:t>
      </w:r>
      <w:r w:rsidR="00EF2748">
        <w:t xml:space="preserve"> </w:t>
      </w:r>
      <w:r>
        <w:t>on the conflict and uncertainty relating to the CEO, it would be expected to see the</w:t>
      </w:r>
      <w:r w:rsidR="00EF2748">
        <w:t xml:space="preserve"> </w:t>
      </w:r>
      <w:r>
        <w:t>action use of a risk register. In particular, the lack of change management and/or risk</w:t>
      </w:r>
      <w:r w:rsidR="00EF2748">
        <w:t xml:space="preserve"> </w:t>
      </w:r>
      <w:r>
        <w:t>mitigation at the resignation of the long-term CEO provides evidence of the inaction.</w:t>
      </w:r>
    </w:p>
    <w:p w14:paraId="70CC58FF" w14:textId="7E72C262" w:rsidR="002552B9" w:rsidRDefault="002552B9" w:rsidP="00CF7D21">
      <w:pPr>
        <w:rPr>
          <w:rFonts w:ascii="MADETOMMY-Light" w:hAnsi="MADETOMMY-Light" w:cs="MADETOMMY-Light"/>
          <w:color w:val="0D0D0D"/>
        </w:rPr>
      </w:pPr>
      <w:r>
        <w:rPr>
          <w:rFonts w:ascii="MADETOMMY-Light" w:hAnsi="MADETOMMY-Light" w:cs="MADETOMMY-Light"/>
          <w:color w:val="0D0D0D"/>
        </w:rPr>
        <w:t>There is no evidence this principle has been met.</w:t>
      </w:r>
    </w:p>
    <w:p w14:paraId="559A260B" w14:textId="6EDF24D1" w:rsidR="002552B9" w:rsidRPr="00CF7D21" w:rsidRDefault="002552B9" w:rsidP="00CF7D21">
      <w:pPr>
        <w:keepNext/>
        <w:rPr>
          <w:rStyle w:val="Strong"/>
        </w:rPr>
      </w:pPr>
      <w:r w:rsidRPr="00CF7D21">
        <w:rPr>
          <w:rStyle w:val="Strong"/>
        </w:rPr>
        <w:t>Performance – the</w:t>
      </w:r>
      <w:r w:rsidR="00EF2748" w:rsidRPr="00CF7D21">
        <w:rPr>
          <w:rStyle w:val="Strong"/>
        </w:rPr>
        <w:t xml:space="preserve"> </w:t>
      </w:r>
      <w:r w:rsidRPr="00CF7D21">
        <w:rPr>
          <w:rStyle w:val="Strong"/>
        </w:rPr>
        <w:t>organisation uses its</w:t>
      </w:r>
      <w:r w:rsidR="00EF2748" w:rsidRPr="00CF7D21">
        <w:rPr>
          <w:rStyle w:val="Strong"/>
        </w:rPr>
        <w:t xml:space="preserve"> </w:t>
      </w:r>
      <w:r w:rsidRPr="00CF7D21">
        <w:rPr>
          <w:rStyle w:val="Strong"/>
        </w:rPr>
        <w:t>resources appropriately</w:t>
      </w:r>
      <w:r w:rsidR="00EF2748" w:rsidRPr="00CF7D21">
        <w:rPr>
          <w:rStyle w:val="Strong"/>
        </w:rPr>
        <w:t xml:space="preserve"> </w:t>
      </w:r>
      <w:r w:rsidRPr="00CF7D21">
        <w:rPr>
          <w:rStyle w:val="Strong"/>
        </w:rPr>
        <w:t>and evaluates its</w:t>
      </w:r>
      <w:r w:rsidR="00EF2748" w:rsidRPr="00CF7D21">
        <w:rPr>
          <w:rStyle w:val="Strong"/>
        </w:rPr>
        <w:t xml:space="preserve"> </w:t>
      </w:r>
      <w:r w:rsidRPr="00CF7D21">
        <w:rPr>
          <w:rStyle w:val="Strong"/>
        </w:rPr>
        <w:t>performance</w:t>
      </w:r>
    </w:p>
    <w:p w14:paraId="15B2516F" w14:textId="77777777" w:rsidR="002552B9" w:rsidRDefault="002552B9" w:rsidP="00CF7D21">
      <w:r>
        <w:t>The review did not assess the use of resources as this was out of scope.</w:t>
      </w:r>
    </w:p>
    <w:p w14:paraId="74EAD634" w14:textId="77777777" w:rsidR="002552B9" w:rsidRDefault="002552B9" w:rsidP="00CF7D21">
      <w:r>
        <w:t>There is no evidence the organisation/board evaluates its performance.</w:t>
      </w:r>
    </w:p>
    <w:p w14:paraId="7FC8C01F" w14:textId="2FD190D5" w:rsidR="002552B9" w:rsidRPr="007820CA" w:rsidRDefault="002552B9" w:rsidP="002552B9">
      <w:pPr>
        <w:rPr>
          <w:rStyle w:val="Strong"/>
        </w:rPr>
      </w:pPr>
      <w:r w:rsidRPr="007820CA">
        <w:rPr>
          <w:rStyle w:val="Strong"/>
        </w:rPr>
        <w:t>Accountability and</w:t>
      </w:r>
      <w:r w:rsidR="007820CA">
        <w:rPr>
          <w:rStyle w:val="Strong"/>
        </w:rPr>
        <w:t xml:space="preserve"> </w:t>
      </w:r>
      <w:r w:rsidRPr="007820CA">
        <w:rPr>
          <w:rStyle w:val="Strong"/>
        </w:rPr>
        <w:t>transparency – the board</w:t>
      </w:r>
      <w:r w:rsidR="00EF2748">
        <w:rPr>
          <w:rStyle w:val="Strong"/>
        </w:rPr>
        <w:t xml:space="preserve"> d</w:t>
      </w:r>
      <w:r w:rsidRPr="007820CA">
        <w:rPr>
          <w:rStyle w:val="Strong"/>
        </w:rPr>
        <w:t>emonstrates</w:t>
      </w:r>
      <w:r w:rsidR="007820CA">
        <w:rPr>
          <w:rStyle w:val="Strong"/>
        </w:rPr>
        <w:t xml:space="preserve"> </w:t>
      </w:r>
      <w:r w:rsidRPr="007820CA">
        <w:rPr>
          <w:rStyle w:val="Strong"/>
        </w:rPr>
        <w:t>accountability by</w:t>
      </w:r>
      <w:r w:rsidR="00EF2748">
        <w:rPr>
          <w:rStyle w:val="Strong"/>
        </w:rPr>
        <w:t xml:space="preserve"> </w:t>
      </w:r>
      <w:r w:rsidRPr="007820CA">
        <w:rPr>
          <w:rStyle w:val="Strong"/>
        </w:rPr>
        <w:t>providing information to</w:t>
      </w:r>
      <w:r w:rsidR="00EF2748">
        <w:rPr>
          <w:rStyle w:val="Strong"/>
        </w:rPr>
        <w:t xml:space="preserve"> </w:t>
      </w:r>
      <w:r w:rsidRPr="007820CA">
        <w:rPr>
          <w:rStyle w:val="Strong"/>
        </w:rPr>
        <w:t>stakeholders about the</w:t>
      </w:r>
      <w:r w:rsidR="00EF2748">
        <w:rPr>
          <w:rStyle w:val="Strong"/>
        </w:rPr>
        <w:t xml:space="preserve"> </w:t>
      </w:r>
      <w:r w:rsidRPr="007820CA">
        <w:rPr>
          <w:rStyle w:val="Strong"/>
        </w:rPr>
        <w:t>organisation and its</w:t>
      </w:r>
      <w:r w:rsidR="00EF2748">
        <w:rPr>
          <w:rStyle w:val="Strong"/>
        </w:rPr>
        <w:t xml:space="preserve"> </w:t>
      </w:r>
      <w:r w:rsidRPr="007820CA">
        <w:rPr>
          <w:rStyle w:val="Strong"/>
        </w:rPr>
        <w:t>performance</w:t>
      </w:r>
    </w:p>
    <w:p w14:paraId="30E31763" w14:textId="31B42B35" w:rsidR="002552B9" w:rsidRPr="00CF7D21" w:rsidRDefault="002552B9" w:rsidP="00CF7D21">
      <w:r w:rsidRPr="00CF7D21">
        <w:t>Overwhelmingly, feedback from stakeholders through the survey and interviews</w:t>
      </w:r>
      <w:r w:rsidR="00CF7D21" w:rsidRPr="00CF7D21">
        <w:t xml:space="preserve"> </w:t>
      </w:r>
      <w:r w:rsidRPr="00CF7D21">
        <w:t>demonstrated the sentiment that there is a lack of accountability by the board to the</w:t>
      </w:r>
      <w:r w:rsidR="00CF7D21" w:rsidRPr="00CF7D21">
        <w:t xml:space="preserve"> </w:t>
      </w:r>
      <w:r w:rsidRPr="00CF7D21">
        <w:t>members/stakeholders. While there is a range of structured and ad hoc communication,</w:t>
      </w:r>
      <w:r w:rsidR="00CF7D21" w:rsidRPr="00CF7D21">
        <w:t xml:space="preserve"> </w:t>
      </w:r>
      <w:r w:rsidRPr="00CF7D21">
        <w:t>there was limited evidence of accountability beyond an AGM and annual report.</w:t>
      </w:r>
    </w:p>
    <w:p w14:paraId="77D3D199" w14:textId="4854F2D2" w:rsidR="002552B9" w:rsidRPr="00CF7D21" w:rsidRDefault="002552B9" w:rsidP="002552B9">
      <w:pPr>
        <w:rPr>
          <w:rStyle w:val="Strong"/>
        </w:rPr>
      </w:pPr>
      <w:r w:rsidRPr="00CF7D21">
        <w:rPr>
          <w:rStyle w:val="Strong"/>
        </w:rPr>
        <w:t>Stakeholder engagement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– there is meaningful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engagement of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stakeholders, and their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interests are understood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and considered by the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board</w:t>
      </w:r>
    </w:p>
    <w:p w14:paraId="0A1657A7" w14:textId="04710BD6" w:rsidR="002552B9" w:rsidRDefault="002552B9" w:rsidP="00CF7D21">
      <w:r>
        <w:t>Feedback from stakeholders through the survey and interviews demonstrated the</w:t>
      </w:r>
      <w:r w:rsidR="00CF7D21">
        <w:t xml:space="preserve"> </w:t>
      </w:r>
      <w:r>
        <w:t>sentiment that the current situation of conflict has prevented and/or hampered</w:t>
      </w:r>
      <w:r w:rsidR="00CF7D21">
        <w:t xml:space="preserve"> </w:t>
      </w:r>
      <w:r>
        <w:t>meaningful engagement of stakeholders. There were mixed views on whether the</w:t>
      </w:r>
      <w:r w:rsidR="00CF7D21">
        <w:t xml:space="preserve"> </w:t>
      </w:r>
      <w:r>
        <w:t>interests of stakeholders are understood and considered by the board.</w:t>
      </w:r>
    </w:p>
    <w:p w14:paraId="36031420" w14:textId="2495CA3F" w:rsidR="002552B9" w:rsidRPr="00CF7D21" w:rsidRDefault="002552B9" w:rsidP="002552B9">
      <w:pPr>
        <w:rPr>
          <w:rStyle w:val="Strong"/>
        </w:rPr>
      </w:pPr>
      <w:r w:rsidRPr="00CF7D21">
        <w:rPr>
          <w:rStyle w:val="Strong"/>
        </w:rPr>
        <w:t>Conduct and compliance –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the expectations of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behaviour for the people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involved in the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organisation are clear and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understood</w:t>
      </w:r>
    </w:p>
    <w:p w14:paraId="406C00C0" w14:textId="29E33A53" w:rsidR="002552B9" w:rsidRDefault="002552B9" w:rsidP="00CF7D21">
      <w:r>
        <w:t>There is a lack of conduct and compliance policies and the escalation of grievances and</w:t>
      </w:r>
      <w:r w:rsidR="00CF7D21">
        <w:t xml:space="preserve"> </w:t>
      </w:r>
      <w:r>
        <w:t>conflict over the last three years demonstrates this principle has not been understood by</w:t>
      </w:r>
      <w:r w:rsidR="00CF7D21">
        <w:t xml:space="preserve"> </w:t>
      </w:r>
      <w:r>
        <w:t>the board.</w:t>
      </w:r>
    </w:p>
    <w:p w14:paraId="2F5F8F60" w14:textId="72643CBB" w:rsidR="002552B9" w:rsidRPr="00CF7D21" w:rsidRDefault="002552B9" w:rsidP="00CF7D21">
      <w:pPr>
        <w:rPr>
          <w:rStyle w:val="Strong"/>
        </w:rPr>
      </w:pPr>
      <w:r w:rsidRPr="00CF7D21">
        <w:rPr>
          <w:rStyle w:val="Strong"/>
        </w:rPr>
        <w:lastRenderedPageBreak/>
        <w:t>Culture – the board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models and works to instil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a culture that supports the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organisation’s purpose</w:t>
      </w:r>
      <w:r w:rsidR="00CF7D21" w:rsidRPr="00CF7D21">
        <w:rPr>
          <w:rStyle w:val="Strong"/>
        </w:rPr>
        <w:t xml:space="preserve"> </w:t>
      </w:r>
      <w:r w:rsidRPr="00CF7D21">
        <w:rPr>
          <w:rStyle w:val="Strong"/>
        </w:rPr>
        <w:t>and strategy</w:t>
      </w:r>
    </w:p>
    <w:p w14:paraId="6E7C860D" w14:textId="26F64C34" w:rsidR="002552B9" w:rsidRDefault="002552B9" w:rsidP="00CF7D21">
      <w:r>
        <w:t>The escalation of grievances and conflict over the last three years demonstrates this</w:t>
      </w:r>
      <w:r w:rsidR="00CF7D21">
        <w:t xml:space="preserve"> </w:t>
      </w:r>
      <w:r>
        <w:t>principle has not been fulfilled by the different iterations of boards during this period.</w:t>
      </w:r>
    </w:p>
    <w:p w14:paraId="2C5DB8E2" w14:textId="297A4B74" w:rsidR="00843077" w:rsidRDefault="00843077" w:rsidP="00843077">
      <w:pPr>
        <w:pStyle w:val="Heading2"/>
      </w:pPr>
      <w:r>
        <w:t xml:space="preserve">Key Findings </w:t>
      </w:r>
      <w:r w:rsidR="000B4A61">
        <w:t>–</w:t>
      </w:r>
      <w:r>
        <w:t xml:space="preserve"> General</w:t>
      </w:r>
    </w:p>
    <w:p w14:paraId="6A95A782" w14:textId="422AD4CA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There is a high level of disunity and distrust between the peak body and some</w:t>
      </w:r>
      <w:r>
        <w:t xml:space="preserve"> </w:t>
      </w:r>
      <w:r>
        <w:t>of the member organisations and/or managers and/or chairs. The cumulative</w:t>
      </w:r>
      <w:r>
        <w:t xml:space="preserve"> </w:t>
      </w:r>
      <w:r>
        <w:t>impact of this over several years without any strategies or interventions to</w:t>
      </w:r>
      <w:r>
        <w:t xml:space="preserve"> </w:t>
      </w:r>
      <w:r>
        <w:t>address it has culminated in a highly disruptive operating environment.</w:t>
      </w:r>
    </w:p>
    <w:p w14:paraId="1B01C56C" w14:textId="5D76CF47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The structure and administration of the governance model, combined with a</w:t>
      </w:r>
      <w:r>
        <w:t xml:space="preserve"> </w:t>
      </w:r>
      <w:r>
        <w:t>cumulative erosion of trust in the relationship between some of the members</w:t>
      </w:r>
      <w:r>
        <w:t xml:space="preserve"> </w:t>
      </w:r>
      <w:r>
        <w:t>and the peak body has been a major contributor to the current situation.</w:t>
      </w:r>
    </w:p>
    <w:p w14:paraId="3C09BEA9" w14:textId="5F717623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For those members not directly impacted, there is a high level of frustration</w:t>
      </w:r>
      <w:r>
        <w:t xml:space="preserve"> </w:t>
      </w:r>
      <w:r>
        <w:t>and a desire to move forward and ensure the peak can thrive and fulfil its role.</w:t>
      </w:r>
    </w:p>
    <w:p w14:paraId="5DD0D7A7" w14:textId="15C5DBC8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While this is impacting the current NHT board, the factors that have</w:t>
      </w:r>
      <w:r>
        <w:t xml:space="preserve"> </w:t>
      </w:r>
      <w:r>
        <w:t>resulted in this level of disunity have occurred across several boards and CEOs</w:t>
      </w:r>
      <w:r>
        <w:t xml:space="preserve"> </w:t>
      </w:r>
      <w:r>
        <w:t>over the last 3 years.</w:t>
      </w:r>
    </w:p>
    <w:p w14:paraId="3BBBB105" w14:textId="4BCC5FAC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As a result, successive CEO’s have experienced a work environment that has</w:t>
      </w:r>
      <w:r>
        <w:t xml:space="preserve"> </w:t>
      </w:r>
      <w:r>
        <w:t>presented insurmountable challenges in being able to perform their role. This</w:t>
      </w:r>
      <w:r>
        <w:t xml:space="preserve"> </w:t>
      </w:r>
      <w:r>
        <w:t>includes a lack of performance feedback, review, or management by the</w:t>
      </w:r>
      <w:r>
        <w:t xml:space="preserve"> </w:t>
      </w:r>
      <w:r>
        <w:t>successive boards within the employer/employee arrangements a CEO should</w:t>
      </w:r>
      <w:r>
        <w:t xml:space="preserve"> </w:t>
      </w:r>
      <w:r>
        <w:t>be provided.</w:t>
      </w:r>
    </w:p>
    <w:p w14:paraId="792B3FF8" w14:textId="4AA38011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It is not considered viable for NHT to continue to be governed under the</w:t>
      </w:r>
      <w:r>
        <w:t xml:space="preserve"> </w:t>
      </w:r>
      <w:r>
        <w:t>current governance structure.</w:t>
      </w:r>
    </w:p>
    <w:p w14:paraId="32FD54BC" w14:textId="50204D91" w:rsidR="00843077" w:rsidRDefault="00843077" w:rsidP="00843077">
      <w:pPr>
        <w:pStyle w:val="ListParagraph"/>
        <w:numPr>
          <w:ilvl w:val="0"/>
          <w:numId w:val="4"/>
        </w:numPr>
        <w:ind w:left="357" w:hanging="357"/>
        <w:contextualSpacing w:val="0"/>
      </w:pPr>
      <w:r>
        <w:t>While the review (and therefore the recommendations) is focussed on NHT</w:t>
      </w:r>
      <w:r>
        <w:t xml:space="preserve"> </w:t>
      </w:r>
      <w:r>
        <w:t>governance, to successfully rebuild the relationships, trust, and respect across</w:t>
      </w:r>
      <w:r>
        <w:t xml:space="preserve"> </w:t>
      </w:r>
      <w:r>
        <w:t>the peak and NHs will require all parties to engage with goodwill and good</w:t>
      </w:r>
      <w:r>
        <w:t xml:space="preserve"> </w:t>
      </w:r>
      <w:r>
        <w:t>intent.</w:t>
      </w:r>
    </w:p>
    <w:p w14:paraId="76F230B0" w14:textId="77777777" w:rsidR="00E32263" w:rsidRPr="00E32263" w:rsidRDefault="00E32263" w:rsidP="00E32263">
      <w:pPr>
        <w:pStyle w:val="Heading2"/>
      </w:pPr>
      <w:r w:rsidRPr="00E32263">
        <w:t>Key Findings - Structural</w:t>
      </w:r>
    </w:p>
    <w:p w14:paraId="4442D77C" w14:textId="77777777" w:rsidR="00E32263" w:rsidRDefault="00E32263" w:rsidP="00E32263">
      <w:pPr>
        <w:pStyle w:val="Heading3"/>
      </w:pPr>
      <w:r>
        <w:t>Board</w:t>
      </w:r>
    </w:p>
    <w:p w14:paraId="4D408A11" w14:textId="5FA63BD1" w:rsidR="00E32263" w:rsidRDefault="00E32263" w:rsidP="000B4A61">
      <w:r>
        <w:t>The current governance structure is not serving the organisation or its members.</w:t>
      </w:r>
      <w:r w:rsidR="0099312F">
        <w:t xml:space="preserve"> </w:t>
      </w:r>
      <w:r>
        <w:t>The ongoing conflict is, in part, driven by perceptions in some parts of the Network</w:t>
      </w:r>
      <w:r w:rsidR="0099312F">
        <w:t xml:space="preserve"> </w:t>
      </w:r>
      <w:r>
        <w:t>there is lack of objective, skilled and knowledgeable directors.</w:t>
      </w:r>
    </w:p>
    <w:p w14:paraId="3FFD7A87" w14:textId="77777777" w:rsidR="00E32263" w:rsidRDefault="00E32263" w:rsidP="000B4A61">
      <w:pPr>
        <w:pStyle w:val="Heading3"/>
      </w:pPr>
      <w:r>
        <w:t>Regional Networks</w:t>
      </w:r>
    </w:p>
    <w:p w14:paraId="46C8D7B2" w14:textId="632D86C6" w:rsidR="00E32263" w:rsidRDefault="00E32263" w:rsidP="000B4A61">
      <w:r>
        <w:t>The Regional Networks approach and some examples of informal regional</w:t>
      </w:r>
      <w:r w:rsidR="0099312F">
        <w:t xml:space="preserve"> </w:t>
      </w:r>
      <w:r>
        <w:t>collaborations are contributing to the disunity.</w:t>
      </w:r>
    </w:p>
    <w:p w14:paraId="22079F42" w14:textId="77777777" w:rsidR="00E32263" w:rsidRDefault="00E32263" w:rsidP="000B4A61">
      <w:pPr>
        <w:pStyle w:val="Heading3"/>
      </w:pPr>
      <w:r>
        <w:t>Roles and Responsibilities</w:t>
      </w:r>
    </w:p>
    <w:p w14:paraId="3CE1C50A" w14:textId="5D7DFA08" w:rsidR="00E32263" w:rsidRDefault="00E32263" w:rsidP="000B4A61">
      <w:r>
        <w:t>The core and non-core role of the peak body are not well understood or agreed</w:t>
      </w:r>
      <w:r w:rsidR="0099312F">
        <w:t xml:space="preserve"> </w:t>
      </w:r>
      <w:r>
        <w:t>by the members. This is contributing to the distrust and disunity by some</w:t>
      </w:r>
      <w:r w:rsidR="0099312F">
        <w:t xml:space="preserve"> </w:t>
      </w:r>
      <w:r>
        <w:t>members.</w:t>
      </w:r>
    </w:p>
    <w:p w14:paraId="1D10F84C" w14:textId="4EA4B40E" w:rsidR="00E32263" w:rsidRDefault="00E32263" w:rsidP="000B4A61">
      <w:r>
        <w:t>At times this is exacerbated by the funder requesting NHT to take on</w:t>
      </w:r>
      <w:r w:rsidR="0099312F">
        <w:t xml:space="preserve"> </w:t>
      </w:r>
      <w:r>
        <w:t>tasks/responsibilities outside of the remit of a peak body. In addition, the</w:t>
      </w:r>
      <w:r w:rsidR="0099312F">
        <w:t xml:space="preserve"> </w:t>
      </w:r>
      <w:r>
        <w:t xml:space="preserve">requirement of all Neighbourhood </w:t>
      </w:r>
      <w:r>
        <w:lastRenderedPageBreak/>
        <w:t>Houses to be a member of NHT as a condition</w:t>
      </w:r>
      <w:r w:rsidR="000B4A61">
        <w:t xml:space="preserve"> </w:t>
      </w:r>
      <w:r>
        <w:t>of their funding may also be a contributing factor.</w:t>
      </w:r>
    </w:p>
    <w:p w14:paraId="2F1240C5" w14:textId="77777777" w:rsidR="00E32263" w:rsidRDefault="00E32263" w:rsidP="000B4A61">
      <w:pPr>
        <w:pStyle w:val="Heading2"/>
      </w:pPr>
      <w:r>
        <w:t>Key Findings – Procedural</w:t>
      </w:r>
    </w:p>
    <w:p w14:paraId="792524BD" w14:textId="369AFEB7" w:rsidR="00E32263" w:rsidRDefault="00E32263" w:rsidP="000B4A61">
      <w:r>
        <w:t>While there is evidence of a range of policies and procedures in place, there is</w:t>
      </w:r>
      <w:r w:rsidR="000B4A61">
        <w:t xml:space="preserve"> </w:t>
      </w:r>
      <w:r>
        <w:t>limited evidence of the practical application of these by the board, relative to its</w:t>
      </w:r>
      <w:r w:rsidR="000B4A61">
        <w:t xml:space="preserve"> </w:t>
      </w:r>
      <w:r>
        <w:t>role and responsibilities with the CEO. This includes a lack of performance</w:t>
      </w:r>
      <w:r w:rsidR="000B4A61">
        <w:t xml:space="preserve"> </w:t>
      </w:r>
      <w:r>
        <w:t>management, performance reviews and ensuring a CEO has a safe workplace.</w:t>
      </w:r>
    </w:p>
    <w:p w14:paraId="20FF624B" w14:textId="77777777" w:rsidR="00E32263" w:rsidRDefault="00E32263" w:rsidP="000B4A61">
      <w:pPr>
        <w:pStyle w:val="Heading2"/>
      </w:pPr>
      <w:r>
        <w:t>Key Findings – Cultural</w:t>
      </w:r>
    </w:p>
    <w:p w14:paraId="3B0B9D55" w14:textId="49DF57F7" w:rsidR="00E32263" w:rsidRDefault="00E32263" w:rsidP="000B4A61">
      <w:r>
        <w:t>Overall, there is a disconnect between the values and community development</w:t>
      </w:r>
      <w:r w:rsidR="000B4A61">
        <w:t xml:space="preserve"> </w:t>
      </w:r>
      <w:r>
        <w:t>ethos upheld by the peak body and the members and the behaviour of some</w:t>
      </w:r>
      <w:r w:rsidR="000B4A61">
        <w:t xml:space="preserve"> </w:t>
      </w:r>
      <w:r>
        <w:t>members (peak and network) over the last 3 years.</w:t>
      </w:r>
    </w:p>
    <w:p w14:paraId="77CAE7C1" w14:textId="113C956C" w:rsidR="00E32263" w:rsidRDefault="00E32263" w:rsidP="000B4A61">
      <w:r>
        <w:t>The review finds evidence of a range of behaviours over the last three years that</w:t>
      </w:r>
      <w:r w:rsidR="000B4A61">
        <w:t xml:space="preserve"> </w:t>
      </w:r>
      <w:r>
        <w:t>are not appropriate and in a modern work environment. Many participants in the</w:t>
      </w:r>
      <w:r w:rsidR="000B4A61">
        <w:t xml:space="preserve"> </w:t>
      </w:r>
      <w:r>
        <w:t>survey and interviews described an environment of alleged bullying and coercion,</w:t>
      </w:r>
      <w:r w:rsidR="000B4A61">
        <w:t xml:space="preserve"> </w:t>
      </w:r>
      <w:r>
        <w:t>examples of undermining and other inappropriate communication and behaviours</w:t>
      </w:r>
      <w:r w:rsidR="000B4A61">
        <w:t xml:space="preserve"> </w:t>
      </w:r>
      <w:r>
        <w:t>that has fuelled a culture of mistrust. This culture was across NHT and parts of the</w:t>
      </w:r>
      <w:r w:rsidR="000B4A61">
        <w:t xml:space="preserve"> </w:t>
      </w:r>
      <w:r>
        <w:t>Network and not just related to NHT governance.</w:t>
      </w:r>
    </w:p>
    <w:p w14:paraId="4D5DB39F" w14:textId="77777777" w:rsidR="00921C8C" w:rsidRDefault="00921C8C" w:rsidP="00921C8C">
      <w:r>
        <w:br w:type="page"/>
      </w:r>
    </w:p>
    <w:p w14:paraId="6513BD4F" w14:textId="09DB33E7" w:rsidR="00E32263" w:rsidRDefault="00921C8C" w:rsidP="00921C8C">
      <w:pPr>
        <w:pStyle w:val="Heading1"/>
      </w:pPr>
      <w:r>
        <w:lastRenderedPageBreak/>
        <w:t>Recommendations</w:t>
      </w:r>
    </w:p>
    <w:p w14:paraId="2B322D7C" w14:textId="1BE0FA8C" w:rsidR="00921C8C" w:rsidRDefault="00921C8C" w:rsidP="00921C8C">
      <w:r>
        <w:t>The following recommendations are underpinned by the need for a transitional</w:t>
      </w:r>
      <w:r>
        <w:t xml:space="preserve"> </w:t>
      </w:r>
      <w:r>
        <w:t>period from “current state” to “future state.”</w:t>
      </w:r>
    </w:p>
    <w:p w14:paraId="70AA1099" w14:textId="5F712081" w:rsidR="00921C8C" w:rsidRPr="00834F8E" w:rsidRDefault="00921C8C" w:rsidP="0010294C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834F8E">
        <w:rPr>
          <w:color w:val="0D0D0D"/>
        </w:rPr>
        <w:t>It is recommended there is a two-year period allocated as the “transitional”</w:t>
      </w:r>
      <w:r w:rsidRPr="00834F8E">
        <w:rPr>
          <w:color w:val="0D0D0D"/>
        </w:rPr>
        <w:t xml:space="preserve"> </w:t>
      </w:r>
      <w:r w:rsidRPr="00834F8E">
        <w:rPr>
          <w:color w:val="0D0D0D"/>
        </w:rPr>
        <w:t>phase to execute the range of recommendations. This ensures adequate time</w:t>
      </w:r>
      <w:r w:rsidRPr="00834F8E">
        <w:rPr>
          <w:color w:val="0D0D0D"/>
        </w:rPr>
        <w:t xml:space="preserve"> </w:t>
      </w:r>
      <w:r w:rsidRPr="00834F8E">
        <w:rPr>
          <w:color w:val="0D0D0D"/>
        </w:rPr>
        <w:t>to undertake the constitutional changes, recruit and support the establishment</w:t>
      </w:r>
      <w:r w:rsidRPr="00834F8E">
        <w:rPr>
          <w:color w:val="0D0D0D"/>
        </w:rPr>
        <w:t xml:space="preserve"> </w:t>
      </w:r>
      <w:r w:rsidRPr="00834F8E">
        <w:rPr>
          <w:color w:val="0D0D0D"/>
        </w:rPr>
        <w:t>of a new CEO, Code of Conduct, and re-establishment of the agreed core role</w:t>
      </w:r>
      <w:r w:rsidRPr="00834F8E">
        <w:rPr>
          <w:color w:val="0D0D0D"/>
        </w:rPr>
        <w:t xml:space="preserve"> </w:t>
      </w:r>
      <w:r w:rsidRPr="00834F8E">
        <w:rPr>
          <w:color w:val="0D0D0D"/>
        </w:rPr>
        <w:t>of NHT as the peak.</w:t>
      </w:r>
    </w:p>
    <w:p w14:paraId="1069E77D" w14:textId="77079CA2" w:rsidR="00E32263" w:rsidRPr="00DC2A05" w:rsidRDefault="00921C8C" w:rsidP="0010294C">
      <w:pPr>
        <w:pStyle w:val="ListParagraph"/>
        <w:numPr>
          <w:ilvl w:val="0"/>
          <w:numId w:val="5"/>
        </w:numPr>
        <w:ind w:left="357" w:hanging="357"/>
        <w:contextualSpacing w:val="0"/>
      </w:pPr>
      <w:r w:rsidRPr="0010294C">
        <w:rPr>
          <w:color w:val="0D0D0D"/>
        </w:rPr>
        <w:t>Underpinning the recommendations below is the need to appoint, for up to 6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months, a highly skilled and experienced individual to undertake a “managing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director”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or “executive-director” type role. This role can then objectively and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independently lead the constitutional change, CEO/Board recruitment and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oversee the establishment of a range of reforms required including the Code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of Conduct, Terms of Reference for the Regional Networks and agreed core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role &amp; responsibilities of NHT as a Peak Body.</w:t>
      </w:r>
      <w:r w:rsidR="00834F8E" w:rsidRPr="0010294C">
        <w:rPr>
          <w:color w:val="0D0D0D"/>
        </w:rPr>
        <w:br/>
      </w:r>
      <w:r w:rsidR="0010294C" w:rsidRPr="0010294C">
        <w:rPr>
          <w:color w:val="0D0D0D"/>
        </w:rPr>
        <w:br/>
      </w:r>
      <w:r w:rsidRPr="0010294C">
        <w:rPr>
          <w:color w:val="0D0D0D"/>
        </w:rPr>
        <w:t>The rationale for the appointment of this interim role is in response to the loss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of trust by some in the network and the need for action that ensure there is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objectivity in the early implementation of the recommendations. It ensures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independent, objective oversight of the governance functions as well as the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priority operational elements.</w:t>
      </w:r>
      <w:r w:rsidR="0010294C" w:rsidRPr="0010294C">
        <w:rPr>
          <w:color w:val="0D0D0D"/>
        </w:rPr>
        <w:br/>
      </w:r>
      <w:r w:rsidR="0010294C" w:rsidRPr="0010294C">
        <w:rPr>
          <w:color w:val="0D0D0D"/>
        </w:rPr>
        <w:br/>
      </w:r>
      <w:r w:rsidRPr="0010294C">
        <w:rPr>
          <w:color w:val="0D0D0D"/>
        </w:rPr>
        <w:t>Even if a recruitment process for the new CEO commenced immediately, the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timeline for recruitment vs the scope of work required on implementation of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the recommendations would result in a delay in action. This is considered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detrimental to all, including the current NHT staff. It also allows “clear air” for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the new CEO who can then step into the role with a range of practical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elements of the recommendations implemented and/or under implementation.</w:t>
      </w:r>
      <w:r w:rsidR="0010294C">
        <w:rPr>
          <w:color w:val="0D0D0D"/>
        </w:rPr>
        <w:br/>
      </w:r>
      <w:r w:rsidR="0010294C">
        <w:rPr>
          <w:color w:val="0D0D0D"/>
        </w:rPr>
        <w:br/>
      </w:r>
      <w:r w:rsidRPr="0010294C">
        <w:rPr>
          <w:color w:val="0D0D0D"/>
        </w:rPr>
        <w:t>In terms of background experience, the person appointed to this role will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preferably be an experienced CEO and Director and/or Chair and therefore be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able to apply knowledge and experience from day one. They will also need to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be a skilled mediator and practised in change management and conflict</w:t>
      </w:r>
      <w:r w:rsidRPr="0010294C">
        <w:rPr>
          <w:color w:val="0D0D0D"/>
        </w:rPr>
        <w:t xml:space="preserve"> </w:t>
      </w:r>
      <w:r w:rsidRPr="0010294C">
        <w:rPr>
          <w:color w:val="0D0D0D"/>
        </w:rPr>
        <w:t>resolution.</w:t>
      </w:r>
    </w:p>
    <w:p w14:paraId="74A600DC" w14:textId="61728149" w:rsidR="00DC2A05" w:rsidRPr="00D15EA0" w:rsidRDefault="00DC2A05" w:rsidP="00D15EA0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D15EA0">
        <w:rPr>
          <w:color w:val="0D0D0D"/>
        </w:rPr>
        <w:t>It is the recommendation of the review that this 6-month position be appointed</w:t>
      </w:r>
      <w:r w:rsidR="00D15EA0" w:rsidRPr="00D15EA0">
        <w:rPr>
          <w:color w:val="0D0D0D"/>
        </w:rPr>
        <w:t xml:space="preserve"> </w:t>
      </w:r>
      <w:r w:rsidRPr="00D15EA0">
        <w:rPr>
          <w:color w:val="0D0D0D"/>
        </w:rPr>
        <w:t>by the Department of Premier and Cabinet and the individual would provide</w:t>
      </w:r>
      <w:r w:rsidR="00D15EA0">
        <w:rPr>
          <w:color w:val="0D0D0D"/>
        </w:rPr>
        <w:t xml:space="preserve"> </w:t>
      </w:r>
      <w:r w:rsidRPr="00D15EA0">
        <w:rPr>
          <w:color w:val="0D0D0D"/>
        </w:rPr>
        <w:t>regular updates on progress of implementation including any barriers.</w:t>
      </w:r>
    </w:p>
    <w:p w14:paraId="0A2FA2B3" w14:textId="147DFF68" w:rsidR="00DC2A05" w:rsidRPr="00D15EA0" w:rsidRDefault="00DC2A05" w:rsidP="00D15EA0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D15EA0">
        <w:rPr>
          <w:color w:val="0D0D0D"/>
        </w:rPr>
        <w:t>During this period, a minimum number of the existing board would remain in</w:t>
      </w:r>
      <w:r w:rsidR="00D15EA0" w:rsidRPr="00D15EA0">
        <w:rPr>
          <w:color w:val="0D0D0D"/>
        </w:rPr>
        <w:t xml:space="preserve"> </w:t>
      </w:r>
      <w:r w:rsidRPr="00D15EA0">
        <w:rPr>
          <w:color w:val="0D0D0D"/>
        </w:rPr>
        <w:t xml:space="preserve">place with the appointee, in capacity as Managing-Director, taking on </w:t>
      </w:r>
      <w:proofErr w:type="spellStart"/>
      <w:r w:rsidRPr="00D15EA0">
        <w:rPr>
          <w:color w:val="0D0D0D"/>
        </w:rPr>
        <w:t>theIndependent</w:t>
      </w:r>
      <w:proofErr w:type="spellEnd"/>
      <w:r w:rsidRPr="00D15EA0">
        <w:rPr>
          <w:color w:val="0D0D0D"/>
        </w:rPr>
        <w:t xml:space="preserve"> Chair role. At the conclusion of the constitutional change, a new</w:t>
      </w:r>
      <w:r w:rsidR="00D15EA0" w:rsidRPr="00D15EA0">
        <w:rPr>
          <w:color w:val="0D0D0D"/>
        </w:rPr>
        <w:t xml:space="preserve"> </w:t>
      </w:r>
      <w:r w:rsidRPr="00D15EA0">
        <w:rPr>
          <w:color w:val="0D0D0D"/>
        </w:rPr>
        <w:t>board would be elected. During this period, a minimum number of existing</w:t>
      </w:r>
      <w:r w:rsidR="00D15EA0" w:rsidRPr="00D15EA0">
        <w:rPr>
          <w:color w:val="0D0D0D"/>
        </w:rPr>
        <w:t xml:space="preserve"> </w:t>
      </w:r>
      <w:r w:rsidRPr="00D15EA0">
        <w:rPr>
          <w:color w:val="0D0D0D"/>
        </w:rPr>
        <w:t>board members needs to be maintained to ensure the organisation is operating</w:t>
      </w:r>
      <w:r w:rsidR="00D15EA0" w:rsidRPr="00D15EA0">
        <w:rPr>
          <w:color w:val="0D0D0D"/>
        </w:rPr>
        <w:t xml:space="preserve"> </w:t>
      </w:r>
      <w:r w:rsidRPr="00D15EA0">
        <w:rPr>
          <w:color w:val="0D0D0D"/>
        </w:rPr>
        <w:t>within the legal requirements of an Incorporated Association which includes</w:t>
      </w:r>
      <w:r w:rsidR="00D15EA0">
        <w:rPr>
          <w:color w:val="0D0D0D"/>
        </w:rPr>
        <w:t xml:space="preserve"> </w:t>
      </w:r>
      <w:r w:rsidRPr="00D15EA0">
        <w:rPr>
          <w:color w:val="0D0D0D"/>
        </w:rPr>
        <w:t>what is contained within the existing constitution.</w:t>
      </w:r>
    </w:p>
    <w:p w14:paraId="6D38E259" w14:textId="4D5CF9E5" w:rsidR="00DC2A05" w:rsidRPr="00876E1F" w:rsidRDefault="00DC2A05" w:rsidP="00D15EA0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876E1F">
        <w:rPr>
          <w:color w:val="0D0D0D"/>
        </w:rPr>
        <w:t>It is recommended the timing of this is to commence as soon as possible after</w:t>
      </w:r>
      <w:r w:rsidR="00876E1F" w:rsidRPr="00876E1F">
        <w:rPr>
          <w:color w:val="0D0D0D"/>
        </w:rPr>
        <w:t xml:space="preserve"> </w:t>
      </w:r>
      <w:r w:rsidRPr="00876E1F">
        <w:rPr>
          <w:color w:val="0D0D0D"/>
        </w:rPr>
        <w:t>the acceptance of the report, findings, and recommendations. There is a high</w:t>
      </w:r>
      <w:r w:rsidR="00876E1F" w:rsidRPr="00876E1F">
        <w:rPr>
          <w:color w:val="0D0D0D"/>
        </w:rPr>
        <w:t xml:space="preserve"> </w:t>
      </w:r>
      <w:r w:rsidRPr="00876E1F">
        <w:rPr>
          <w:color w:val="0D0D0D"/>
        </w:rPr>
        <w:t>level of expectation from the Network that the review outcomes will be the</w:t>
      </w:r>
      <w:r w:rsidR="00876E1F" w:rsidRPr="00876E1F">
        <w:rPr>
          <w:color w:val="0D0D0D"/>
        </w:rPr>
        <w:t xml:space="preserve"> </w:t>
      </w:r>
      <w:r w:rsidRPr="00876E1F">
        <w:rPr>
          <w:color w:val="0D0D0D"/>
        </w:rPr>
        <w:t xml:space="preserve">catalyst for change </w:t>
      </w:r>
      <w:r w:rsidRPr="00876E1F">
        <w:rPr>
          <w:color w:val="0D0D0D"/>
        </w:rPr>
        <w:lastRenderedPageBreak/>
        <w:t>and moving forward. It is important not to delay the</w:t>
      </w:r>
      <w:r w:rsidR="00876E1F">
        <w:rPr>
          <w:color w:val="0D0D0D"/>
        </w:rPr>
        <w:t xml:space="preserve"> </w:t>
      </w:r>
      <w:r w:rsidRPr="00876E1F">
        <w:rPr>
          <w:color w:val="0D0D0D"/>
        </w:rPr>
        <w:t>commencement of the implementation of the recommendations.</w:t>
      </w:r>
    </w:p>
    <w:p w14:paraId="3A5065AC" w14:textId="77777777" w:rsidR="00DC2A05" w:rsidRDefault="00DC2A05" w:rsidP="00876E1F">
      <w:pPr>
        <w:pStyle w:val="Heading2"/>
      </w:pPr>
      <w:r>
        <w:t>Recommendations - Structural</w:t>
      </w:r>
    </w:p>
    <w:p w14:paraId="4EFD068D" w14:textId="51DC17CC" w:rsidR="00DC2A05" w:rsidRPr="00CA76CF" w:rsidRDefault="00DC2A05" w:rsidP="00CA76CF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876E1F">
        <w:rPr>
          <w:color w:val="0D0D0D"/>
        </w:rPr>
        <w:t>Undertake constitutional changes to enable a skill-based board that provides a</w:t>
      </w:r>
      <w:r w:rsidR="00876E1F" w:rsidRPr="00876E1F">
        <w:rPr>
          <w:color w:val="0D0D0D"/>
        </w:rPr>
        <w:t xml:space="preserve"> </w:t>
      </w:r>
      <w:r w:rsidRPr="00876E1F">
        <w:rPr>
          <w:color w:val="0D0D0D"/>
        </w:rPr>
        <w:t>balance between directors drawn from member organisations and external,</w:t>
      </w:r>
      <w:r w:rsidR="00876E1F">
        <w:rPr>
          <w:color w:val="0D0D0D"/>
        </w:rPr>
        <w:t xml:space="preserve"> </w:t>
      </w:r>
      <w:r w:rsidRPr="00876E1F">
        <w:rPr>
          <w:color w:val="0D0D0D"/>
        </w:rPr>
        <w:t>independent directors.</w:t>
      </w:r>
      <w:r w:rsidR="00CA76CF">
        <w:rPr>
          <w:color w:val="0D0D0D"/>
        </w:rPr>
        <w:br/>
      </w:r>
      <w:r w:rsidR="00CA76CF">
        <w:rPr>
          <w:color w:val="0D0D0D"/>
        </w:rPr>
        <w:br/>
      </w:r>
      <w:r w:rsidRPr="00CA76CF">
        <w:rPr>
          <w:color w:val="0D0D0D"/>
        </w:rPr>
        <w:t>The constitutional change needs to consider the governance expertise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>required due to increased complexity of multiple needs in communities that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>Houses are managing. This includes through the Community Care Advisors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>project and a range of day-to-day complexities and potential future projects of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>a similar nature to the CCA.</w:t>
      </w:r>
      <w:r w:rsidR="00CA76CF">
        <w:rPr>
          <w:color w:val="0D0D0D"/>
        </w:rPr>
        <w:br/>
      </w:r>
      <w:r w:rsidR="00CA76CF">
        <w:rPr>
          <w:color w:val="0D0D0D"/>
        </w:rPr>
        <w:br/>
      </w:r>
      <w:r w:rsidRPr="00CA76CF">
        <w:rPr>
          <w:color w:val="0D0D0D"/>
        </w:rPr>
        <w:t>The constitutional changes need to include contemporary methods of board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>recruitment. All NHT board members undertake training and stay up to date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 xml:space="preserve">with the necessary knowledge, </w:t>
      </w:r>
      <w:proofErr w:type="gramStart"/>
      <w:r w:rsidRPr="00CA76CF">
        <w:rPr>
          <w:color w:val="0D0D0D"/>
        </w:rPr>
        <w:t>skills</w:t>
      </w:r>
      <w:proofErr w:type="gramEnd"/>
      <w:r w:rsidRPr="00CA76CF">
        <w:rPr>
          <w:color w:val="0D0D0D"/>
        </w:rPr>
        <w:t xml:space="preserve"> and legislation, including WHS, to fully</w:t>
      </w:r>
      <w:r w:rsidR="00CA76CF" w:rsidRPr="00CA76CF">
        <w:rPr>
          <w:color w:val="0D0D0D"/>
        </w:rPr>
        <w:t xml:space="preserve"> </w:t>
      </w:r>
      <w:r w:rsidRPr="00CA76CF">
        <w:rPr>
          <w:color w:val="0D0D0D"/>
        </w:rPr>
        <w:t>undertake their fiduciary responsibilities as directors.</w:t>
      </w:r>
    </w:p>
    <w:p w14:paraId="1E4A5727" w14:textId="24D118CB" w:rsidR="004A179F" w:rsidRPr="004A179F" w:rsidRDefault="00DC2A05" w:rsidP="004A179F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4A179F">
        <w:rPr>
          <w:color w:val="0D0D0D"/>
        </w:rPr>
        <w:t>Establish an annual timetable of NHT Regional Network consultations with clear</w:t>
      </w:r>
      <w:r w:rsidR="00CA76CF" w:rsidRPr="004A179F">
        <w:rPr>
          <w:color w:val="0D0D0D"/>
        </w:rPr>
        <w:t xml:space="preserve"> </w:t>
      </w:r>
      <w:r w:rsidRPr="004A179F">
        <w:rPr>
          <w:color w:val="0D0D0D"/>
        </w:rPr>
        <w:t>purpose through terms of reference including reference to the Code of</w:t>
      </w:r>
      <w:r w:rsidR="00CA76CF" w:rsidRPr="004A179F">
        <w:rPr>
          <w:color w:val="0D0D0D"/>
        </w:rPr>
        <w:t xml:space="preserve"> </w:t>
      </w:r>
      <w:r w:rsidRPr="004A179F">
        <w:rPr>
          <w:color w:val="0D0D0D"/>
        </w:rPr>
        <w:t>Conduct (see recommendation 13). This engagement is designed to capture</w:t>
      </w:r>
      <w:r w:rsidR="00CA76CF" w:rsidRPr="004A179F">
        <w:rPr>
          <w:color w:val="0D0D0D"/>
        </w:rPr>
        <w:t xml:space="preserve"> </w:t>
      </w:r>
      <w:r w:rsidRPr="004A179F">
        <w:rPr>
          <w:color w:val="0D0D0D"/>
        </w:rPr>
        <w:t>input into the Advocacy, Sector Development &amp; Information Sharing needs of</w:t>
      </w:r>
      <w:r w:rsidR="00CA76CF" w:rsidRPr="004A179F">
        <w:rPr>
          <w:color w:val="0D0D0D"/>
        </w:rPr>
        <w:t xml:space="preserve"> </w:t>
      </w:r>
      <w:r w:rsidRPr="004A179F">
        <w:rPr>
          <w:color w:val="0D0D0D"/>
        </w:rPr>
        <w:t>the regional networks to form and deliver on the core role of NHT as a peak</w:t>
      </w:r>
      <w:r w:rsidR="00CA76CF" w:rsidRPr="004A179F">
        <w:rPr>
          <w:color w:val="0D0D0D"/>
        </w:rPr>
        <w:t xml:space="preserve"> </w:t>
      </w:r>
      <w:r w:rsidRPr="004A179F">
        <w:rPr>
          <w:color w:val="0D0D0D"/>
        </w:rPr>
        <w:t>body. Any local/regional Neighbourhood House managers meetings that take</w:t>
      </w:r>
      <w:r w:rsidR="004A179F" w:rsidRPr="004A179F">
        <w:rPr>
          <w:color w:val="0D0D0D"/>
        </w:rPr>
        <w:t xml:space="preserve"> </w:t>
      </w:r>
      <w:r w:rsidR="004A179F" w:rsidRPr="004A179F">
        <w:rPr>
          <w:color w:val="0D0D0D"/>
        </w:rPr>
        <w:t>place informally or formally outside of the NHT consultations are a matter for</w:t>
      </w:r>
      <w:r w:rsidR="004A179F">
        <w:rPr>
          <w:color w:val="0D0D0D"/>
        </w:rPr>
        <w:t xml:space="preserve"> </w:t>
      </w:r>
      <w:r w:rsidR="004A179F" w:rsidRPr="004A179F">
        <w:rPr>
          <w:color w:val="0D0D0D"/>
        </w:rPr>
        <w:t>local networks and not considered part of the NHT schedule of consultations.</w:t>
      </w:r>
    </w:p>
    <w:p w14:paraId="4DB656A3" w14:textId="741B3D60" w:rsidR="004A179F" w:rsidRPr="004A179F" w:rsidRDefault="004A179F" w:rsidP="004A179F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4A179F">
        <w:rPr>
          <w:color w:val="0D0D0D"/>
        </w:rPr>
        <w:t>Remove the requirement to be a NHT member from the NH contracts. This is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to ensure NHT can provide the value-proposition to Neighbourhood Houses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and manage the relationships within the Code of Conduct. Any functions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“hierarchal” in nature are not allocated to NHT to undertake through any State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Government contracts or initiatives. This does not include the core roles of a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peak body including information sharing and/or bringing a shared view to</w:t>
      </w:r>
      <w:r>
        <w:rPr>
          <w:color w:val="0D0D0D"/>
        </w:rPr>
        <w:t xml:space="preserve"> </w:t>
      </w:r>
      <w:r w:rsidRPr="004A179F">
        <w:rPr>
          <w:color w:val="0D0D0D"/>
        </w:rPr>
        <w:t>Government through participation in working groups etc.</w:t>
      </w:r>
    </w:p>
    <w:p w14:paraId="74BF2265" w14:textId="4BBEE3C1" w:rsidR="004A179F" w:rsidRPr="004A179F" w:rsidRDefault="004A179F" w:rsidP="004A179F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4A179F">
        <w:rPr>
          <w:color w:val="0D0D0D"/>
        </w:rPr>
        <w:t>Undertake an initial “listening tour” with the Neighbourhood House members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across Tasmania to re-establish shared purpose and alignment on the role of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NHT as the peak body within the recognised definition of a peak body. This is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considered a priority element of the resetting of culture and establishing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shared purpose. It is therefore recommended this occurs as soon as possible</w:t>
      </w:r>
      <w:r>
        <w:rPr>
          <w:color w:val="0D0D0D"/>
        </w:rPr>
        <w:t xml:space="preserve"> </w:t>
      </w:r>
      <w:r w:rsidRPr="004A179F">
        <w:rPr>
          <w:color w:val="0D0D0D"/>
        </w:rPr>
        <w:t>and be led by the Managing Director.</w:t>
      </w:r>
      <w:r>
        <w:rPr>
          <w:color w:val="0D0D0D"/>
        </w:rPr>
        <w:br/>
      </w:r>
      <w:r>
        <w:rPr>
          <w:color w:val="0D0D0D"/>
        </w:rPr>
        <w:br/>
      </w:r>
      <w:r w:rsidRPr="004A179F">
        <w:rPr>
          <w:color w:val="0D0D0D"/>
        </w:rPr>
        <w:t>The agenda for the listening tour would include establishment of the shared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principles for a Code of Conduct. At the conclusion of this process, develop a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transparent annual agenda including clear communication points and a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schedule of formal engagement opportunities across a 12-month period.</w:t>
      </w:r>
    </w:p>
    <w:p w14:paraId="63976DFB" w14:textId="77777777" w:rsidR="004A179F" w:rsidRDefault="004A179F" w:rsidP="004A179F">
      <w:pPr>
        <w:pStyle w:val="Heading2"/>
      </w:pPr>
      <w:r>
        <w:lastRenderedPageBreak/>
        <w:t>Recommendations - Procedural</w:t>
      </w:r>
    </w:p>
    <w:p w14:paraId="117ABEA1" w14:textId="7C95CC57" w:rsidR="004A179F" w:rsidRPr="004A179F" w:rsidRDefault="004A179F" w:rsidP="004A179F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4A179F">
        <w:rPr>
          <w:color w:val="0D0D0D"/>
        </w:rPr>
        <w:t>The board of NHT need to have an up-to-date understanding and execution of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their fiduciary responsibilities including performance management and annual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performance review of the CEO and industrial requirements including providing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a safe workplace. An annual program of training needs to be developed for the</w:t>
      </w:r>
      <w:r>
        <w:rPr>
          <w:color w:val="0D0D0D"/>
        </w:rPr>
        <w:t xml:space="preserve"> </w:t>
      </w:r>
      <w:r w:rsidRPr="004A179F">
        <w:rPr>
          <w:color w:val="0D0D0D"/>
        </w:rPr>
        <w:t>board to ensure it stays up to date with a range of governance duties.</w:t>
      </w:r>
    </w:p>
    <w:p w14:paraId="0FD49951" w14:textId="7F1AD5BA" w:rsidR="004A179F" w:rsidRPr="004A179F" w:rsidRDefault="004A179F" w:rsidP="004A179F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4A179F">
        <w:rPr>
          <w:color w:val="0D0D0D"/>
        </w:rPr>
        <w:t>A full set of up-to-date policies and procedures is developed and applied. A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NHT Board induction kit and process is introduced to ensure all new board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members are fully informed of policies, procedures and relevant information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required to undertake their director role. (While the induction kit exists, many</w:t>
      </w:r>
      <w:r w:rsidRPr="004A179F">
        <w:rPr>
          <w:color w:val="0D0D0D"/>
        </w:rPr>
        <w:t xml:space="preserve"> </w:t>
      </w:r>
      <w:r w:rsidRPr="004A179F">
        <w:rPr>
          <w:color w:val="0D0D0D"/>
        </w:rPr>
        <w:t>current and previous board members interviewed were not aware of it or did</w:t>
      </w:r>
      <w:r>
        <w:rPr>
          <w:color w:val="0D0D0D"/>
        </w:rPr>
        <w:t xml:space="preserve"> </w:t>
      </w:r>
      <w:r w:rsidRPr="004A179F">
        <w:rPr>
          <w:color w:val="0D0D0D"/>
        </w:rPr>
        <w:t>not have access to it.)</w:t>
      </w:r>
    </w:p>
    <w:p w14:paraId="2E870A03" w14:textId="6524AAED" w:rsidR="000737F5" w:rsidRPr="00860AE3" w:rsidRDefault="004A179F" w:rsidP="000737F5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860AE3">
        <w:rPr>
          <w:color w:val="0D0D0D"/>
        </w:rPr>
        <w:t>An annual assessment of the board’s performance against the AICD Principles</w:t>
      </w:r>
      <w:r w:rsidRPr="00860AE3">
        <w:rPr>
          <w:color w:val="0D0D0D"/>
        </w:rPr>
        <w:t xml:space="preserve"> </w:t>
      </w:r>
      <w:r w:rsidRPr="00860AE3">
        <w:rPr>
          <w:color w:val="0D0D0D"/>
        </w:rPr>
        <w:t>of Good Governance is undertaken. This can be undertaken by an internal</w:t>
      </w:r>
      <w:r w:rsidRPr="00860AE3">
        <w:rPr>
          <w:color w:val="0D0D0D"/>
        </w:rPr>
        <w:t xml:space="preserve"> </w:t>
      </w:r>
      <w:r w:rsidRPr="00860AE3">
        <w:rPr>
          <w:color w:val="0D0D0D"/>
        </w:rPr>
        <w:t>process where the survey undertaken for the review is administered annually to</w:t>
      </w:r>
      <w:r w:rsidRPr="00860AE3">
        <w:rPr>
          <w:color w:val="0D0D0D"/>
        </w:rPr>
        <w:t xml:space="preserve"> </w:t>
      </w:r>
      <w:r w:rsidRPr="00860AE3">
        <w:rPr>
          <w:color w:val="0D0D0D"/>
        </w:rPr>
        <w:t>the Network and the existing board members. This will enable measurement</w:t>
      </w:r>
      <w:r w:rsidRPr="00860AE3">
        <w:rPr>
          <w:color w:val="0D0D0D"/>
        </w:rPr>
        <w:t xml:space="preserve"> </w:t>
      </w:r>
      <w:r w:rsidRPr="00860AE3">
        <w:rPr>
          <w:color w:val="0D0D0D"/>
        </w:rPr>
        <w:t>against the baseline data collected by the review to ensure evidence of</w:t>
      </w:r>
      <w:r w:rsidRPr="00860AE3">
        <w:rPr>
          <w:color w:val="0D0D0D"/>
        </w:rPr>
        <w:t xml:space="preserve"> </w:t>
      </w:r>
      <w:r w:rsidR="000737F5" w:rsidRPr="00860AE3">
        <w:rPr>
          <w:color w:val="0D0D0D"/>
        </w:rPr>
        <w:t>improvement. Develop and apply best-practice tools and processes for the</w:t>
      </w:r>
      <w:r w:rsidR="00860AE3" w:rsidRPr="00860AE3">
        <w:rPr>
          <w:color w:val="0D0D0D"/>
        </w:rPr>
        <w:t xml:space="preserve"> </w:t>
      </w:r>
      <w:r w:rsidR="000737F5" w:rsidRPr="00860AE3">
        <w:rPr>
          <w:color w:val="0D0D0D"/>
        </w:rPr>
        <w:t>formal and informal engagement between the CEO and Chair/Board including</w:t>
      </w:r>
      <w:r w:rsidR="00860AE3" w:rsidRPr="00860AE3">
        <w:rPr>
          <w:color w:val="0D0D0D"/>
        </w:rPr>
        <w:t xml:space="preserve"> </w:t>
      </w:r>
      <w:r w:rsidR="000737F5" w:rsidRPr="00860AE3">
        <w:rPr>
          <w:color w:val="0D0D0D"/>
        </w:rPr>
        <w:t>performance review, performance management and overall wellbeing of the</w:t>
      </w:r>
      <w:r w:rsidR="00860AE3">
        <w:rPr>
          <w:color w:val="0D0D0D"/>
        </w:rPr>
        <w:t xml:space="preserve"> </w:t>
      </w:r>
      <w:r w:rsidR="000737F5" w:rsidRPr="00860AE3">
        <w:rPr>
          <w:color w:val="0D0D0D"/>
        </w:rPr>
        <w:t>CEO.</w:t>
      </w:r>
    </w:p>
    <w:p w14:paraId="0D97CFE9" w14:textId="77777777" w:rsidR="000737F5" w:rsidRPr="000737F5" w:rsidRDefault="000737F5" w:rsidP="000737F5">
      <w:pPr>
        <w:pStyle w:val="Heading2"/>
      </w:pPr>
      <w:r w:rsidRPr="000737F5">
        <w:t>Recommendations – Cultural</w:t>
      </w:r>
    </w:p>
    <w:p w14:paraId="0BC892C5" w14:textId="571CEAD6" w:rsidR="000737F5" w:rsidRPr="00860AE3" w:rsidRDefault="000737F5" w:rsidP="000737F5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860AE3">
        <w:rPr>
          <w:color w:val="0D0D0D"/>
        </w:rPr>
        <w:t>Development of a Code of Conduct across the peak body and the network it</w:t>
      </w:r>
      <w:r w:rsidR="00860AE3" w:rsidRPr="00860AE3">
        <w:rPr>
          <w:color w:val="0D0D0D"/>
        </w:rPr>
        <w:t xml:space="preserve"> </w:t>
      </w:r>
      <w:r w:rsidRPr="00860AE3">
        <w:rPr>
          <w:color w:val="0D0D0D"/>
        </w:rPr>
        <w:t>represents. The Code of Conduct should be rigorous in providing NHT with the</w:t>
      </w:r>
      <w:r w:rsidR="00860AE3" w:rsidRPr="00860AE3">
        <w:rPr>
          <w:color w:val="0D0D0D"/>
        </w:rPr>
        <w:t xml:space="preserve"> </w:t>
      </w:r>
      <w:r w:rsidRPr="00860AE3">
        <w:rPr>
          <w:color w:val="0D0D0D"/>
        </w:rPr>
        <w:t>option to suspend and/or discontinue membership of any members who do</w:t>
      </w:r>
      <w:r w:rsidR="00860AE3" w:rsidRPr="00860AE3">
        <w:rPr>
          <w:color w:val="0D0D0D"/>
        </w:rPr>
        <w:t xml:space="preserve"> </w:t>
      </w:r>
      <w:r w:rsidRPr="00860AE3">
        <w:rPr>
          <w:color w:val="0D0D0D"/>
        </w:rPr>
        <w:t>not operate in line with the Code of Conduct. Over the initial 2-year</w:t>
      </w:r>
      <w:r w:rsidR="00860AE3" w:rsidRPr="00860AE3">
        <w:rPr>
          <w:color w:val="0D0D0D"/>
        </w:rPr>
        <w:t xml:space="preserve"> </w:t>
      </w:r>
      <w:r w:rsidRPr="00860AE3">
        <w:rPr>
          <w:color w:val="0D0D0D"/>
        </w:rPr>
        <w:t>transitional period, the option to escalate any grievances raised through the</w:t>
      </w:r>
      <w:r w:rsidR="00860AE3" w:rsidRPr="00860AE3">
        <w:rPr>
          <w:color w:val="0D0D0D"/>
        </w:rPr>
        <w:t xml:space="preserve"> </w:t>
      </w:r>
      <w:r w:rsidRPr="00860AE3">
        <w:rPr>
          <w:color w:val="0D0D0D"/>
        </w:rPr>
        <w:t>Code of Conduct process to an external independent panel is provided as an</w:t>
      </w:r>
      <w:r w:rsidR="00860AE3">
        <w:rPr>
          <w:color w:val="0D0D0D"/>
        </w:rPr>
        <w:t xml:space="preserve"> </w:t>
      </w:r>
      <w:r w:rsidRPr="00860AE3">
        <w:rPr>
          <w:color w:val="0D0D0D"/>
        </w:rPr>
        <w:t>option to ensure transparency, accountability, and trust in the process.</w:t>
      </w:r>
    </w:p>
    <w:p w14:paraId="354EC16D" w14:textId="3D7E2D7A" w:rsidR="000737F5" w:rsidRPr="003D1F2F" w:rsidRDefault="000737F5" w:rsidP="000737F5">
      <w:pPr>
        <w:pStyle w:val="ListParagraph"/>
        <w:numPr>
          <w:ilvl w:val="0"/>
          <w:numId w:val="5"/>
        </w:numPr>
        <w:ind w:left="357" w:hanging="357"/>
        <w:contextualSpacing w:val="0"/>
        <w:rPr>
          <w:color w:val="0D0D0D"/>
        </w:rPr>
      </w:pPr>
      <w:r w:rsidRPr="003D1F2F">
        <w:rPr>
          <w:color w:val="0D0D0D"/>
        </w:rPr>
        <w:t>DPAC engage an external provider with specialisation in conflict resolution to</w:t>
      </w:r>
      <w:r w:rsidR="00860AE3" w:rsidRPr="003D1F2F">
        <w:rPr>
          <w:color w:val="0D0D0D"/>
        </w:rPr>
        <w:t xml:space="preserve"> </w:t>
      </w:r>
      <w:r w:rsidRPr="003D1F2F">
        <w:rPr>
          <w:color w:val="0D0D0D"/>
        </w:rPr>
        <w:t>provide an opportunity for individuals and groups to talk through their needs</w:t>
      </w:r>
      <w:r w:rsidR="00860AE3" w:rsidRPr="003D1F2F">
        <w:rPr>
          <w:color w:val="0D0D0D"/>
        </w:rPr>
        <w:t xml:space="preserve"> </w:t>
      </w:r>
      <w:r w:rsidRPr="003D1F2F">
        <w:rPr>
          <w:color w:val="0D0D0D"/>
        </w:rPr>
        <w:t>and establish strategies to enable people to let go of the past and be</w:t>
      </w:r>
      <w:r w:rsidR="00860AE3" w:rsidRPr="003D1F2F">
        <w:rPr>
          <w:color w:val="0D0D0D"/>
        </w:rPr>
        <w:t xml:space="preserve"> </w:t>
      </w:r>
      <w:r w:rsidRPr="003D1F2F">
        <w:rPr>
          <w:color w:val="0D0D0D"/>
        </w:rPr>
        <w:t>supported to move forward. It is recommended this is undertaken as soon as</w:t>
      </w:r>
      <w:r w:rsidR="003D1F2F" w:rsidRPr="003D1F2F">
        <w:rPr>
          <w:color w:val="0D0D0D"/>
        </w:rPr>
        <w:t xml:space="preserve"> </w:t>
      </w:r>
      <w:r w:rsidRPr="003D1F2F">
        <w:rPr>
          <w:color w:val="0D0D0D"/>
        </w:rPr>
        <w:t>possible after the release of the review to enable all stakeholders to have</w:t>
      </w:r>
      <w:r w:rsidR="003D1F2F" w:rsidRPr="003D1F2F">
        <w:rPr>
          <w:color w:val="0D0D0D"/>
        </w:rPr>
        <w:t xml:space="preserve"> </w:t>
      </w:r>
      <w:r w:rsidRPr="003D1F2F">
        <w:rPr>
          <w:color w:val="0D0D0D"/>
        </w:rPr>
        <w:t>access to the specialist support that may be required by some to move</w:t>
      </w:r>
      <w:r w:rsidR="003D1F2F" w:rsidRPr="003D1F2F">
        <w:rPr>
          <w:color w:val="0D0D0D"/>
        </w:rPr>
        <w:t xml:space="preserve"> </w:t>
      </w:r>
      <w:r w:rsidRPr="003D1F2F">
        <w:rPr>
          <w:color w:val="0D0D0D"/>
        </w:rPr>
        <w:t>forward. The external advisor can provide advice following initial discussions on</w:t>
      </w:r>
      <w:r w:rsidR="003D1F2F" w:rsidRPr="003D1F2F">
        <w:rPr>
          <w:color w:val="0D0D0D"/>
        </w:rPr>
        <w:t xml:space="preserve"> </w:t>
      </w:r>
      <w:r w:rsidRPr="003D1F2F">
        <w:rPr>
          <w:color w:val="0D0D0D"/>
        </w:rPr>
        <w:t>an appropriate program of support over the first 6 months of the transition</w:t>
      </w:r>
      <w:r w:rsidR="003D1F2F" w:rsidRPr="003D1F2F">
        <w:rPr>
          <w:color w:val="0D0D0D"/>
        </w:rPr>
        <w:t xml:space="preserve"> </w:t>
      </w:r>
      <w:r w:rsidRPr="003D1F2F">
        <w:rPr>
          <w:color w:val="0D0D0D"/>
        </w:rPr>
        <w:t>period. Acknowledgement of all, including the peak, network, and individuals</w:t>
      </w:r>
      <w:r w:rsidR="003D1F2F" w:rsidRPr="003D1F2F">
        <w:rPr>
          <w:color w:val="0D0D0D"/>
        </w:rPr>
        <w:t xml:space="preserve"> </w:t>
      </w:r>
      <w:r w:rsidRPr="003D1F2F">
        <w:rPr>
          <w:color w:val="0D0D0D"/>
        </w:rPr>
        <w:t>that a future united organisation requires all parties to demonstrate respect and</w:t>
      </w:r>
      <w:r w:rsidR="003D1F2F">
        <w:rPr>
          <w:color w:val="0D0D0D"/>
        </w:rPr>
        <w:t xml:space="preserve"> </w:t>
      </w:r>
      <w:r w:rsidRPr="003D1F2F">
        <w:rPr>
          <w:color w:val="0D0D0D"/>
        </w:rPr>
        <w:t>trust in all behaviours and relationships.</w:t>
      </w:r>
    </w:p>
    <w:p w14:paraId="295F4505" w14:textId="77777777" w:rsidR="000737F5" w:rsidRPr="003D1F2F" w:rsidRDefault="000737F5" w:rsidP="003D1F2F">
      <w:pPr>
        <w:pStyle w:val="Heading2"/>
      </w:pPr>
      <w:r w:rsidRPr="003D1F2F">
        <w:t>Accountability, Transparency and Communication</w:t>
      </w:r>
    </w:p>
    <w:p w14:paraId="37F3B0EA" w14:textId="3AF9906E" w:rsidR="004A179F" w:rsidRDefault="000737F5" w:rsidP="003D1F2F">
      <w:pPr>
        <w:pStyle w:val="ListParagraph"/>
        <w:numPr>
          <w:ilvl w:val="0"/>
          <w:numId w:val="5"/>
        </w:numPr>
        <w:ind w:left="357" w:hanging="357"/>
        <w:contextualSpacing w:val="0"/>
      </w:pPr>
      <w:r w:rsidRPr="00134FAC">
        <w:rPr>
          <w:color w:val="0D0D0D"/>
        </w:rPr>
        <w:t>The first step towards addressing consistency in accountability and</w:t>
      </w:r>
      <w:r w:rsidR="003D1F2F" w:rsidRPr="00134FAC">
        <w:rPr>
          <w:color w:val="0D0D0D"/>
        </w:rPr>
        <w:t xml:space="preserve"> </w:t>
      </w:r>
      <w:r w:rsidRPr="00134FAC">
        <w:rPr>
          <w:color w:val="0D0D0D"/>
        </w:rPr>
        <w:t>transparency requires the role, responsibility, and shared purpose to be defined</w:t>
      </w:r>
      <w:r w:rsidR="003D1F2F" w:rsidRPr="00134FAC">
        <w:rPr>
          <w:color w:val="0D0D0D"/>
        </w:rPr>
        <w:t xml:space="preserve"> </w:t>
      </w:r>
      <w:r w:rsidRPr="00134FAC">
        <w:rPr>
          <w:color w:val="0D0D0D"/>
        </w:rPr>
        <w:t>as outlined in the previous (structural) recommendations. It is recommended</w:t>
      </w:r>
      <w:r w:rsidR="003D1F2F" w:rsidRPr="00134FAC">
        <w:rPr>
          <w:color w:val="0D0D0D"/>
        </w:rPr>
        <w:t xml:space="preserve"> </w:t>
      </w:r>
      <w:r w:rsidRPr="00134FAC">
        <w:rPr>
          <w:color w:val="0D0D0D"/>
        </w:rPr>
        <w:t>that a key component of the “listening tour” includes a focus on understanding,</w:t>
      </w:r>
      <w:r w:rsidR="003D1F2F" w:rsidRPr="00134FAC">
        <w:rPr>
          <w:color w:val="0D0D0D"/>
        </w:rPr>
        <w:t xml:space="preserve"> </w:t>
      </w:r>
      <w:r w:rsidRPr="00134FAC">
        <w:rPr>
          <w:color w:val="0D0D0D"/>
        </w:rPr>
        <w:t xml:space="preserve">what the accountability and </w:t>
      </w:r>
      <w:r w:rsidRPr="00134FAC">
        <w:rPr>
          <w:color w:val="0D0D0D"/>
        </w:rPr>
        <w:lastRenderedPageBreak/>
        <w:t>transparency expectations are in line with the</w:t>
      </w:r>
      <w:r w:rsidR="00134FAC" w:rsidRPr="00134FAC">
        <w:rPr>
          <w:color w:val="0D0D0D"/>
        </w:rPr>
        <w:t xml:space="preserve"> </w:t>
      </w:r>
      <w:r w:rsidRPr="00134FAC">
        <w:rPr>
          <w:color w:val="0D0D0D"/>
        </w:rPr>
        <w:t>overall shared purpose and defined role. It is recommended an annual</w:t>
      </w:r>
      <w:r w:rsidR="00134FAC" w:rsidRPr="00134FAC">
        <w:rPr>
          <w:color w:val="0D0D0D"/>
        </w:rPr>
        <w:t xml:space="preserve"> </w:t>
      </w:r>
      <w:r w:rsidRPr="00134FAC">
        <w:rPr>
          <w:color w:val="0D0D0D"/>
        </w:rPr>
        <w:t>communications plan is developed to ensure all members know when and how</w:t>
      </w:r>
      <w:r w:rsidR="00134FAC">
        <w:rPr>
          <w:color w:val="0D0D0D"/>
        </w:rPr>
        <w:t xml:space="preserve"> </w:t>
      </w:r>
      <w:r w:rsidRPr="00134FAC">
        <w:rPr>
          <w:color w:val="0D0D0D"/>
        </w:rPr>
        <w:t>key information will be regularly and consistently communicated.</w:t>
      </w:r>
    </w:p>
    <w:p w14:paraId="3AAA4EA8" w14:textId="77777777" w:rsidR="00843077" w:rsidRDefault="00843077" w:rsidP="006711A8"/>
    <w:p w14:paraId="4A0EA24D" w14:textId="77777777" w:rsidR="00C74ADE" w:rsidRPr="00C74ADE" w:rsidRDefault="00C74ADE" w:rsidP="006711A8"/>
    <w:sectPr w:rsidR="00C74ADE" w:rsidRPr="00C74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DETOMMY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DETOMMY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489"/>
    <w:multiLevelType w:val="hybridMultilevel"/>
    <w:tmpl w:val="660C30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47077"/>
    <w:multiLevelType w:val="hybridMultilevel"/>
    <w:tmpl w:val="73C4A8CA"/>
    <w:lvl w:ilvl="0" w:tplc="C186B8EA">
      <w:start w:val="1"/>
      <w:numFmt w:val="decimal"/>
      <w:lvlText w:val="%1."/>
      <w:lvlJc w:val="left"/>
      <w:pPr>
        <w:ind w:left="915" w:hanging="555"/>
      </w:pPr>
      <w:rPr>
        <w:rFonts w:hint="default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38C6"/>
    <w:multiLevelType w:val="hybridMultilevel"/>
    <w:tmpl w:val="6F8A77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C25C4"/>
    <w:multiLevelType w:val="hybridMultilevel"/>
    <w:tmpl w:val="FD28B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03470"/>
    <w:multiLevelType w:val="hybridMultilevel"/>
    <w:tmpl w:val="C248C3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DE"/>
    <w:rsid w:val="000737F5"/>
    <w:rsid w:val="000B4A61"/>
    <w:rsid w:val="0010294C"/>
    <w:rsid w:val="00134FAC"/>
    <w:rsid w:val="001E0C8A"/>
    <w:rsid w:val="002552B9"/>
    <w:rsid w:val="002A23BF"/>
    <w:rsid w:val="003060C2"/>
    <w:rsid w:val="003D1F2F"/>
    <w:rsid w:val="004A179F"/>
    <w:rsid w:val="005A5A7E"/>
    <w:rsid w:val="006622B5"/>
    <w:rsid w:val="006711A8"/>
    <w:rsid w:val="007820CA"/>
    <w:rsid w:val="00834F8E"/>
    <w:rsid w:val="00843077"/>
    <w:rsid w:val="00860AE3"/>
    <w:rsid w:val="00876E1F"/>
    <w:rsid w:val="00921C8C"/>
    <w:rsid w:val="0099312F"/>
    <w:rsid w:val="00C74ADE"/>
    <w:rsid w:val="00CA76CF"/>
    <w:rsid w:val="00CF7D21"/>
    <w:rsid w:val="00D15EA0"/>
    <w:rsid w:val="00DC2A05"/>
    <w:rsid w:val="00E32263"/>
    <w:rsid w:val="00E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348C"/>
  <w15:chartTrackingRefBased/>
  <w15:docId w15:val="{0788CACA-D56B-4C88-A039-2D7D93FF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A8"/>
    <w:pPr>
      <w:spacing w:before="120" w:after="120"/>
    </w:pPr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1A8"/>
    <w:pPr>
      <w:keepNext/>
      <w:keepLines/>
      <w:spacing w:before="240" w:after="0"/>
      <w:outlineLvl w:val="0"/>
    </w:pPr>
    <w:rPr>
      <w:rFonts w:eastAsiaTheme="majorEastAsia" w:cstheme="majorBidi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077"/>
    <w:pPr>
      <w:keepNext/>
      <w:keepLines/>
      <w:spacing w:before="240"/>
      <w:outlineLvl w:val="1"/>
    </w:pPr>
    <w:rPr>
      <w:rFonts w:eastAsiaTheme="majorEastAsia" w:cstheme="majorBidi"/>
      <w:kern w:val="2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63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A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11A8"/>
    <w:rPr>
      <w:rFonts w:ascii="Gill Sans MT" w:eastAsiaTheme="majorEastAsia" w:hAnsi="Gill Sans MT" w:cstheme="majorBidi"/>
      <w:kern w:val="32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060C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0C2"/>
    <w:rPr>
      <w:rFonts w:ascii="Gill Sans MT" w:eastAsiaTheme="majorEastAsia" w:hAnsi="Gill Sans M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3BF"/>
    <w:pPr>
      <w:numPr>
        <w:ilvl w:val="1"/>
      </w:numPr>
    </w:pPr>
    <w:rPr>
      <w:rFonts w:eastAsiaTheme="minorEastAsia"/>
      <w:kern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23BF"/>
    <w:rPr>
      <w:rFonts w:ascii="Gill Sans MT" w:eastAsiaTheme="minorEastAsia" w:hAnsi="Gill Sans MT"/>
      <w:kern w:val="2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3077"/>
    <w:rPr>
      <w:rFonts w:ascii="Gill Sans MT" w:eastAsiaTheme="majorEastAsia" w:hAnsi="Gill Sans MT" w:cstheme="majorBidi"/>
      <w:kern w:val="26"/>
      <w:sz w:val="28"/>
      <w:szCs w:val="26"/>
    </w:rPr>
  </w:style>
  <w:style w:type="table" w:styleId="TableGrid">
    <w:name w:val="Table Grid"/>
    <w:basedOn w:val="TableNormal"/>
    <w:uiPriority w:val="39"/>
    <w:rsid w:val="0030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60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32263"/>
    <w:rPr>
      <w:rFonts w:ascii="Gill Sans MT" w:eastAsiaTheme="majorEastAsia" w:hAnsi="Gill Sans MT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3956</Words>
  <Characters>20099</Characters>
  <Application>Microsoft Office Word</Application>
  <DocSecurity>0</DocSecurity>
  <Lines>358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Benjamin</dc:creator>
  <cp:keywords/>
  <dc:description/>
  <cp:lastModifiedBy>Fowler, Benjamin</cp:lastModifiedBy>
  <cp:revision>24</cp:revision>
  <dcterms:created xsi:type="dcterms:W3CDTF">2023-03-29T05:27:00Z</dcterms:created>
  <dcterms:modified xsi:type="dcterms:W3CDTF">2023-03-29T06:15:00Z</dcterms:modified>
</cp:coreProperties>
</file>