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2D3" w:rsidRDefault="00F832D3" w:rsidP="00646DB2">
      <w:pPr>
        <w:pStyle w:val="Heading2"/>
        <w:jc w:val="center"/>
        <w:rPr>
          <w:color w:val="auto"/>
        </w:rPr>
      </w:pPr>
      <w:bookmarkStart w:id="0" w:name="_Ref176858111"/>
      <w:r>
        <w:rPr>
          <w:color w:val="auto"/>
        </w:rPr>
        <w:t>Terms of Reference</w:t>
      </w:r>
    </w:p>
    <w:p w:rsidR="00F832D3" w:rsidRPr="00F832D3" w:rsidRDefault="00F832D3" w:rsidP="00F832D3">
      <w:pPr>
        <w:pStyle w:val="Heading2"/>
        <w:jc w:val="center"/>
        <w:rPr>
          <w:color w:val="auto"/>
        </w:rPr>
      </w:pPr>
      <w:r w:rsidRPr="00F832D3">
        <w:rPr>
          <w:color w:val="auto"/>
        </w:rPr>
        <w:t>The Minister’s Disability Consultative Group</w:t>
      </w:r>
    </w:p>
    <w:bookmarkEnd w:id="0"/>
    <w:p w:rsidR="00F832D3" w:rsidRDefault="00F832D3" w:rsidP="00F832D3">
      <w:pPr>
        <w:pStyle w:val="Heading3"/>
        <w:rPr>
          <w:color w:val="auto"/>
        </w:rPr>
      </w:pPr>
      <w:r w:rsidRPr="00F832D3">
        <w:rPr>
          <w:color w:val="auto"/>
        </w:rPr>
        <w:t>Background</w:t>
      </w:r>
    </w:p>
    <w:p w:rsidR="00D06587" w:rsidRDefault="00DB6C83" w:rsidP="00D06587">
      <w:pPr>
        <w:pStyle w:val="TextBody"/>
        <w:rPr>
          <w:rFonts w:asciiTheme="minorHAnsi" w:hAnsiTheme="minorHAnsi"/>
        </w:rPr>
      </w:pPr>
      <w:r w:rsidRPr="00D06587">
        <w:rPr>
          <w:rFonts w:asciiTheme="minorHAnsi" w:hAnsiTheme="minorHAnsi"/>
        </w:rPr>
        <w:t xml:space="preserve">The role of the Tasmanian </w:t>
      </w:r>
      <w:r w:rsidR="00D06587">
        <w:rPr>
          <w:rFonts w:asciiTheme="minorHAnsi" w:hAnsiTheme="minorHAnsi"/>
        </w:rPr>
        <w:t>G</w:t>
      </w:r>
      <w:r w:rsidRPr="00D06587">
        <w:rPr>
          <w:rFonts w:asciiTheme="minorHAnsi" w:hAnsiTheme="minorHAnsi"/>
        </w:rPr>
        <w:t>overnment</w:t>
      </w:r>
      <w:r w:rsidR="00D06587">
        <w:rPr>
          <w:rFonts w:asciiTheme="minorHAnsi" w:hAnsiTheme="minorHAnsi"/>
        </w:rPr>
        <w:t xml:space="preserve"> is to:</w:t>
      </w:r>
    </w:p>
    <w:p w:rsidR="00D06587" w:rsidRDefault="00DB6C83" w:rsidP="00D06587">
      <w:pPr>
        <w:pStyle w:val="TextBody"/>
        <w:numPr>
          <w:ilvl w:val="0"/>
          <w:numId w:val="23"/>
        </w:numPr>
        <w:rPr>
          <w:rFonts w:asciiTheme="minorHAnsi" w:hAnsiTheme="minorHAnsi"/>
        </w:rPr>
      </w:pPr>
      <w:r w:rsidRPr="00D06587">
        <w:rPr>
          <w:rFonts w:asciiTheme="minorHAnsi" w:hAnsiTheme="minorHAnsi"/>
        </w:rPr>
        <w:t xml:space="preserve">work collaboratively with governments, </w:t>
      </w:r>
      <w:r w:rsidR="00D06587" w:rsidRPr="00D06587">
        <w:rPr>
          <w:rFonts w:asciiTheme="minorHAnsi" w:hAnsiTheme="minorHAnsi"/>
        </w:rPr>
        <w:t>business</w:t>
      </w:r>
      <w:r w:rsidR="00942DF5">
        <w:rPr>
          <w:rFonts w:asciiTheme="minorHAnsi" w:hAnsiTheme="minorHAnsi"/>
        </w:rPr>
        <w:t>es</w:t>
      </w:r>
      <w:r w:rsidR="00D06587" w:rsidRPr="00D06587">
        <w:rPr>
          <w:rFonts w:asciiTheme="minorHAnsi" w:hAnsiTheme="minorHAnsi"/>
        </w:rPr>
        <w:t>,</w:t>
      </w:r>
      <w:r w:rsidRPr="00D06587">
        <w:rPr>
          <w:rFonts w:asciiTheme="minorHAnsi" w:hAnsiTheme="minorHAnsi"/>
        </w:rPr>
        <w:t xml:space="preserve"> and other sectors of the community to </w:t>
      </w:r>
      <w:r w:rsidR="00D06587">
        <w:rPr>
          <w:rFonts w:asciiTheme="minorHAnsi" w:hAnsiTheme="minorHAnsi"/>
        </w:rPr>
        <w:t xml:space="preserve">ensure that </w:t>
      </w:r>
      <w:r w:rsidR="00D06587" w:rsidRPr="00D06587">
        <w:rPr>
          <w:rFonts w:asciiTheme="minorHAnsi" w:hAnsiTheme="minorHAnsi"/>
        </w:rPr>
        <w:t xml:space="preserve">Tasmanians </w:t>
      </w:r>
      <w:r w:rsidR="008D3762">
        <w:rPr>
          <w:rFonts w:asciiTheme="minorHAnsi" w:hAnsiTheme="minorHAnsi"/>
        </w:rPr>
        <w:t xml:space="preserve">with disability </w:t>
      </w:r>
      <w:r w:rsidR="00D06587" w:rsidRPr="00D06587">
        <w:rPr>
          <w:rFonts w:asciiTheme="minorHAnsi" w:hAnsiTheme="minorHAnsi"/>
        </w:rPr>
        <w:t xml:space="preserve">are supported to connect and engage with </w:t>
      </w:r>
      <w:r w:rsidR="00D06587">
        <w:rPr>
          <w:rFonts w:asciiTheme="minorHAnsi" w:hAnsiTheme="minorHAnsi"/>
        </w:rPr>
        <w:t>the community</w:t>
      </w:r>
      <w:r w:rsidR="00942DF5">
        <w:rPr>
          <w:rFonts w:asciiTheme="minorHAnsi" w:hAnsiTheme="minorHAnsi"/>
        </w:rPr>
        <w:t>.</w:t>
      </w:r>
    </w:p>
    <w:p w:rsidR="00D06587" w:rsidRDefault="00D06587" w:rsidP="00D06587">
      <w:pPr>
        <w:pStyle w:val="TextBody"/>
        <w:numPr>
          <w:ilvl w:val="0"/>
          <w:numId w:val="23"/>
        </w:numPr>
        <w:rPr>
          <w:rFonts w:asciiTheme="minorHAnsi" w:hAnsiTheme="minorHAnsi"/>
        </w:rPr>
      </w:pPr>
      <w:r w:rsidRPr="00D06587">
        <w:rPr>
          <w:rFonts w:asciiTheme="minorHAnsi" w:hAnsiTheme="minorHAnsi"/>
        </w:rPr>
        <w:t>Creat</w:t>
      </w:r>
      <w:r>
        <w:rPr>
          <w:rFonts w:asciiTheme="minorHAnsi" w:hAnsiTheme="minorHAnsi"/>
        </w:rPr>
        <w:t>e</w:t>
      </w:r>
      <w:r w:rsidRPr="00D06587">
        <w:rPr>
          <w:rFonts w:asciiTheme="minorHAnsi" w:hAnsiTheme="minorHAnsi"/>
        </w:rPr>
        <w:t xml:space="preserve"> and </w:t>
      </w:r>
      <w:r w:rsidRPr="00B25AFF">
        <w:rPr>
          <w:rFonts w:asciiTheme="minorHAnsi" w:hAnsiTheme="minorHAnsi"/>
        </w:rPr>
        <w:t>grow partnerships with all the diverse aspects of our communities will enhance the inclusiveness and accessibility for Tasmanians with disability.</w:t>
      </w:r>
    </w:p>
    <w:p w:rsidR="00F832D3" w:rsidRPr="00F832D3" w:rsidRDefault="00F832D3" w:rsidP="00F832D3">
      <w:pPr>
        <w:pStyle w:val="Heading3"/>
        <w:rPr>
          <w:color w:val="auto"/>
        </w:rPr>
      </w:pPr>
      <w:r w:rsidRPr="00F832D3">
        <w:rPr>
          <w:color w:val="auto"/>
        </w:rPr>
        <w:t>Purpose and Function</w:t>
      </w:r>
    </w:p>
    <w:p w:rsidR="00F832D3" w:rsidRDefault="00F832D3" w:rsidP="00F832D3">
      <w:r>
        <w:t xml:space="preserve">The Consultative Group provides an opportunity for the </w:t>
      </w:r>
      <w:proofErr w:type="gramStart"/>
      <w:r w:rsidR="00357BC9">
        <w:t xml:space="preserve">Disability Services </w:t>
      </w:r>
      <w:r>
        <w:t>Minister</w:t>
      </w:r>
      <w:proofErr w:type="gramEnd"/>
      <w:r w:rsidR="008D3762">
        <w:t>,</w:t>
      </w:r>
      <w:r>
        <w:t xml:space="preserve"> to consult with and be advised by a broad range of stakeholders</w:t>
      </w:r>
      <w:r w:rsidR="008572DE">
        <w:t xml:space="preserve"> to support </w:t>
      </w:r>
      <w:r w:rsidR="007070FB">
        <w:t xml:space="preserve">and foster </w:t>
      </w:r>
      <w:r w:rsidR="008572DE">
        <w:t>an inclusive</w:t>
      </w:r>
      <w:r w:rsidR="00B04D0B">
        <w:t xml:space="preserve"> and accessible </w:t>
      </w:r>
      <w:r w:rsidR="004973C4">
        <w:t>Tasmania</w:t>
      </w:r>
      <w:r w:rsidR="00B04D0B">
        <w:t>.</w:t>
      </w:r>
      <w:r w:rsidR="008572DE">
        <w:t xml:space="preserve"> </w:t>
      </w:r>
      <w:r w:rsidR="007070FB">
        <w:t>Consultations can include but are not limited</w:t>
      </w:r>
      <w:r>
        <w:t xml:space="preserve"> to:</w:t>
      </w:r>
    </w:p>
    <w:p w:rsidR="00F832D3" w:rsidRDefault="00F832D3" w:rsidP="008D3762">
      <w:pPr>
        <w:pStyle w:val="ListParagraph"/>
        <w:numPr>
          <w:ilvl w:val="0"/>
          <w:numId w:val="13"/>
        </w:numPr>
        <w:spacing w:before="120" w:after="120"/>
        <w:contextualSpacing w:val="0"/>
      </w:pPr>
      <w:r>
        <w:t xml:space="preserve">The development and delivery of disability services related policy and programs in Tasmania. </w:t>
      </w:r>
    </w:p>
    <w:p w:rsidR="00F832D3" w:rsidRDefault="00F832D3" w:rsidP="008D3762">
      <w:pPr>
        <w:pStyle w:val="ListParagraph"/>
        <w:numPr>
          <w:ilvl w:val="0"/>
          <w:numId w:val="13"/>
        </w:numPr>
        <w:spacing w:before="120" w:after="120"/>
        <w:contextualSpacing w:val="0"/>
      </w:pPr>
      <w:r>
        <w:t xml:space="preserve">The experience of people with disability their </w:t>
      </w:r>
      <w:proofErr w:type="spellStart"/>
      <w:r>
        <w:t>carers</w:t>
      </w:r>
      <w:proofErr w:type="spellEnd"/>
      <w:r>
        <w:t xml:space="preserve"> and families in Tasmania.</w:t>
      </w:r>
    </w:p>
    <w:p w:rsidR="00F832D3" w:rsidRPr="009B1C54" w:rsidRDefault="00F832D3" w:rsidP="008D3762">
      <w:pPr>
        <w:pStyle w:val="ListParagraph"/>
        <w:numPr>
          <w:ilvl w:val="0"/>
          <w:numId w:val="13"/>
        </w:numPr>
        <w:spacing w:before="120" w:after="120"/>
        <w:contextualSpacing w:val="0"/>
      </w:pPr>
      <w:r>
        <w:t>Matters being considered by the Disability Reform Council (or its equivalent), as appropriate.</w:t>
      </w:r>
    </w:p>
    <w:p w:rsidR="002F4D8A" w:rsidRPr="0075603E" w:rsidRDefault="002F4D8A" w:rsidP="008D3762">
      <w:pPr>
        <w:pStyle w:val="BriefingTitle"/>
        <w:numPr>
          <w:ilvl w:val="0"/>
          <w:numId w:val="19"/>
        </w:numPr>
        <w:tabs>
          <w:tab w:val="clear" w:pos="425"/>
          <w:tab w:val="left" w:pos="567"/>
        </w:tabs>
        <w:spacing w:before="120" w:after="120"/>
        <w:ind w:right="-574" w:hanging="720"/>
        <w:jc w:val="left"/>
        <w:rPr>
          <w:rFonts w:asciiTheme="minorHAnsi" w:hAnsiTheme="minorHAnsi"/>
          <w:b w:val="0"/>
          <w:color w:val="auto"/>
          <w:sz w:val="22"/>
          <w:szCs w:val="22"/>
        </w:rPr>
      </w:pPr>
      <w:r w:rsidRPr="0075603E">
        <w:rPr>
          <w:rFonts w:asciiTheme="minorHAnsi" w:hAnsiTheme="minorHAnsi"/>
          <w:b w:val="0"/>
          <w:color w:val="auto"/>
          <w:sz w:val="22"/>
          <w:szCs w:val="22"/>
        </w:rPr>
        <w:t>Outcomes of the Royal Commission into Disability.</w:t>
      </w:r>
    </w:p>
    <w:p w:rsidR="002F4D8A" w:rsidRPr="0075603E" w:rsidRDefault="008D3762" w:rsidP="008D3762">
      <w:pPr>
        <w:pStyle w:val="BriefingTitle"/>
        <w:numPr>
          <w:ilvl w:val="0"/>
          <w:numId w:val="19"/>
        </w:numPr>
        <w:tabs>
          <w:tab w:val="clear" w:pos="425"/>
          <w:tab w:val="left" w:pos="567"/>
        </w:tabs>
        <w:spacing w:before="120" w:after="120"/>
        <w:ind w:left="567" w:right="-574" w:hanging="567"/>
        <w:jc w:val="left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The Australian</w:t>
      </w:r>
      <w:r w:rsidR="002F4D8A" w:rsidRPr="0075603E">
        <w:rPr>
          <w:rFonts w:asciiTheme="minorHAnsi" w:hAnsiTheme="minorHAnsi"/>
          <w:b w:val="0"/>
          <w:color w:val="auto"/>
          <w:sz w:val="22"/>
          <w:szCs w:val="22"/>
        </w:rPr>
        <w:t xml:space="preserve"> Disability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Strategy</w:t>
      </w:r>
      <w:r w:rsidR="002F4D8A" w:rsidRPr="0075603E">
        <w:rPr>
          <w:rFonts w:asciiTheme="minorHAnsi" w:hAnsiTheme="minorHAnsi"/>
          <w:b w:val="0"/>
          <w:color w:val="auto"/>
          <w:sz w:val="22"/>
          <w:szCs w:val="22"/>
        </w:rPr>
        <w:t>.</w:t>
      </w:r>
    </w:p>
    <w:p w:rsidR="00F832D3" w:rsidRPr="00F832D3" w:rsidRDefault="00F832D3" w:rsidP="00F832D3">
      <w:pPr>
        <w:pStyle w:val="Heading3"/>
        <w:rPr>
          <w:color w:val="auto"/>
        </w:rPr>
      </w:pPr>
      <w:r w:rsidRPr="00F832D3">
        <w:rPr>
          <w:color w:val="auto"/>
        </w:rPr>
        <w:t>Membership</w:t>
      </w:r>
    </w:p>
    <w:p w:rsidR="00F832D3" w:rsidRDefault="00F832D3" w:rsidP="00F832D3">
      <w:r>
        <w:t xml:space="preserve">The Consultative Group will consist of members </w:t>
      </w:r>
      <w:r w:rsidR="00220C62">
        <w:t xml:space="preserve">who have lived experience of disability, </w:t>
      </w:r>
      <w:r>
        <w:t>appointed by the Minister</w:t>
      </w:r>
      <w:r w:rsidR="00220C62">
        <w:t>, with</w:t>
      </w:r>
      <w:r w:rsidR="004973C4">
        <w:t xml:space="preserve"> the capacity for reasonable adjustments according to the membership matrix</w:t>
      </w:r>
      <w:r>
        <w:t>.</w:t>
      </w:r>
    </w:p>
    <w:p w:rsidR="00F832D3" w:rsidRDefault="00F832D3" w:rsidP="002126D4">
      <w:pPr>
        <w:tabs>
          <w:tab w:val="left" w:pos="1134"/>
          <w:tab w:val="left" w:pos="1701"/>
        </w:tabs>
      </w:pPr>
      <w:r>
        <w:t>Representation from</w:t>
      </w:r>
      <w:r w:rsidR="002126D4">
        <w:t xml:space="preserve"> diverse disability types, </w:t>
      </w:r>
      <w:r>
        <w:t xml:space="preserve">Aboriginal and Torres Strait Islander communities, cultural and linguistic diversity, LGBTQIA+ communities, socio-economic diversity and rural, </w:t>
      </w:r>
      <w:r w:rsidR="008D3762">
        <w:t>regional,</w:t>
      </w:r>
      <w:r>
        <w:t xml:space="preserve"> and remote </w:t>
      </w:r>
      <w:r w:rsidR="002126D4">
        <w:t>communities</w:t>
      </w:r>
      <w:r>
        <w:t xml:space="preserve"> of Tasmania </w:t>
      </w:r>
      <w:r w:rsidR="00471DE2">
        <w:t xml:space="preserve">are </w:t>
      </w:r>
      <w:r>
        <w:t>encouraged</w:t>
      </w:r>
      <w:r w:rsidR="00471DE2">
        <w:t xml:space="preserve"> to apply through the </w:t>
      </w:r>
      <w:r w:rsidR="008D3762">
        <w:t xml:space="preserve">annual </w:t>
      </w:r>
      <w:r w:rsidR="00471DE2">
        <w:t>recruitment process</w:t>
      </w:r>
      <w:r>
        <w:t>.</w:t>
      </w:r>
    </w:p>
    <w:p w:rsidR="0055738C" w:rsidRDefault="00B17577" w:rsidP="002126D4">
      <w:pPr>
        <w:tabs>
          <w:tab w:val="left" w:pos="1134"/>
          <w:tab w:val="left" w:pos="1701"/>
        </w:tabs>
      </w:pPr>
      <w:r>
        <w:t>Experienced m</w:t>
      </w:r>
      <w:r w:rsidR="0055738C">
        <w:t xml:space="preserve">embers </w:t>
      </w:r>
      <w:proofErr w:type="gramStart"/>
      <w:r w:rsidR="0055738C">
        <w:t>have the opportunity to</w:t>
      </w:r>
      <w:proofErr w:type="gramEnd"/>
      <w:r w:rsidR="0055738C">
        <w:t xml:space="preserve"> engage new members as mentors to support the</w:t>
      </w:r>
      <w:r>
        <w:t>ir introduction into the Consultative Group.</w:t>
      </w:r>
    </w:p>
    <w:p w:rsidR="00220C62" w:rsidRDefault="00F832D3" w:rsidP="00F832D3">
      <w:pPr>
        <w:tabs>
          <w:tab w:val="left" w:pos="1134"/>
          <w:tab w:val="left" w:pos="1701"/>
        </w:tabs>
      </w:pPr>
      <w:r>
        <w:t>Membership</w:t>
      </w:r>
      <w:r w:rsidR="00220C62">
        <w:t>:</w:t>
      </w:r>
    </w:p>
    <w:p w:rsidR="00220C62" w:rsidRDefault="00220C62" w:rsidP="00220C62">
      <w:pPr>
        <w:pStyle w:val="ListParagraph"/>
        <w:numPr>
          <w:ilvl w:val="0"/>
          <w:numId w:val="24"/>
        </w:numPr>
        <w:ind w:left="567" w:hanging="567"/>
      </w:pPr>
      <w:r>
        <w:t xml:space="preserve">is </w:t>
      </w:r>
      <w:r w:rsidR="00F832D3">
        <w:t xml:space="preserve">voluntary with the expectation that members will attend all meetings. </w:t>
      </w:r>
    </w:p>
    <w:p w:rsidR="00220C62" w:rsidRDefault="00F832D3" w:rsidP="00220C62">
      <w:pPr>
        <w:pStyle w:val="ListParagraph"/>
        <w:numPr>
          <w:ilvl w:val="0"/>
          <w:numId w:val="24"/>
        </w:numPr>
        <w:ind w:left="567" w:hanging="567"/>
      </w:pPr>
      <w:r>
        <w:t xml:space="preserve">will not attract sitting fees. </w:t>
      </w:r>
    </w:p>
    <w:p w:rsidR="00220C62" w:rsidRDefault="00220C62" w:rsidP="00220C62">
      <w:pPr>
        <w:pStyle w:val="ListParagraph"/>
        <w:numPr>
          <w:ilvl w:val="0"/>
          <w:numId w:val="24"/>
        </w:numPr>
        <w:ind w:left="567" w:hanging="567"/>
      </w:pPr>
      <w:r>
        <w:t>requires contribution to a two-way flow of information</w:t>
      </w:r>
      <w:r w:rsidR="00942DF5">
        <w:t>.</w:t>
      </w:r>
    </w:p>
    <w:p w:rsidR="00F832D3" w:rsidRDefault="00F832D3" w:rsidP="00220C62">
      <w:pPr>
        <w:pStyle w:val="ListParagraph"/>
        <w:numPr>
          <w:ilvl w:val="0"/>
          <w:numId w:val="24"/>
        </w:numPr>
        <w:ind w:left="567" w:hanging="567"/>
      </w:pPr>
      <w:r>
        <w:t xml:space="preserve">All reasonable efforts will be made for members to connect to meetings from the place where they live. </w:t>
      </w:r>
    </w:p>
    <w:p w:rsidR="00F832D3" w:rsidRPr="00F832D3" w:rsidRDefault="00F832D3" w:rsidP="00F832D3">
      <w:pPr>
        <w:pStyle w:val="Heading3"/>
        <w:rPr>
          <w:color w:val="auto"/>
        </w:rPr>
      </w:pPr>
      <w:r w:rsidRPr="00F832D3">
        <w:rPr>
          <w:color w:val="auto"/>
        </w:rPr>
        <w:t>Recruitment</w:t>
      </w:r>
    </w:p>
    <w:p w:rsidR="00444CBE" w:rsidRDefault="00F832D3" w:rsidP="009F4822">
      <w:pPr>
        <w:tabs>
          <w:tab w:val="left" w:pos="1134"/>
          <w:tab w:val="left" w:pos="1701"/>
        </w:tabs>
      </w:pPr>
      <w:r>
        <w:t>Recruitment of members</w:t>
      </w:r>
      <w:r w:rsidR="005F0746">
        <w:t xml:space="preserve"> </w:t>
      </w:r>
      <w:r w:rsidR="001453F5">
        <w:t xml:space="preserve">is </w:t>
      </w:r>
      <w:r w:rsidR="005F0746">
        <w:t>conducted through a recruitment process</w:t>
      </w:r>
      <w:r w:rsidR="009F4822">
        <w:t xml:space="preserve"> accessing individual </w:t>
      </w:r>
      <w:r w:rsidR="00444CBE">
        <w:t>merits, membership</w:t>
      </w:r>
      <w:r w:rsidR="001453F5">
        <w:t xml:space="preserve"> composition</w:t>
      </w:r>
      <w:r w:rsidR="00F2251B">
        <w:t xml:space="preserve"> </w:t>
      </w:r>
      <w:r w:rsidR="001453F5">
        <w:t xml:space="preserve">and reasonable adjustments are considered to ensure the Tasmanian </w:t>
      </w:r>
      <w:r w:rsidR="00C026A6">
        <w:t>communities</w:t>
      </w:r>
      <w:r w:rsidR="001453F5">
        <w:t xml:space="preserve">’ </w:t>
      </w:r>
      <w:r w:rsidR="00C026A6">
        <w:t xml:space="preserve">diversity </w:t>
      </w:r>
      <w:r w:rsidR="001453F5">
        <w:t>is reflected in the membership.</w:t>
      </w:r>
      <w:r>
        <w:t xml:space="preserve"> </w:t>
      </w:r>
      <w:r w:rsidR="00C77AEE">
        <w:t xml:space="preserve"> </w:t>
      </w:r>
    </w:p>
    <w:p w:rsidR="009F4822" w:rsidRDefault="009F4822" w:rsidP="009F4822">
      <w:pPr>
        <w:tabs>
          <w:tab w:val="left" w:pos="1134"/>
          <w:tab w:val="left" w:pos="1701"/>
        </w:tabs>
      </w:pPr>
      <w:r>
        <w:t>Membership terms are for 2 years with an option for a</w:t>
      </w:r>
      <w:r w:rsidR="00475034">
        <w:t>n extension</w:t>
      </w:r>
      <w:r>
        <w:t xml:space="preserve">, upon ministerial approval. </w:t>
      </w:r>
    </w:p>
    <w:p w:rsidR="00F832D3" w:rsidRPr="00483892" w:rsidRDefault="001E7135" w:rsidP="00444CBE">
      <w:pPr>
        <w:tabs>
          <w:tab w:val="left" w:pos="1134"/>
          <w:tab w:val="left" w:pos="1701"/>
        </w:tabs>
      </w:pPr>
      <w:r>
        <w:t>Membership t</w:t>
      </w:r>
      <w:r w:rsidR="009F4822">
        <w:t>erms are alternated within the</w:t>
      </w:r>
      <w:r w:rsidR="009F4822" w:rsidRPr="00E955BA">
        <w:t xml:space="preserve"> 1</w:t>
      </w:r>
      <w:r w:rsidR="00E955BA" w:rsidRPr="00E955BA">
        <w:t>6</w:t>
      </w:r>
      <w:r w:rsidR="009F4822">
        <w:t xml:space="preserve"> members to ensure retention of knowledge and skillsets are shared with new members.</w:t>
      </w:r>
      <w:r>
        <w:t xml:space="preserve"> This means there will always be cycle of experience and new members in the Consultative Group.</w:t>
      </w:r>
      <w:r w:rsidR="009F4822">
        <w:t xml:space="preserve"> The selection </w:t>
      </w:r>
      <w:r>
        <w:t xml:space="preserve">of new members </w:t>
      </w:r>
      <w:r w:rsidR="009F4822">
        <w:t>and third year renewal process are subject to ministerial approval.</w:t>
      </w:r>
    </w:p>
    <w:p w:rsidR="00F832D3" w:rsidRPr="00E2324B" w:rsidRDefault="00F832D3" w:rsidP="00F832D3">
      <w:pPr>
        <w:pStyle w:val="Heading3"/>
      </w:pPr>
      <w:r w:rsidRPr="00F832D3">
        <w:rPr>
          <w:color w:val="auto"/>
        </w:rPr>
        <w:t>Meeting Frequency</w:t>
      </w:r>
    </w:p>
    <w:p w:rsidR="00F832D3" w:rsidRDefault="00F832D3" w:rsidP="00F832D3">
      <w:r>
        <w:t>The Consultative Group will meet</w:t>
      </w:r>
      <w:r w:rsidR="009D2E50">
        <w:t xml:space="preserve"> three times a year</w:t>
      </w:r>
      <w:r>
        <w:t xml:space="preserve"> </w:t>
      </w:r>
      <w:r w:rsidR="001453F5">
        <w:t xml:space="preserve">to meet the objectives of the work plan </w:t>
      </w:r>
      <w:r>
        <w:t xml:space="preserve">or as required by the Minister. </w:t>
      </w:r>
    </w:p>
    <w:p w:rsidR="00444CBE" w:rsidRDefault="00444CBE" w:rsidP="00F832D3">
      <w:r>
        <w:t xml:space="preserve">Membership will be limited to </w:t>
      </w:r>
      <w:r w:rsidRPr="00E955BA">
        <w:t xml:space="preserve">16 </w:t>
      </w:r>
      <w:r>
        <w:t>members at any time to enable effective participation by all members.</w:t>
      </w:r>
    </w:p>
    <w:p w:rsidR="009F4822" w:rsidRPr="00483892" w:rsidRDefault="009F4822" w:rsidP="00F832D3">
      <w:r>
        <w:t>Subcommittee meeting</w:t>
      </w:r>
      <w:r w:rsidR="008218CD">
        <w:t>s</w:t>
      </w:r>
      <w:r>
        <w:t xml:space="preserve"> </w:t>
      </w:r>
      <w:r w:rsidR="00444CBE">
        <w:t>can be</w:t>
      </w:r>
      <w:r>
        <w:t xml:space="preserve"> </w:t>
      </w:r>
      <w:r w:rsidR="008218CD">
        <w:t xml:space="preserve">arranged according to members availability and the requirements to meet the objectives of the </w:t>
      </w:r>
      <w:r w:rsidR="00444CBE">
        <w:t xml:space="preserve">annual </w:t>
      </w:r>
      <w:r w:rsidR="008218CD">
        <w:t>work plan</w:t>
      </w:r>
      <w:r w:rsidR="00444CBE">
        <w:t>.</w:t>
      </w:r>
      <w:r>
        <w:t xml:space="preserve"> </w:t>
      </w:r>
    </w:p>
    <w:p w:rsidR="00F832D3" w:rsidRPr="00F832D3" w:rsidRDefault="00F832D3" w:rsidP="00F832D3">
      <w:pPr>
        <w:pStyle w:val="Heading3"/>
        <w:rPr>
          <w:color w:val="auto"/>
        </w:rPr>
      </w:pPr>
      <w:r w:rsidRPr="00F832D3">
        <w:rPr>
          <w:color w:val="auto"/>
        </w:rPr>
        <w:t>Administrative Arrangements</w:t>
      </w:r>
    </w:p>
    <w:p w:rsidR="00F832D3" w:rsidRDefault="005F0746" w:rsidP="00F832D3">
      <w:r>
        <w:t xml:space="preserve"> The Department</w:t>
      </w:r>
      <w:r w:rsidR="008218CD">
        <w:t xml:space="preserve"> of Premier and Cabinet</w:t>
      </w:r>
      <w:r>
        <w:t xml:space="preserve"> </w:t>
      </w:r>
      <w:r w:rsidR="00F832D3">
        <w:t>will provide secretariat support to the Consultative Group.</w:t>
      </w:r>
      <w:r w:rsidR="00D42B20">
        <w:t xml:space="preserve">  </w:t>
      </w:r>
      <w:r w:rsidR="00832708">
        <w:t>Where possible</w:t>
      </w:r>
      <w:r w:rsidR="008218CD">
        <w:t xml:space="preserve"> minutes and meeting papers will be provided in formats that meet the accessibility requirements of each member and adhering to best practice standards.</w:t>
      </w:r>
      <w:r w:rsidR="008218CD" w:rsidDel="008218CD">
        <w:t xml:space="preserve"> </w:t>
      </w:r>
    </w:p>
    <w:p w:rsidR="0034516B" w:rsidRDefault="0034516B" w:rsidP="00861364">
      <w:pPr>
        <w:tabs>
          <w:tab w:val="left" w:pos="0"/>
        </w:tabs>
        <w:spacing w:after="0" w:line="240" w:lineRule="auto"/>
        <w:rPr>
          <w:sz w:val="24"/>
          <w:lang w:val="en-GB"/>
        </w:rPr>
      </w:pPr>
    </w:p>
    <w:sectPr w:rsidR="0034516B" w:rsidSect="000B391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57" w:right="1134" w:bottom="1134" w:left="1134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EEB" w:rsidRDefault="00D31EEB" w:rsidP="00F420E2">
      <w:pPr>
        <w:spacing w:after="0" w:line="240" w:lineRule="auto"/>
      </w:pPr>
      <w:r>
        <w:separator/>
      </w:r>
    </w:p>
  </w:endnote>
  <w:endnote w:type="continuationSeparator" w:id="0">
    <w:p w:rsidR="00D31EEB" w:rsidRDefault="00D31EEB" w:rsidP="00F4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MT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GillSansMTPro-MediumItalic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1D6" w:rsidRPr="00F420E2" w:rsidRDefault="009561D6" w:rsidP="009561D6">
    <w:pPr>
      <w:pStyle w:val="Footer"/>
      <w:jc w:val="left"/>
      <w:rPr>
        <w:rFonts w:cs="Times New Roman (Body CS)"/>
        <w:lang w:val="en-US"/>
      </w:rPr>
    </w:pPr>
    <w:r w:rsidRPr="004A14EE">
      <w:rPr>
        <w:rStyle w:val="FootnoteTextChar"/>
        <w:sz w:val="18"/>
        <w:szCs w:val="18"/>
        <w:lang w:val="en-US"/>
      </w:rPr>
      <w:t xml:space="preserve">PAGE </w:t>
    </w:r>
    <w:r w:rsidRPr="004A14EE">
      <w:rPr>
        <w:rStyle w:val="FootnoteTextChar"/>
        <w:sz w:val="18"/>
        <w:szCs w:val="18"/>
        <w:lang w:val="en-US"/>
      </w:rPr>
      <w:fldChar w:fldCharType="begin"/>
    </w:r>
    <w:r w:rsidRPr="004A14EE">
      <w:rPr>
        <w:rStyle w:val="FootnoteTextChar"/>
        <w:sz w:val="18"/>
        <w:szCs w:val="18"/>
        <w:lang w:val="en-US"/>
      </w:rPr>
      <w:instrText xml:space="preserve"> PAGE </w:instrText>
    </w:r>
    <w:r w:rsidRPr="004A14EE">
      <w:rPr>
        <w:rStyle w:val="FootnoteTextChar"/>
        <w:sz w:val="18"/>
        <w:szCs w:val="18"/>
      </w:rPr>
      <w:fldChar w:fldCharType="separate"/>
    </w:r>
    <w:r w:rsidR="008D2C68">
      <w:rPr>
        <w:rStyle w:val="FootnoteTextChar"/>
        <w:noProof/>
        <w:sz w:val="18"/>
        <w:szCs w:val="18"/>
        <w:lang w:val="en-US"/>
      </w:rPr>
      <w:t>2</w:t>
    </w:r>
    <w:r w:rsidRPr="004A14EE">
      <w:rPr>
        <w:rStyle w:val="FootnoteTextChar"/>
        <w:sz w:val="18"/>
        <w:szCs w:val="18"/>
        <w:lang w:val="en-US"/>
      </w:rPr>
      <w:fldChar w:fldCharType="end"/>
    </w:r>
    <w:r w:rsidRPr="004A14EE">
      <w:rPr>
        <w:rStyle w:val="FootnoteTextChar"/>
        <w:sz w:val="18"/>
        <w:szCs w:val="18"/>
        <w:lang w:val="en-US"/>
      </w:rPr>
      <w:t xml:space="preserve"> of </w:t>
    </w:r>
    <w:r w:rsidRPr="004A14EE">
      <w:rPr>
        <w:rStyle w:val="FootnoteTextChar"/>
        <w:sz w:val="18"/>
        <w:szCs w:val="18"/>
        <w:lang w:val="en-US"/>
      </w:rPr>
      <w:fldChar w:fldCharType="begin"/>
    </w:r>
    <w:r w:rsidRPr="004A14EE">
      <w:rPr>
        <w:rStyle w:val="FootnoteTextChar"/>
        <w:sz w:val="18"/>
        <w:szCs w:val="18"/>
        <w:lang w:val="en-US"/>
      </w:rPr>
      <w:instrText xml:space="preserve"> NUMPAGES </w:instrText>
    </w:r>
    <w:r w:rsidRPr="004A14EE">
      <w:rPr>
        <w:rStyle w:val="FootnoteTextChar"/>
        <w:sz w:val="18"/>
        <w:szCs w:val="18"/>
      </w:rPr>
      <w:fldChar w:fldCharType="separate"/>
    </w:r>
    <w:r w:rsidR="008D2C68">
      <w:rPr>
        <w:rStyle w:val="FootnoteTextChar"/>
        <w:noProof/>
        <w:sz w:val="18"/>
        <w:szCs w:val="18"/>
        <w:lang w:val="en-US"/>
      </w:rPr>
      <w:t>2</w:t>
    </w:r>
    <w:r w:rsidRPr="004A14EE">
      <w:rPr>
        <w:rStyle w:val="FootnoteTextChar"/>
        <w:sz w:val="18"/>
        <w:szCs w:val="18"/>
        <w:lang w:val="en-US"/>
      </w:rPr>
      <w:fldChar w:fldCharType="end"/>
    </w:r>
    <w:r w:rsidRPr="00DA5A1E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r w:rsidRPr="00DA5A1E">
      <w:rPr>
        <w:color w:val="F38020" w:themeColor="background2"/>
        <w:sz w:val="22"/>
        <w:szCs w:val="22"/>
      </w:rPr>
      <w:t>|</w:t>
    </w:r>
    <w:r w:rsidRPr="009E51B6">
      <w:t xml:space="preserve"> </w:t>
    </w:r>
    <w:r w:rsidR="00F832D3">
      <w:t xml:space="preserve"> Terms of Reference – Minister’s Disability Consultative Group – </w:t>
    </w:r>
    <w:r w:rsidR="004973C4">
      <w:t>Draft Review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915" w:rsidRDefault="000B3915" w:rsidP="00A47E51">
    <w:pPr>
      <w:pStyle w:val="TasGovDepartmentName"/>
      <w:ind w:left="-567"/>
    </w:pPr>
    <w:r>
      <w:t>Department of Communities Tasmania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EEB" w:rsidRDefault="00D31EEB" w:rsidP="00F420E2">
      <w:pPr>
        <w:spacing w:after="0" w:line="240" w:lineRule="auto"/>
      </w:pPr>
      <w:r>
        <w:separator/>
      </w:r>
    </w:p>
  </w:footnote>
  <w:footnote w:type="continuationSeparator" w:id="0">
    <w:p w:rsidR="00D31EEB" w:rsidRDefault="00D31EEB" w:rsidP="00F4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915" w:rsidRDefault="000B39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4656" behindDoc="0" locked="0" layoutInCell="1" allowOverlap="1" wp14:anchorId="6847A8CD" wp14:editId="2CA47B74">
          <wp:simplePos x="0" y="0"/>
          <wp:positionH relativeFrom="column">
            <wp:posOffset>4967111</wp:posOffset>
          </wp:positionH>
          <wp:positionV relativeFrom="paragraph">
            <wp:posOffset>-576368</wp:posOffset>
          </wp:positionV>
          <wp:extent cx="1993900" cy="1485900"/>
          <wp:effectExtent l="0" t="0" r="0" b="0"/>
          <wp:wrapNone/>
          <wp:docPr id="4" name="Picture 4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pes_TopCo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915" w:rsidRDefault="000B39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3632" behindDoc="1" locked="1" layoutInCell="1" allowOverlap="1" wp14:anchorId="22300EE2" wp14:editId="3D20D2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485" cy="10690225"/>
          <wp:effectExtent l="0" t="0" r="571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C-Orange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6AC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7A4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9A9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3A82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D49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980F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CA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EA5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AA0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D2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283" w:hanging="283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567" w:hanging="284"/>
      </w:pPr>
      <w:rPr>
        <w:rFonts w:ascii="OpenSymbol" w:hAnsi="OpenSymbol"/>
      </w:rPr>
    </w:lvl>
    <w:lvl w:ilvl="2">
      <w:start w:val="1"/>
      <w:numFmt w:val="bullet"/>
      <w:lvlText w:val="•"/>
      <w:lvlJc w:val="left"/>
      <w:pPr>
        <w:ind w:left="850" w:hanging="283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134" w:hanging="284"/>
      </w:pPr>
      <w:rPr>
        <w:rFonts w:ascii="OpenSymbol" w:hAnsi="OpenSymbol"/>
      </w:rPr>
    </w:lvl>
    <w:lvl w:ilvl="4">
      <w:start w:val="1"/>
      <w:numFmt w:val="bullet"/>
      <w:lvlText w:val="•"/>
      <w:lvlJc w:val="left"/>
      <w:pPr>
        <w:ind w:left="1417" w:hanging="283"/>
      </w:pPr>
      <w:rPr>
        <w:rFonts w:ascii="OpenSymbol" w:hAnsi="OpenSymbol"/>
      </w:rPr>
    </w:lvl>
    <w:lvl w:ilvl="5">
      <w:start w:val="1"/>
      <w:numFmt w:val="bullet"/>
      <w:lvlText w:val="•"/>
      <w:lvlJc w:val="left"/>
      <w:pPr>
        <w:ind w:left="1701" w:hanging="284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1984" w:hanging="283"/>
      </w:pPr>
      <w:rPr>
        <w:rFonts w:ascii="OpenSymbol" w:hAnsi="OpenSymbol"/>
      </w:rPr>
    </w:lvl>
    <w:lvl w:ilvl="7">
      <w:start w:val="1"/>
      <w:numFmt w:val="bullet"/>
      <w:lvlText w:val="•"/>
      <w:lvlJc w:val="left"/>
      <w:pPr>
        <w:ind w:left="2268" w:hanging="284"/>
      </w:pPr>
      <w:rPr>
        <w:rFonts w:ascii="OpenSymbol" w:hAnsi="OpenSymbol"/>
      </w:rPr>
    </w:lvl>
    <w:lvl w:ilvl="8">
      <w:start w:val="1"/>
      <w:numFmt w:val="bullet"/>
      <w:lvlText w:val="•"/>
      <w:lvlJc w:val="left"/>
      <w:pPr>
        <w:ind w:left="2551" w:hanging="283"/>
      </w:pPr>
      <w:rPr>
        <w:rFonts w:ascii="OpenSymbol" w:hAnsi="OpenSymbol"/>
      </w:rPr>
    </w:lvl>
  </w:abstractNum>
  <w:abstractNum w:abstractNumId="11" w15:restartNumberingAfterBreak="0">
    <w:nsid w:val="13ED133A"/>
    <w:multiLevelType w:val="hybridMultilevel"/>
    <w:tmpl w:val="9F448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43D8F"/>
    <w:multiLevelType w:val="multilevel"/>
    <w:tmpl w:val="5C6E478E"/>
    <w:lvl w:ilvl="0">
      <w:start w:val="1"/>
      <w:numFmt w:val="bullet"/>
      <w:pStyle w:val="BulletedLis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A770E2F"/>
    <w:multiLevelType w:val="hybridMultilevel"/>
    <w:tmpl w:val="C9C408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5133FE"/>
    <w:multiLevelType w:val="hybridMultilevel"/>
    <w:tmpl w:val="AC7A4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A5F7D"/>
    <w:multiLevelType w:val="hybridMultilevel"/>
    <w:tmpl w:val="EE5E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952FF"/>
    <w:multiLevelType w:val="hybridMultilevel"/>
    <w:tmpl w:val="973C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6539A"/>
    <w:multiLevelType w:val="hybridMultilevel"/>
    <w:tmpl w:val="2468F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E6B7A"/>
    <w:multiLevelType w:val="hybridMultilevel"/>
    <w:tmpl w:val="09380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4484C"/>
    <w:multiLevelType w:val="hybridMultilevel"/>
    <w:tmpl w:val="943C3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C6666"/>
    <w:multiLevelType w:val="hybridMultilevel"/>
    <w:tmpl w:val="42004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F5B8F"/>
    <w:multiLevelType w:val="hybridMultilevel"/>
    <w:tmpl w:val="77A6A6D8"/>
    <w:lvl w:ilvl="0" w:tplc="2A0C902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9791A"/>
    <w:multiLevelType w:val="hybridMultilevel"/>
    <w:tmpl w:val="7064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53481"/>
    <w:multiLevelType w:val="hybridMultilevel"/>
    <w:tmpl w:val="D2C44B6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27536622">
    <w:abstractNumId w:val="15"/>
  </w:num>
  <w:num w:numId="2" w16cid:durableId="1603881530">
    <w:abstractNumId w:val="0"/>
  </w:num>
  <w:num w:numId="3" w16cid:durableId="29111921">
    <w:abstractNumId w:val="1"/>
  </w:num>
  <w:num w:numId="4" w16cid:durableId="386225275">
    <w:abstractNumId w:val="2"/>
  </w:num>
  <w:num w:numId="5" w16cid:durableId="775830343">
    <w:abstractNumId w:val="3"/>
  </w:num>
  <w:num w:numId="6" w16cid:durableId="111633349">
    <w:abstractNumId w:val="8"/>
  </w:num>
  <w:num w:numId="7" w16cid:durableId="2051613947">
    <w:abstractNumId w:val="4"/>
  </w:num>
  <w:num w:numId="8" w16cid:durableId="2080402182">
    <w:abstractNumId w:val="5"/>
  </w:num>
  <w:num w:numId="9" w16cid:durableId="396630566">
    <w:abstractNumId w:val="6"/>
  </w:num>
  <w:num w:numId="10" w16cid:durableId="530261006">
    <w:abstractNumId w:val="7"/>
  </w:num>
  <w:num w:numId="11" w16cid:durableId="128473726">
    <w:abstractNumId w:val="9"/>
  </w:num>
  <w:num w:numId="12" w16cid:durableId="958878070">
    <w:abstractNumId w:val="20"/>
  </w:num>
  <w:num w:numId="13" w16cid:durableId="18969375">
    <w:abstractNumId w:val="21"/>
  </w:num>
  <w:num w:numId="14" w16cid:durableId="1311713852">
    <w:abstractNumId w:val="12"/>
  </w:num>
  <w:num w:numId="15" w16cid:durableId="990983281">
    <w:abstractNumId w:val="16"/>
  </w:num>
  <w:num w:numId="16" w16cid:durableId="718894433">
    <w:abstractNumId w:val="18"/>
  </w:num>
  <w:num w:numId="17" w16cid:durableId="835194984">
    <w:abstractNumId w:val="11"/>
  </w:num>
  <w:num w:numId="18" w16cid:durableId="1124468782">
    <w:abstractNumId w:val="17"/>
  </w:num>
  <w:num w:numId="19" w16cid:durableId="1427577204">
    <w:abstractNumId w:val="19"/>
  </w:num>
  <w:num w:numId="20" w16cid:durableId="1578513965">
    <w:abstractNumId w:val="23"/>
  </w:num>
  <w:num w:numId="21" w16cid:durableId="258217407">
    <w:abstractNumId w:val="10"/>
  </w:num>
  <w:num w:numId="22" w16cid:durableId="890503652">
    <w:abstractNumId w:val="14"/>
  </w:num>
  <w:num w:numId="23" w16cid:durableId="1685522100">
    <w:abstractNumId w:val="22"/>
  </w:num>
  <w:num w:numId="24" w16cid:durableId="10408593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49"/>
    <w:rsid w:val="000158A7"/>
    <w:rsid w:val="0002351C"/>
    <w:rsid w:val="00033AA3"/>
    <w:rsid w:val="00070806"/>
    <w:rsid w:val="00081512"/>
    <w:rsid w:val="000869A9"/>
    <w:rsid w:val="00087C55"/>
    <w:rsid w:val="00090F2A"/>
    <w:rsid w:val="000B3915"/>
    <w:rsid w:val="000C3DA0"/>
    <w:rsid w:val="000D73E4"/>
    <w:rsid w:val="000E5162"/>
    <w:rsid w:val="001357D3"/>
    <w:rsid w:val="001453F5"/>
    <w:rsid w:val="001721EC"/>
    <w:rsid w:val="0018627D"/>
    <w:rsid w:val="001A0568"/>
    <w:rsid w:val="001E4388"/>
    <w:rsid w:val="001E65B6"/>
    <w:rsid w:val="001E7135"/>
    <w:rsid w:val="002126D4"/>
    <w:rsid w:val="00220C62"/>
    <w:rsid w:val="0028347F"/>
    <w:rsid w:val="00285596"/>
    <w:rsid w:val="00292831"/>
    <w:rsid w:val="002A55CA"/>
    <w:rsid w:val="002B144A"/>
    <w:rsid w:val="002D72E4"/>
    <w:rsid w:val="002F4D8A"/>
    <w:rsid w:val="003061C1"/>
    <w:rsid w:val="0034516B"/>
    <w:rsid w:val="003532B3"/>
    <w:rsid w:val="00357BC9"/>
    <w:rsid w:val="00374075"/>
    <w:rsid w:val="00392D84"/>
    <w:rsid w:val="003B377B"/>
    <w:rsid w:val="003D2114"/>
    <w:rsid w:val="00412C48"/>
    <w:rsid w:val="00430AC4"/>
    <w:rsid w:val="00436F63"/>
    <w:rsid w:val="004411AC"/>
    <w:rsid w:val="0044307C"/>
    <w:rsid w:val="0044487F"/>
    <w:rsid w:val="00444CBE"/>
    <w:rsid w:val="00471DE2"/>
    <w:rsid w:val="00475034"/>
    <w:rsid w:val="004973C4"/>
    <w:rsid w:val="004A14EE"/>
    <w:rsid w:val="004C7225"/>
    <w:rsid w:val="004E29FD"/>
    <w:rsid w:val="004E2F6C"/>
    <w:rsid w:val="004F4491"/>
    <w:rsid w:val="004F76F9"/>
    <w:rsid w:val="004F7E9A"/>
    <w:rsid w:val="00555BD6"/>
    <w:rsid w:val="0055738C"/>
    <w:rsid w:val="00564755"/>
    <w:rsid w:val="005802E4"/>
    <w:rsid w:val="005A524A"/>
    <w:rsid w:val="005C477A"/>
    <w:rsid w:val="005E7007"/>
    <w:rsid w:val="005F02A4"/>
    <w:rsid w:val="005F0746"/>
    <w:rsid w:val="006043D9"/>
    <w:rsid w:val="006113D8"/>
    <w:rsid w:val="00620B2E"/>
    <w:rsid w:val="00621D18"/>
    <w:rsid w:val="00622E43"/>
    <w:rsid w:val="00642CC8"/>
    <w:rsid w:val="00643D61"/>
    <w:rsid w:val="00646DB2"/>
    <w:rsid w:val="00684DF0"/>
    <w:rsid w:val="006B1104"/>
    <w:rsid w:val="006B7F2D"/>
    <w:rsid w:val="006D21C2"/>
    <w:rsid w:val="006D31AA"/>
    <w:rsid w:val="00703FA0"/>
    <w:rsid w:val="00704D6D"/>
    <w:rsid w:val="007070FB"/>
    <w:rsid w:val="007122B7"/>
    <w:rsid w:val="00714345"/>
    <w:rsid w:val="00714475"/>
    <w:rsid w:val="00717720"/>
    <w:rsid w:val="0072195B"/>
    <w:rsid w:val="00744841"/>
    <w:rsid w:val="0075603E"/>
    <w:rsid w:val="00776597"/>
    <w:rsid w:val="007839EA"/>
    <w:rsid w:val="0079023D"/>
    <w:rsid w:val="007A158D"/>
    <w:rsid w:val="007C5AB2"/>
    <w:rsid w:val="007C6E49"/>
    <w:rsid w:val="007D0E2F"/>
    <w:rsid w:val="007D56C6"/>
    <w:rsid w:val="008026F9"/>
    <w:rsid w:val="008201EC"/>
    <w:rsid w:val="008218CD"/>
    <w:rsid w:val="00832708"/>
    <w:rsid w:val="00840BAE"/>
    <w:rsid w:val="00845032"/>
    <w:rsid w:val="008572DE"/>
    <w:rsid w:val="00861364"/>
    <w:rsid w:val="008A0C04"/>
    <w:rsid w:val="008B54F5"/>
    <w:rsid w:val="008B5EBF"/>
    <w:rsid w:val="008C7CA7"/>
    <w:rsid w:val="008D0D52"/>
    <w:rsid w:val="008D2C68"/>
    <w:rsid w:val="008D2FB8"/>
    <w:rsid w:val="008D3762"/>
    <w:rsid w:val="008E4732"/>
    <w:rsid w:val="008F4C51"/>
    <w:rsid w:val="00911F3A"/>
    <w:rsid w:val="00912EDC"/>
    <w:rsid w:val="00924E36"/>
    <w:rsid w:val="009259E8"/>
    <w:rsid w:val="00935266"/>
    <w:rsid w:val="00936443"/>
    <w:rsid w:val="00942DF5"/>
    <w:rsid w:val="009561D6"/>
    <w:rsid w:val="009A2FAB"/>
    <w:rsid w:val="009A684E"/>
    <w:rsid w:val="009B211D"/>
    <w:rsid w:val="009B7DCC"/>
    <w:rsid w:val="009D1E6D"/>
    <w:rsid w:val="009D2E50"/>
    <w:rsid w:val="009D5ED0"/>
    <w:rsid w:val="009D7982"/>
    <w:rsid w:val="009F3487"/>
    <w:rsid w:val="009F4822"/>
    <w:rsid w:val="00A11D87"/>
    <w:rsid w:val="00A46337"/>
    <w:rsid w:val="00A47E51"/>
    <w:rsid w:val="00A84809"/>
    <w:rsid w:val="00A90318"/>
    <w:rsid w:val="00AA2DBC"/>
    <w:rsid w:val="00AA3B7F"/>
    <w:rsid w:val="00AA6DBD"/>
    <w:rsid w:val="00AB66FF"/>
    <w:rsid w:val="00AC2F51"/>
    <w:rsid w:val="00B04D0B"/>
    <w:rsid w:val="00B15575"/>
    <w:rsid w:val="00B17577"/>
    <w:rsid w:val="00B2136A"/>
    <w:rsid w:val="00B229B0"/>
    <w:rsid w:val="00B37489"/>
    <w:rsid w:val="00B45435"/>
    <w:rsid w:val="00B60298"/>
    <w:rsid w:val="00B65BBB"/>
    <w:rsid w:val="00BB573C"/>
    <w:rsid w:val="00BB616A"/>
    <w:rsid w:val="00BB7AA6"/>
    <w:rsid w:val="00BF5F8D"/>
    <w:rsid w:val="00C026A6"/>
    <w:rsid w:val="00C51583"/>
    <w:rsid w:val="00C62399"/>
    <w:rsid w:val="00C77AEE"/>
    <w:rsid w:val="00C84584"/>
    <w:rsid w:val="00CA0D56"/>
    <w:rsid w:val="00CA3EF6"/>
    <w:rsid w:val="00CD13C8"/>
    <w:rsid w:val="00CF1929"/>
    <w:rsid w:val="00D06587"/>
    <w:rsid w:val="00D12EAF"/>
    <w:rsid w:val="00D25BDC"/>
    <w:rsid w:val="00D31EEB"/>
    <w:rsid w:val="00D378A4"/>
    <w:rsid w:val="00D42B20"/>
    <w:rsid w:val="00D54BBD"/>
    <w:rsid w:val="00DA52C4"/>
    <w:rsid w:val="00DA5A1E"/>
    <w:rsid w:val="00DB6C83"/>
    <w:rsid w:val="00E051E8"/>
    <w:rsid w:val="00E07A5E"/>
    <w:rsid w:val="00E243D6"/>
    <w:rsid w:val="00E2635F"/>
    <w:rsid w:val="00E3267A"/>
    <w:rsid w:val="00E40C70"/>
    <w:rsid w:val="00E73FAE"/>
    <w:rsid w:val="00E776DC"/>
    <w:rsid w:val="00E955BA"/>
    <w:rsid w:val="00E96DD4"/>
    <w:rsid w:val="00EA58C4"/>
    <w:rsid w:val="00EB0479"/>
    <w:rsid w:val="00EB7F20"/>
    <w:rsid w:val="00EE3E61"/>
    <w:rsid w:val="00EF1A2F"/>
    <w:rsid w:val="00EF4B29"/>
    <w:rsid w:val="00EF56A7"/>
    <w:rsid w:val="00EF65EA"/>
    <w:rsid w:val="00F02F68"/>
    <w:rsid w:val="00F2251B"/>
    <w:rsid w:val="00F23D26"/>
    <w:rsid w:val="00F420E2"/>
    <w:rsid w:val="00F832D3"/>
    <w:rsid w:val="00FB0FF9"/>
    <w:rsid w:val="00FC15BD"/>
    <w:rsid w:val="00FC3E95"/>
    <w:rsid w:val="00FD4A60"/>
    <w:rsid w:val="00FE0BA5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EE4FC"/>
  <w14:defaultImageDpi w14:val="32767"/>
  <w15:docId w15:val="{5F7EAB77-5BD9-4ACF-9158-F544E3D4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EE"/>
    <w:pPr>
      <w:spacing w:after="140" w:line="300" w:lineRule="exact"/>
    </w:pPr>
    <w:rPr>
      <w:rFonts w:cs="Times New Roman (Body CS)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DBD"/>
    <w:pPr>
      <w:keepNext/>
      <w:keepLines/>
      <w:spacing w:before="280" w:after="200" w:line="240" w:lineRule="auto"/>
      <w:contextualSpacing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DBD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CE362F" w:themeColor="text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DBD"/>
    <w:pPr>
      <w:keepNext/>
      <w:keepLines/>
      <w:spacing w:before="280" w:line="240" w:lineRule="auto"/>
      <w:outlineLvl w:val="2"/>
    </w:pPr>
    <w:rPr>
      <w:rFonts w:asciiTheme="majorHAnsi" w:eastAsiaTheme="majorEastAsia" w:hAnsiTheme="majorHAnsi" w:cstheme="majorBidi"/>
      <w:b/>
      <w:color w:val="CE362F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6DBD"/>
    <w:pPr>
      <w:keepNext/>
      <w:keepLines/>
      <w:spacing w:before="280" w:line="240" w:lineRule="auto"/>
      <w:outlineLvl w:val="3"/>
    </w:pPr>
    <w:rPr>
      <w:rFonts w:asciiTheme="majorHAnsi" w:eastAsiaTheme="majorEastAsia" w:hAnsiTheme="majorHAnsi" w:cs="Times New Roman (Headings CS)"/>
      <w:b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6DBD"/>
    <w:pPr>
      <w:keepNext/>
      <w:keepLines/>
      <w:spacing w:before="140" w:line="240" w:lineRule="auto"/>
      <w:outlineLvl w:val="4"/>
    </w:pPr>
    <w:rPr>
      <w:rFonts w:asciiTheme="majorHAnsi" w:eastAsiaTheme="majorEastAsia" w:hAnsiTheme="majorHAnsi" w:cstheme="majorBidi"/>
      <w:b/>
      <w:i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4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4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0B2E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620B2E"/>
    <w:rPr>
      <w:rFonts w:asciiTheme="majorHAnsi" w:eastAsiaTheme="majorEastAsia" w:hAnsiTheme="majorHAnsi" w:cstheme="majorBidi"/>
      <w:b/>
      <w:spacing w:val="-10"/>
      <w:kern w:val="28"/>
      <w:sz w:val="76"/>
      <w:szCs w:val="7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AA6DBD"/>
    <w:rPr>
      <w:rFonts w:asciiTheme="majorHAnsi" w:eastAsiaTheme="majorEastAsia" w:hAnsiTheme="majorHAnsi" w:cstheme="majorBidi"/>
      <w:color w:val="000000" w:themeColor="text1"/>
      <w:sz w:val="56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2D72E4"/>
    <w:pPr>
      <w:tabs>
        <w:tab w:val="left" w:pos="567"/>
        <w:tab w:val="left" w:pos="1134"/>
        <w:tab w:val="left" w:pos="1701"/>
      </w:tabs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A14EE"/>
    <w:pPr>
      <w:numPr>
        <w:ilvl w:val="1"/>
      </w:numPr>
      <w:spacing w:after="280" w:line="240" w:lineRule="auto"/>
    </w:pPr>
    <w:rPr>
      <w:rFonts w:eastAsiaTheme="minorEastAsia"/>
      <w:color w:val="000000" w:themeColor="tex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A14EE"/>
    <w:rPr>
      <w:rFonts w:eastAsiaTheme="minorEastAsia" w:cs="Times New Roman (Body CS)"/>
      <w:color w:val="000000" w:themeColor="text1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A6DBD"/>
    <w:rPr>
      <w:rFonts w:asciiTheme="majorHAnsi" w:eastAsiaTheme="majorEastAsia" w:hAnsiTheme="majorHAnsi" w:cstheme="majorBidi"/>
      <w:b/>
      <w:color w:val="CE362F" w:themeColor="text2"/>
      <w:sz w:val="4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A6DBD"/>
    <w:rPr>
      <w:rFonts w:asciiTheme="majorHAnsi" w:eastAsiaTheme="majorEastAsia" w:hAnsiTheme="majorHAnsi" w:cstheme="majorBidi"/>
      <w:b/>
      <w:color w:val="CE362F" w:themeColor="text2"/>
      <w:sz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A6DBD"/>
    <w:rPr>
      <w:rFonts w:asciiTheme="majorHAnsi" w:eastAsiaTheme="majorEastAsia" w:hAnsiTheme="majorHAnsi" w:cs="Times New Roman (Headings CS)"/>
      <w:b/>
      <w:iCs/>
      <w:color w:val="000000" w:themeColor="text1"/>
      <w:sz w:val="28"/>
      <w:lang w:val="en-AU"/>
    </w:rPr>
  </w:style>
  <w:style w:type="paragraph" w:styleId="Quote">
    <w:name w:val="Quote"/>
    <w:aliases w:val="Intro Text"/>
    <w:basedOn w:val="Normal"/>
    <w:next w:val="Normal"/>
    <w:link w:val="QuoteChar"/>
    <w:uiPriority w:val="29"/>
    <w:qFormat/>
    <w:rsid w:val="00AA6DBD"/>
    <w:pPr>
      <w:spacing w:before="280" w:line="240" w:lineRule="auto"/>
    </w:pPr>
    <w:rPr>
      <w:i/>
      <w:iCs/>
      <w:color w:val="CE362F" w:themeColor="text2"/>
      <w:sz w:val="32"/>
    </w:rPr>
  </w:style>
  <w:style w:type="character" w:customStyle="1" w:styleId="QuoteChar">
    <w:name w:val="Quote Char"/>
    <w:aliases w:val="Intro Text Char"/>
    <w:basedOn w:val="DefaultParagraphFont"/>
    <w:link w:val="Quote"/>
    <w:uiPriority w:val="29"/>
    <w:rsid w:val="00AA6DBD"/>
    <w:rPr>
      <w:rFonts w:cs="Times New Roman (Body CS)"/>
      <w:i/>
      <w:iCs/>
      <w:color w:val="CE362F" w:themeColor="text2"/>
      <w:sz w:val="32"/>
      <w:lang w:val="en-AU"/>
    </w:rPr>
  </w:style>
  <w:style w:type="paragraph" w:styleId="IntenseQuote">
    <w:name w:val="Intense Quote"/>
    <w:aliases w:val="Pullout quote"/>
    <w:basedOn w:val="Normal"/>
    <w:next w:val="Normal"/>
    <w:link w:val="IntenseQuoteChar"/>
    <w:uiPriority w:val="30"/>
    <w:qFormat/>
    <w:rsid w:val="006043D9"/>
    <w:pPr>
      <w:pBdr>
        <w:top w:val="single" w:sz="4" w:space="7" w:color="CE362F" w:themeColor="text2"/>
        <w:bottom w:val="single" w:sz="4" w:space="7" w:color="CE362F" w:themeColor="text2"/>
      </w:pBdr>
      <w:spacing w:before="200" w:after="200" w:line="360" w:lineRule="exact"/>
      <w:jc w:val="center"/>
    </w:pPr>
    <w:rPr>
      <w:i/>
      <w:iCs/>
      <w:color w:val="CE362F" w:themeColor="text2"/>
      <w:sz w:val="24"/>
    </w:rPr>
  </w:style>
  <w:style w:type="character" w:customStyle="1" w:styleId="IntenseQuoteChar">
    <w:name w:val="Intense Quote Char"/>
    <w:aliases w:val="Pullout quote Char"/>
    <w:basedOn w:val="DefaultParagraphFont"/>
    <w:link w:val="IntenseQuote"/>
    <w:uiPriority w:val="30"/>
    <w:rsid w:val="006043D9"/>
    <w:rPr>
      <w:rFonts w:cs="Times New Roman (Body CS)"/>
      <w:i/>
      <w:iCs/>
      <w:color w:val="CE362F" w:themeColor="text2"/>
      <w:lang w:val="en-AU"/>
    </w:rPr>
  </w:style>
  <w:style w:type="paragraph" w:customStyle="1" w:styleId="TasGovDepartmentName">
    <w:name w:val="TasGov Department Name"/>
    <w:basedOn w:val="Normal"/>
    <w:qFormat/>
    <w:rsid w:val="004F4491"/>
    <w:rPr>
      <w:spacing w:val="30"/>
    </w:rPr>
  </w:style>
  <w:style w:type="paragraph" w:styleId="Footer">
    <w:name w:val="footer"/>
    <w:basedOn w:val="Normal"/>
    <w:link w:val="FooterChar"/>
    <w:uiPriority w:val="99"/>
    <w:unhideWhenUsed/>
    <w:rsid w:val="00DA5A1E"/>
    <w:pPr>
      <w:tabs>
        <w:tab w:val="center" w:pos="4513"/>
        <w:tab w:val="right" w:pos="9026"/>
      </w:tabs>
      <w:spacing w:after="0" w:line="240" w:lineRule="auto"/>
      <w:jc w:val="right"/>
    </w:pPr>
    <w:rPr>
      <w:rFonts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A5A1E"/>
    <w:rPr>
      <w:sz w:val="18"/>
      <w:szCs w:val="18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DA5A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5A1E"/>
    <w:rPr>
      <w:rFonts w:cs="Times New Roman (Body CS)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A5A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5A1E"/>
    <w:rPr>
      <w:rFonts w:cs="Times New Roman (Body CS)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6DBD"/>
    <w:rPr>
      <w:rFonts w:asciiTheme="majorHAnsi" w:eastAsiaTheme="majorEastAsia" w:hAnsiTheme="majorHAnsi" w:cstheme="majorBidi"/>
      <w:b/>
      <w:i/>
      <w:color w:val="000000" w:themeColor="text1"/>
      <w:lang w:val="en-AU"/>
    </w:rPr>
  </w:style>
  <w:style w:type="character" w:styleId="IntenseEmphasis">
    <w:name w:val="Intense Emphasis"/>
    <w:basedOn w:val="DefaultParagraphFont"/>
    <w:uiPriority w:val="21"/>
    <w:qFormat/>
    <w:rsid w:val="004A14EE"/>
    <w:rPr>
      <w:i/>
      <w:iCs/>
      <w:color w:val="CE362F" w:themeColor="text2"/>
    </w:rPr>
  </w:style>
  <w:style w:type="character" w:styleId="IntenseReference">
    <w:name w:val="Intense Reference"/>
    <w:basedOn w:val="DefaultParagraphFont"/>
    <w:uiPriority w:val="32"/>
    <w:qFormat/>
    <w:rsid w:val="004A14EE"/>
    <w:rPr>
      <w:b/>
      <w:bCs/>
      <w:smallCaps/>
      <w:color w:val="CE362F" w:themeColor="text2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4EE"/>
    <w:rPr>
      <w:rFonts w:asciiTheme="majorHAnsi" w:eastAsiaTheme="majorEastAsia" w:hAnsiTheme="majorHAnsi" w:cstheme="majorBidi"/>
      <w:color w:val="000000" w:themeColor="text1"/>
      <w:sz w:val="22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4EE"/>
    <w:rPr>
      <w:rFonts w:asciiTheme="majorHAnsi" w:eastAsiaTheme="majorEastAsia" w:hAnsiTheme="majorHAnsi" w:cstheme="majorBidi"/>
      <w:i/>
      <w:iCs/>
      <w:color w:val="000000" w:themeColor="text1"/>
      <w:sz w:val="2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4A14EE"/>
    <w:pPr>
      <w:spacing w:before="60"/>
      <w:outlineLvl w:val="9"/>
    </w:pPr>
  </w:style>
  <w:style w:type="paragraph" w:styleId="BlockText">
    <w:name w:val="Block Text"/>
    <w:basedOn w:val="Normal"/>
    <w:uiPriority w:val="99"/>
    <w:semiHidden/>
    <w:unhideWhenUsed/>
    <w:rsid w:val="004A14EE"/>
    <w:pPr>
      <w:pBdr>
        <w:top w:val="single" w:sz="2" w:space="10" w:color="70004B" w:themeColor="accent1"/>
        <w:left w:val="single" w:sz="2" w:space="10" w:color="70004B" w:themeColor="accent1"/>
        <w:bottom w:val="single" w:sz="2" w:space="10" w:color="70004B" w:themeColor="accent1"/>
        <w:right w:val="single" w:sz="2" w:space="10" w:color="70004B" w:themeColor="accent1"/>
      </w:pBdr>
      <w:ind w:left="1152" w:right="1152"/>
    </w:pPr>
    <w:rPr>
      <w:rFonts w:eastAsiaTheme="minorEastAsia" w:cstheme="minorBidi"/>
      <w:i/>
      <w:i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4A14EE"/>
    <w:pPr>
      <w:spacing w:before="24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2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0E2"/>
    <w:rPr>
      <w:rFonts w:cs="Times New Roman (Body CS)"/>
      <w:sz w:val="22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430AC4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30AC4"/>
    <w:pPr>
      <w:spacing w:after="0"/>
      <w:ind w:left="4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0AC4"/>
    <w:rPr>
      <w:color w:val="4C4C4C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0AC4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0AC4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0AC4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0AC4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0AC4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0AC4"/>
    <w:pPr>
      <w:spacing w:after="0"/>
      <w:ind w:left="176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4075"/>
    <w:rPr>
      <w:color w:val="999999" w:themeColor="followedHyperlink"/>
      <w:u w:val="single"/>
    </w:rPr>
  </w:style>
  <w:style w:type="paragraph" w:customStyle="1" w:styleId="NoParagraphStyle">
    <w:name w:val="[No Paragraph Style]"/>
    <w:rsid w:val="00A47E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1">
    <w:name w:val="H1"/>
    <w:basedOn w:val="NoParagraphStyle"/>
    <w:uiPriority w:val="99"/>
    <w:rsid w:val="00A47E51"/>
    <w:pPr>
      <w:suppressAutoHyphens/>
      <w:spacing w:line="640" w:lineRule="atLeast"/>
    </w:pPr>
    <w:rPr>
      <w:rFonts w:ascii="GillSansMTPro-Medium" w:hAnsi="GillSansMTPro-Medium" w:cs="GillSansMTPro-Medium"/>
      <w:sz w:val="60"/>
      <w:szCs w:val="60"/>
    </w:rPr>
  </w:style>
  <w:style w:type="paragraph" w:customStyle="1" w:styleId="ParagraphStyle1">
    <w:name w:val="Paragraph Style 1"/>
    <w:basedOn w:val="Normal"/>
    <w:uiPriority w:val="99"/>
    <w:rsid w:val="0008151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illSansMTPro-MediumItalic" w:hAnsi="GillSansMTPro-MediumItalic" w:cs="GillSansMTPro-MediumItalic"/>
      <w:i/>
      <w:iCs/>
      <w:color w:val="CC2E24"/>
      <w:sz w:val="32"/>
      <w:szCs w:val="32"/>
      <w:lang w:val="en-GB"/>
    </w:rPr>
  </w:style>
  <w:style w:type="paragraph" w:customStyle="1" w:styleId="body">
    <w:name w:val="body"/>
    <w:basedOn w:val="NoParagraphStyle"/>
    <w:uiPriority w:val="99"/>
    <w:rsid w:val="00081512"/>
    <w:pPr>
      <w:suppressAutoHyphens/>
      <w:spacing w:after="170"/>
    </w:pPr>
    <w:rPr>
      <w:rFonts w:ascii="GillSansMTPro-Medium" w:hAnsi="GillSansMTPro-Medium" w:cs="GillSansMTPro-Medium"/>
      <w:sz w:val="22"/>
      <w:szCs w:val="22"/>
    </w:rPr>
  </w:style>
  <w:style w:type="paragraph" w:customStyle="1" w:styleId="DocumentType">
    <w:name w:val="Document Type"/>
    <w:basedOn w:val="Normal"/>
    <w:qFormat/>
    <w:rsid w:val="00EF4B29"/>
    <w:rPr>
      <w:b/>
      <w:caps/>
      <w:color w:val="CE362F" w:themeColor="text2"/>
      <w:sz w:val="28"/>
      <w:szCs w:val="28"/>
    </w:rPr>
  </w:style>
  <w:style w:type="paragraph" w:customStyle="1" w:styleId="BriefingTitle">
    <w:name w:val="B riefing Title"/>
    <w:rsid w:val="003B377B"/>
    <w:pPr>
      <w:tabs>
        <w:tab w:val="left" w:pos="425"/>
      </w:tabs>
      <w:spacing w:before="240" w:after="180"/>
      <w:jc w:val="center"/>
    </w:pPr>
    <w:rPr>
      <w:rFonts w:ascii="Gill Sans MT" w:eastAsia="Times New Roman" w:hAnsi="Gill Sans MT" w:cs="Arial"/>
      <w:b/>
      <w:bCs/>
      <w:iCs/>
      <w:color w:val="008000"/>
      <w:sz w:val="36"/>
      <w:szCs w:val="36"/>
      <w:lang w:val="en-AU"/>
    </w:rPr>
  </w:style>
  <w:style w:type="paragraph" w:customStyle="1" w:styleId="BulletedListLevel1">
    <w:name w:val="Bulleted List Level 1"/>
    <w:semiHidden/>
    <w:rsid w:val="00714345"/>
    <w:pPr>
      <w:numPr>
        <w:numId w:val="14"/>
      </w:numPr>
      <w:tabs>
        <w:tab w:val="left" w:pos="1134"/>
      </w:tabs>
      <w:spacing w:after="140" w:line="300" w:lineRule="atLeast"/>
    </w:pPr>
    <w:rPr>
      <w:rFonts w:ascii="Gill Sans MT" w:eastAsia="Times New Roman" w:hAnsi="Gill Sans MT" w:cs="Times New Roman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721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A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F4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D8A"/>
    <w:rPr>
      <w:rFonts w:cs="Times New Roman (Body CS)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D8A"/>
    <w:rPr>
      <w:rFonts w:cs="Times New Roman (Body CS)"/>
      <w:b/>
      <w:bCs/>
      <w:sz w:val="20"/>
      <w:szCs w:val="20"/>
      <w:lang w:val="en-AU"/>
    </w:rPr>
  </w:style>
  <w:style w:type="paragraph" w:customStyle="1" w:styleId="TextBody">
    <w:name w:val="Text Body"/>
    <w:basedOn w:val="Normal"/>
    <w:uiPriority w:val="99"/>
    <w:rsid w:val="00DB6C83"/>
    <w:pPr>
      <w:widowControl w:val="0"/>
      <w:autoSpaceDE w:val="0"/>
      <w:autoSpaceDN w:val="0"/>
      <w:adjustRightInd w:val="0"/>
      <w:spacing w:after="142" w:line="240" w:lineRule="auto"/>
    </w:pPr>
    <w:rPr>
      <w:rFonts w:ascii="Liberation Sans" w:eastAsiaTheme="minorEastAsia" w:hAnsi="Liberation Sans" w:cs="Times New Roman"/>
      <w:sz w:val="24"/>
      <w:lang w:eastAsia="en-AU"/>
    </w:rPr>
  </w:style>
  <w:style w:type="paragraph" w:customStyle="1" w:styleId="List1Cont">
    <w:name w:val="List 1 Cont."/>
    <w:basedOn w:val="Normal"/>
    <w:uiPriority w:val="99"/>
    <w:rsid w:val="00DB6C83"/>
    <w:pPr>
      <w:widowControl w:val="0"/>
      <w:autoSpaceDE w:val="0"/>
      <w:autoSpaceDN w:val="0"/>
      <w:adjustRightInd w:val="0"/>
      <w:spacing w:after="119" w:line="240" w:lineRule="auto"/>
    </w:pPr>
    <w:rPr>
      <w:rFonts w:ascii="Liberation Sans" w:eastAsiaTheme="minorEastAsia" w:hAnsi="Liberation Sans" w:cs="Times New Roman"/>
      <w:sz w:val="24"/>
      <w:lang w:eastAsia="en-AU"/>
    </w:rPr>
  </w:style>
  <w:style w:type="paragraph" w:styleId="Revision">
    <w:name w:val="Revision"/>
    <w:hidden/>
    <w:uiPriority w:val="99"/>
    <w:semiHidden/>
    <w:rsid w:val="00942DF5"/>
    <w:rPr>
      <w:rFonts w:cs="Times New Roman (Body CS)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-Orange">
      <a:dk1>
        <a:srgbClr val="000000"/>
      </a:dk1>
      <a:lt1>
        <a:srgbClr val="FFFFFF"/>
      </a:lt1>
      <a:dk2>
        <a:srgbClr val="CE362F"/>
      </a:dk2>
      <a:lt2>
        <a:srgbClr val="F38020"/>
      </a:lt2>
      <a:accent1>
        <a:srgbClr val="70004B"/>
      </a:accent1>
      <a:accent2>
        <a:srgbClr val="54427E"/>
      </a:accent2>
      <a:accent3>
        <a:srgbClr val="64BD5F"/>
      </a:accent3>
      <a:accent4>
        <a:srgbClr val="FFDF00"/>
      </a:accent4>
      <a:accent5>
        <a:srgbClr val="005996"/>
      </a:accent5>
      <a:accent6>
        <a:srgbClr val="ABA238"/>
      </a:accent6>
      <a:hlink>
        <a:srgbClr val="4C4C4C"/>
      </a:hlink>
      <a:folHlink>
        <a:srgbClr val="999999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5AC702-88F7-42F1-A604-43E2A221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 Digital Ink</dc:creator>
  <cp:keywords/>
  <dc:description/>
  <cp:lastModifiedBy>Krause, April</cp:lastModifiedBy>
  <cp:revision>1</cp:revision>
  <cp:lastPrinted>2021-02-22T14:17:00Z</cp:lastPrinted>
  <dcterms:created xsi:type="dcterms:W3CDTF">2024-09-11T01:54:00Z</dcterms:created>
  <dcterms:modified xsi:type="dcterms:W3CDTF">2024-09-11T01:54:00Z</dcterms:modified>
</cp:coreProperties>
</file>