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1D45F17A" w:rsidR="00FB2A98" w:rsidRPr="00DA31D1" w:rsidRDefault="00C264A4" w:rsidP="005735B2">
      <w:pPr>
        <w:pStyle w:val="Title"/>
      </w:pPr>
      <w:r w:rsidRPr="00DA31D1">
        <w:t>Restrictive Practices – What</w:t>
      </w:r>
      <w:r w:rsidR="53840851" w:rsidRPr="00DA31D1">
        <w:t xml:space="preserve"> </w:t>
      </w:r>
      <w:r w:rsidR="002423E3">
        <w:t>ha</w:t>
      </w:r>
      <w:r w:rsidRPr="00DA31D1">
        <w:t>s chang</w:t>
      </w:r>
      <w:r w:rsidR="002423E3">
        <w:t>ed</w:t>
      </w:r>
      <w:r w:rsidRPr="00DA31D1">
        <w:t>?</w:t>
      </w:r>
    </w:p>
    <w:p w14:paraId="093D0FDD" w14:textId="5FEE315D" w:rsidR="00CE6D0F" w:rsidRPr="00193D60" w:rsidRDefault="001E399B" w:rsidP="005735B2">
      <w:r>
        <w:t>The way that restrictive interventions</w:t>
      </w:r>
      <w:r w:rsidR="00CE6D0F">
        <w:t xml:space="preserve"> </w:t>
      </w:r>
      <w:r>
        <w:t xml:space="preserve">are used, authorised and monitored in Tasmania </w:t>
      </w:r>
      <w:r w:rsidR="002423E3">
        <w:t>has changed</w:t>
      </w:r>
      <w:r>
        <w:t xml:space="preserve">. </w:t>
      </w:r>
    </w:p>
    <w:p w14:paraId="3EDB1DF1" w14:textId="574D3BEC" w:rsidR="003F6245" w:rsidRPr="00193D60" w:rsidRDefault="00E70F61" w:rsidP="005735B2">
      <w:r>
        <w:t xml:space="preserve">The </w:t>
      </w:r>
      <w:r w:rsidRPr="3E13D5B7">
        <w:rPr>
          <w:i/>
          <w:iCs/>
        </w:rPr>
        <w:t>Disability Services Act 2011</w:t>
      </w:r>
      <w:r>
        <w:t xml:space="preserve"> (DSA) </w:t>
      </w:r>
      <w:r w:rsidR="2BC946E7">
        <w:t xml:space="preserve">has </w:t>
      </w:r>
      <w:r>
        <w:t>regulate</w:t>
      </w:r>
      <w:r w:rsidR="1A0E3B17">
        <w:t>d</w:t>
      </w:r>
      <w:r>
        <w:t xml:space="preserve"> the use of Restrictive Interventions. The DSA </w:t>
      </w:r>
      <w:r w:rsidR="002423E3">
        <w:t>has been</w:t>
      </w:r>
      <w:r>
        <w:t xml:space="preserve"> replaced by the </w:t>
      </w:r>
      <w:hyperlink r:id="rId10">
        <w:r w:rsidRPr="002423E3">
          <w:rPr>
            <w:rStyle w:val="Hyperlink"/>
            <w:i/>
            <w:iCs/>
            <w:color w:val="0E7482"/>
          </w:rPr>
          <w:t>Di</w:t>
        </w:r>
        <w:r w:rsidRPr="3E13D5B7">
          <w:rPr>
            <w:rStyle w:val="Hyperlink"/>
            <w:i/>
            <w:iCs/>
            <w:color w:val="0E7482"/>
          </w:rPr>
          <w:t>sability Rights, Inclusion and Safeguarding Act 2024</w:t>
        </w:r>
        <w:r w:rsidRPr="3E13D5B7">
          <w:rPr>
            <w:rStyle w:val="Hyperlink"/>
            <w:color w:val="0E7482"/>
          </w:rPr>
          <w:t xml:space="preserve"> (</w:t>
        </w:r>
        <w:r w:rsidR="001F5768" w:rsidRPr="3E13D5B7">
          <w:rPr>
            <w:rStyle w:val="Hyperlink"/>
            <w:color w:val="0E7482"/>
          </w:rPr>
          <w:t xml:space="preserve">the </w:t>
        </w:r>
        <w:r w:rsidRPr="3E13D5B7">
          <w:rPr>
            <w:rStyle w:val="Hyperlink"/>
            <w:color w:val="0E7482"/>
          </w:rPr>
          <w:t>Act)</w:t>
        </w:r>
      </w:hyperlink>
      <w:r w:rsidRPr="3E13D5B7">
        <w:rPr>
          <w:color w:val="0E7482"/>
        </w:rPr>
        <w:t xml:space="preserve"> </w:t>
      </w:r>
      <w:r w:rsidR="5C206285">
        <w:t>that</w:t>
      </w:r>
      <w:r>
        <w:t xml:space="preserve"> will regulate Restrictive Practices. </w:t>
      </w:r>
    </w:p>
    <w:p w14:paraId="7FA6A928" w14:textId="73A0ED10" w:rsidR="003F6245" w:rsidRDefault="003F6245" w:rsidP="005735B2">
      <w:r>
        <w:t xml:space="preserve">The key differences between the DSA and the </w:t>
      </w:r>
      <w:r w:rsidR="001F5768">
        <w:t xml:space="preserve">new </w:t>
      </w:r>
      <w:r>
        <w:t xml:space="preserve">Act are: </w:t>
      </w:r>
    </w:p>
    <w:p w14:paraId="6134ABD2" w14:textId="4900C13F" w:rsidR="003F6245" w:rsidRDefault="0819FCE9" w:rsidP="5A3F7967">
      <w:pPr>
        <w:pStyle w:val="BulletL1"/>
        <w:ind w:hanging="298"/>
      </w:pPr>
      <w:r>
        <w:t>The term ‘r</w:t>
      </w:r>
      <w:r w:rsidR="003F6245">
        <w:t>estrictive intervention</w:t>
      </w:r>
      <w:r w:rsidR="5D569C79">
        <w:t>’</w:t>
      </w:r>
      <w:r w:rsidR="003F6245">
        <w:t xml:space="preserve"> </w:t>
      </w:r>
      <w:r w:rsidR="002423E3">
        <w:t xml:space="preserve">has </w:t>
      </w:r>
      <w:r w:rsidR="003F6245">
        <w:t xml:space="preserve">become </w:t>
      </w:r>
      <w:r w:rsidR="59556E72">
        <w:t>‘</w:t>
      </w:r>
      <w:r w:rsidR="003F6245">
        <w:t>restrictive practice</w:t>
      </w:r>
      <w:r w:rsidR="64AE798D">
        <w:t>’</w:t>
      </w:r>
      <w:r w:rsidR="003F6245">
        <w:t xml:space="preserve">. The definition of ‘restrictive practice’ under the </w:t>
      </w:r>
      <w:r w:rsidR="00213DE4">
        <w:t xml:space="preserve">new </w:t>
      </w:r>
      <w:r w:rsidR="003F6245">
        <w:t>Act is broader than the definition of ‘restrictive intervention’ under the DSA</w:t>
      </w:r>
      <w:r w:rsidR="0049298E">
        <w:t xml:space="preserve">. </w:t>
      </w:r>
    </w:p>
    <w:p w14:paraId="42BF6EED" w14:textId="3D027909" w:rsidR="003F6245" w:rsidRDefault="003F6245" w:rsidP="5A3F7967">
      <w:pPr>
        <w:pStyle w:val="BulletL1"/>
        <w:ind w:hanging="298"/>
      </w:pPr>
      <w:r>
        <w:t xml:space="preserve">The authorisation pathway </w:t>
      </w:r>
      <w:r w:rsidR="002423E3">
        <w:t>has changed</w:t>
      </w:r>
      <w:r>
        <w:t xml:space="preserve">. Under the </w:t>
      </w:r>
      <w:r w:rsidR="001F5768">
        <w:t xml:space="preserve">new </w:t>
      </w:r>
      <w:r>
        <w:t xml:space="preserve">Act, all restrictive practices must be authorised by the Senior Practitioner. </w:t>
      </w:r>
    </w:p>
    <w:p w14:paraId="21CC9050" w14:textId="61401524" w:rsidR="00E70F61" w:rsidRDefault="00E70F61" w:rsidP="005735B2">
      <w:r>
        <w:t>It is important that disability services providers are familiar with the</w:t>
      </w:r>
      <w:r w:rsidR="00606AEC">
        <w:t xml:space="preserve"> new</w:t>
      </w:r>
      <w:r>
        <w:t xml:space="preserve"> definition of ‘restrictive practice’ and the </w:t>
      </w:r>
      <w:r w:rsidR="005875BF">
        <w:t xml:space="preserve">authorisation requirements </w:t>
      </w:r>
      <w:r>
        <w:t>surrounding the use of restrictive practices under the Act</w:t>
      </w:r>
      <w:r w:rsidR="00A43849">
        <w:t>.</w:t>
      </w:r>
      <w:r w:rsidR="007261EC">
        <w:t xml:space="preserve"> For more information about restrictive practices, see the </w:t>
      </w:r>
      <w:r w:rsidR="7E159599">
        <w:t>f</w:t>
      </w:r>
      <w:r w:rsidR="007261EC">
        <w:t xml:space="preserve">act </w:t>
      </w:r>
      <w:r w:rsidR="02CC4B1E">
        <w:t>s</w:t>
      </w:r>
      <w:r w:rsidR="007261EC">
        <w:t>heet</w:t>
      </w:r>
      <w:r w:rsidR="00E43BA3">
        <w:t>s</w:t>
      </w:r>
      <w:r w:rsidR="007261EC">
        <w:t xml:space="preserve"> ‘</w:t>
      </w:r>
      <w:hyperlink r:id="rId11" w:history="1">
        <w:r w:rsidR="007261EC" w:rsidRPr="002423E3">
          <w:rPr>
            <w:rStyle w:val="Hyperlink"/>
            <w:color w:val="0E7482"/>
          </w:rPr>
          <w:t>Restrictive Practices</w:t>
        </w:r>
        <w:r w:rsidR="001E27A1" w:rsidRPr="002423E3">
          <w:rPr>
            <w:rStyle w:val="Hyperlink"/>
            <w:color w:val="0E7482"/>
          </w:rPr>
          <w:t>: Information</w:t>
        </w:r>
        <w:r w:rsidR="007261EC" w:rsidRPr="002423E3">
          <w:rPr>
            <w:rStyle w:val="Hyperlink"/>
            <w:color w:val="0E7482"/>
          </w:rPr>
          <w:t xml:space="preserve"> for </w:t>
        </w:r>
        <w:r w:rsidR="00E23E1F" w:rsidRPr="002423E3">
          <w:rPr>
            <w:rStyle w:val="Hyperlink"/>
            <w:color w:val="0E7482"/>
          </w:rPr>
          <w:t>Pr</w:t>
        </w:r>
        <w:r w:rsidR="008B497C" w:rsidRPr="002423E3">
          <w:rPr>
            <w:rStyle w:val="Hyperlink"/>
            <w:color w:val="0E7482"/>
          </w:rPr>
          <w:t>oviders</w:t>
        </w:r>
      </w:hyperlink>
      <w:r w:rsidR="00E23E1F" w:rsidRPr="008B497C">
        <w:t>’</w:t>
      </w:r>
      <w:r w:rsidR="4ABB7AB2">
        <w:t xml:space="preserve"> </w:t>
      </w:r>
      <w:r w:rsidR="008C0669">
        <w:t xml:space="preserve">and </w:t>
      </w:r>
      <w:r w:rsidR="00094BE7">
        <w:t>‘</w:t>
      </w:r>
      <w:hyperlink r:id="rId12" w:history="1">
        <w:r w:rsidR="008C0669" w:rsidRPr="002423E3">
          <w:rPr>
            <w:rStyle w:val="Hyperlink"/>
            <w:color w:val="0E7482"/>
          </w:rPr>
          <w:t>Authorisation of Restrictive Practices</w:t>
        </w:r>
      </w:hyperlink>
      <w:r w:rsidR="00094BE7">
        <w:t>’</w:t>
      </w:r>
      <w:r w:rsidR="00F55962">
        <w:t xml:space="preserve">. </w:t>
      </w:r>
      <w:r w:rsidR="00480911">
        <w:t xml:space="preserve">Several other </w:t>
      </w:r>
      <w:r w:rsidR="5355BCF1">
        <w:t>f</w:t>
      </w:r>
      <w:r w:rsidR="00480911">
        <w:t xml:space="preserve">act </w:t>
      </w:r>
      <w:r w:rsidR="062CB5BE">
        <w:t>s</w:t>
      </w:r>
      <w:r w:rsidR="00480911">
        <w:t xml:space="preserve">heets have also been developed which will assist </w:t>
      </w:r>
      <w:r w:rsidR="005B28AF">
        <w:t>providers to understand the change from the old Act</w:t>
      </w:r>
      <w:r w:rsidR="40EFF7AB">
        <w:t xml:space="preserve"> (2011)</w:t>
      </w:r>
      <w:r w:rsidR="005B28AF">
        <w:t xml:space="preserve"> to the new Act</w:t>
      </w:r>
      <w:r w:rsidR="230A2E0B">
        <w:t xml:space="preserve"> (2024)</w:t>
      </w:r>
      <w:r w:rsidR="005B28AF">
        <w:t xml:space="preserve">. </w:t>
      </w:r>
    </w:p>
    <w:p w14:paraId="0B32B2CE" w14:textId="77777777" w:rsidR="00DF4820" w:rsidRDefault="00DF4820">
      <w:pPr>
        <w:spacing w:after="160" w:line="259" w:lineRule="auto"/>
        <w:rPr>
          <w:rFonts w:eastAsiaTheme="majorEastAsia" w:cstheme="minorHAnsi"/>
          <w:b/>
          <w:color w:val="0E7482"/>
          <w:sz w:val="48"/>
          <w:szCs w:val="48"/>
        </w:rPr>
      </w:pPr>
      <w:r>
        <w:br w:type="page"/>
      </w:r>
    </w:p>
    <w:p w14:paraId="5172D2D3" w14:textId="19DE9624" w:rsidR="009572A3" w:rsidRPr="00E60B3C" w:rsidRDefault="00D86011" w:rsidP="005735B2">
      <w:pPr>
        <w:pStyle w:val="Heading1"/>
      </w:pPr>
      <w:r>
        <w:lastRenderedPageBreak/>
        <w:t xml:space="preserve">Restrictive Interventions </w:t>
      </w:r>
      <w:r w:rsidR="0BBCAA1B" w:rsidRPr="005735B2">
        <w:rPr>
          <w:b w:val="0"/>
          <w:bCs/>
        </w:rPr>
        <w:t>(</w:t>
      </w:r>
      <w:r w:rsidR="6BB5A511" w:rsidRPr="005735B2">
        <w:rPr>
          <w:b w:val="0"/>
          <w:bCs/>
        </w:rPr>
        <w:t xml:space="preserve">as defined in </w:t>
      </w:r>
      <w:r w:rsidR="000130FF" w:rsidRPr="005735B2">
        <w:rPr>
          <w:b w:val="0"/>
          <w:bCs/>
        </w:rPr>
        <w:t xml:space="preserve">the DSA, the </w:t>
      </w:r>
      <w:r w:rsidR="6BB5A511" w:rsidRPr="005735B2">
        <w:rPr>
          <w:b w:val="0"/>
          <w:bCs/>
        </w:rPr>
        <w:t>former Act</w:t>
      </w:r>
      <w:r w:rsidR="0BBCAA1B" w:rsidRPr="005735B2">
        <w:rPr>
          <w:b w:val="0"/>
          <w:bCs/>
        </w:rPr>
        <w:t>)</w:t>
      </w:r>
    </w:p>
    <w:p w14:paraId="143ADC2E" w14:textId="30640FA2" w:rsidR="00CE6D0F" w:rsidRDefault="00242C4B" w:rsidP="005735B2">
      <w:r>
        <w:t>With the</w:t>
      </w:r>
      <w:r w:rsidR="004D0F5D">
        <w:t xml:space="preserve"> introduction of the new Act, </w:t>
      </w:r>
      <w:r w:rsidR="00D86011">
        <w:t>T</w:t>
      </w:r>
      <w:r w:rsidR="00C264A4">
        <w:t xml:space="preserve">he </w:t>
      </w:r>
      <w:r w:rsidR="00C264A4" w:rsidRPr="00193D60">
        <w:rPr>
          <w:i/>
          <w:iCs/>
        </w:rPr>
        <w:t>Disability Services Act 2011</w:t>
      </w:r>
      <w:r w:rsidR="00CE6D0F">
        <w:t xml:space="preserve"> (DSA)</w:t>
      </w:r>
      <w:r w:rsidR="00D86011">
        <w:t xml:space="preserve"> </w:t>
      </w:r>
      <w:r>
        <w:t xml:space="preserve">will no longer </w:t>
      </w:r>
      <w:r w:rsidR="00D86011">
        <w:t>regulate restrictive interventions</w:t>
      </w:r>
      <w:r w:rsidR="00CE6D0F">
        <w:t>. The DSA defines a Restrictive Intervention as any action that is taken to restrict the rights or freedom of movement of a person with disability for the primary purpose of the behavioural control of the person but does not include such an action that is</w:t>
      </w:r>
      <w:r w:rsidR="00E60B3C">
        <w:t>:</w:t>
      </w:r>
    </w:p>
    <w:p w14:paraId="311D96B2" w14:textId="576D8806" w:rsidR="00CE6D0F" w:rsidRPr="002E1F1F" w:rsidRDefault="3BDF5EF9" w:rsidP="005735B2">
      <w:pPr>
        <w:pStyle w:val="BulletL1"/>
      </w:pPr>
      <w:r>
        <w:t>T</w:t>
      </w:r>
      <w:r w:rsidR="00CE6D0F">
        <w:t>aken for therapeutic purposes</w:t>
      </w:r>
      <w:r w:rsidR="67A7E6F4">
        <w:t>.</w:t>
      </w:r>
    </w:p>
    <w:p w14:paraId="572AF72A" w14:textId="743ED61F" w:rsidR="00CE6D0F" w:rsidRPr="002E1F1F" w:rsidRDefault="5D80AF99" w:rsidP="005735B2">
      <w:pPr>
        <w:pStyle w:val="BulletL1"/>
      </w:pPr>
      <w:r>
        <w:t>T</w:t>
      </w:r>
      <w:r w:rsidR="00CE6D0F">
        <w:t>aken to enable the safe transportation of the person</w:t>
      </w:r>
      <w:r w:rsidR="1F0C3BBF">
        <w:t>.</w:t>
      </w:r>
    </w:p>
    <w:p w14:paraId="445D56C4" w14:textId="29A96AF5" w:rsidR="00C264A4" w:rsidRPr="002E1F1F" w:rsidRDefault="278BBE98" w:rsidP="005735B2">
      <w:pPr>
        <w:pStyle w:val="BulletL1"/>
      </w:pPr>
      <w:r>
        <w:t>A</w:t>
      </w:r>
      <w:r w:rsidR="00CE6D0F">
        <w:t>uthorised under any enactment relating to the provision of mental health services or to guardianship</w:t>
      </w:r>
      <w:r w:rsidR="1ED9D393">
        <w:t>.</w:t>
      </w:r>
    </w:p>
    <w:p w14:paraId="6E925F42" w14:textId="77777777" w:rsidR="006814B9" w:rsidRDefault="00A43849" w:rsidP="005735B2">
      <w:r>
        <w:t xml:space="preserve">The DSA further defines restrictive interventions as either ‘environmental restriction’ or ‘personal restriction’. </w:t>
      </w:r>
    </w:p>
    <w:p w14:paraId="3AAAD0AF" w14:textId="366B34B4" w:rsidR="006814B9" w:rsidRPr="005B28AF" w:rsidRDefault="00A43849" w:rsidP="005735B2">
      <w:pPr>
        <w:pStyle w:val="BulletL1"/>
      </w:pPr>
      <w:r w:rsidRPr="246E5599">
        <w:rPr>
          <w:b/>
          <w:bCs/>
        </w:rPr>
        <w:t>Environmental restrictions</w:t>
      </w:r>
      <w:r w:rsidR="005B28AF" w:rsidRPr="246E5599">
        <w:rPr>
          <w:b/>
          <w:bCs/>
        </w:rPr>
        <w:t xml:space="preserve"> </w:t>
      </w:r>
      <w:r w:rsidR="00755712" w:rsidRPr="246E5599">
        <w:rPr>
          <w:b/>
          <w:bCs/>
        </w:rPr>
        <w:t xml:space="preserve">- </w:t>
      </w:r>
      <w:r w:rsidR="00755712" w:rsidRPr="246E5599">
        <w:t>are</w:t>
      </w:r>
      <w:r w:rsidR="006814B9" w:rsidRPr="246E5599">
        <w:t xml:space="preserve"> restrictive interventions that consist of the modification of an object, or the environment of the person, to enable the behavioural control of the person but does not include a personal restriction. </w:t>
      </w:r>
    </w:p>
    <w:p w14:paraId="2157E4F9" w14:textId="6379110B" w:rsidR="006814B9" w:rsidRPr="005B28AF" w:rsidRDefault="00A43849" w:rsidP="005735B2">
      <w:pPr>
        <w:pStyle w:val="BulletL1"/>
      </w:pPr>
      <w:r w:rsidRPr="3E13D5B7">
        <w:rPr>
          <w:b/>
          <w:bCs/>
        </w:rPr>
        <w:t>Personal restrictions</w:t>
      </w:r>
      <w:r w:rsidR="005B28AF" w:rsidRPr="3E13D5B7">
        <w:rPr>
          <w:b/>
          <w:bCs/>
        </w:rPr>
        <w:t xml:space="preserve"> </w:t>
      </w:r>
      <w:r w:rsidR="75D3D9D1" w:rsidRPr="3E13D5B7">
        <w:rPr>
          <w:b/>
          <w:bCs/>
        </w:rPr>
        <w:t xml:space="preserve">- </w:t>
      </w:r>
      <w:r w:rsidR="75D3D9D1">
        <w:t>are</w:t>
      </w:r>
      <w:r w:rsidR="006814B9">
        <w:t xml:space="preserve"> restrictive interventions that consists wholly or partially of</w:t>
      </w:r>
      <w:r w:rsidR="00E23E1F">
        <w:t xml:space="preserve"> </w:t>
      </w:r>
      <w:r w:rsidR="006814B9">
        <w:t>physical contact with the person to enable the behavioural control of the person</w:t>
      </w:r>
      <w:r w:rsidR="00E23E1F">
        <w:t>,</w:t>
      </w:r>
      <w:r w:rsidR="006814B9">
        <w:t xml:space="preserve"> or</w:t>
      </w:r>
      <w:r w:rsidR="00E23E1F">
        <w:t xml:space="preserve"> </w:t>
      </w:r>
      <w:r w:rsidR="006814B9">
        <w:t>the taking of an action that restricts the liberty of movement of the person.</w:t>
      </w:r>
    </w:p>
    <w:p w14:paraId="26A474C2" w14:textId="43E12567" w:rsidR="00E23E1F" w:rsidRPr="005735B2" w:rsidRDefault="00E23E1F" w:rsidP="005735B2">
      <w:pPr>
        <w:pStyle w:val="Heading1"/>
        <w:rPr>
          <w:b w:val="0"/>
          <w:bCs/>
        </w:rPr>
      </w:pPr>
      <w:r>
        <w:t xml:space="preserve">Restrictive Practices </w:t>
      </w:r>
      <w:r w:rsidR="48A464B9" w:rsidRPr="005735B2">
        <w:rPr>
          <w:b w:val="0"/>
          <w:bCs/>
        </w:rPr>
        <w:t>(</w:t>
      </w:r>
      <w:r w:rsidR="5C91160B" w:rsidRPr="005735B2">
        <w:rPr>
          <w:b w:val="0"/>
          <w:bCs/>
        </w:rPr>
        <w:t>as defined in the new</w:t>
      </w:r>
      <w:r w:rsidR="48A464B9" w:rsidRPr="005735B2">
        <w:rPr>
          <w:b w:val="0"/>
          <w:bCs/>
        </w:rPr>
        <w:t xml:space="preserve"> Act)</w:t>
      </w:r>
    </w:p>
    <w:p w14:paraId="5A29F30B" w14:textId="5135EFD5" w:rsidR="00606AEC" w:rsidRDefault="00D86011" w:rsidP="005735B2">
      <w:r>
        <w:t xml:space="preserve">The </w:t>
      </w:r>
      <w:r w:rsidRPr="1D843B14">
        <w:rPr>
          <w:i/>
          <w:iCs/>
        </w:rPr>
        <w:t>Disability Rights, Inclusion and Safeguarding Act 2024</w:t>
      </w:r>
      <w:r>
        <w:t xml:space="preserve"> </w:t>
      </w:r>
      <w:r w:rsidR="00B15F21">
        <w:t xml:space="preserve">(the Act) </w:t>
      </w:r>
      <w:r>
        <w:t xml:space="preserve">regulates </w:t>
      </w:r>
      <w:r w:rsidR="00606AEC">
        <w:t xml:space="preserve">restrictive </w:t>
      </w:r>
      <w:r>
        <w:t xml:space="preserve">practices. The definition of restrictive practices is </w:t>
      </w:r>
      <w:r w:rsidR="2F6824A3">
        <w:t xml:space="preserve">significantly </w:t>
      </w:r>
      <w:r>
        <w:t>different to the definition of restrictive interventions</w:t>
      </w:r>
      <w:r w:rsidR="0BD401E0">
        <w:t xml:space="preserve"> as defined in the DSA</w:t>
      </w:r>
      <w:r>
        <w:t>.</w:t>
      </w:r>
      <w:r w:rsidR="003F6245">
        <w:t xml:space="preserve"> </w:t>
      </w:r>
      <w:r w:rsidR="45AADF7A">
        <w:t xml:space="preserve">The new definition is </w:t>
      </w:r>
      <w:r w:rsidR="48CB15D2">
        <w:t>consistent</w:t>
      </w:r>
      <w:r w:rsidR="45AADF7A">
        <w:t xml:space="preserve"> with the NDIS Rules </w:t>
      </w:r>
      <w:r w:rsidR="1C02CDC6">
        <w:t xml:space="preserve">covering behaviour support and restrictive practices. </w:t>
      </w:r>
    </w:p>
    <w:p w14:paraId="35E37797" w14:textId="22EA1E5F" w:rsidR="00606AEC" w:rsidRDefault="737167D9" w:rsidP="005735B2">
      <w:r>
        <w:t>Restrictive Interventions</w:t>
      </w:r>
      <w:r w:rsidR="00606AEC" w:rsidRPr="00606AEC">
        <w:t xml:space="preserve"> that were considered ‘environmental restrictions’ and ‘personal restrictions’ under the DSA are </w:t>
      </w:r>
      <w:r w:rsidR="1D2AAAD0">
        <w:t>similar to</w:t>
      </w:r>
      <w:r w:rsidR="7DF39D32">
        <w:t xml:space="preserve"> </w:t>
      </w:r>
      <w:r w:rsidR="00606AEC" w:rsidRPr="00606AEC">
        <w:t xml:space="preserve">restrictive practices </w:t>
      </w:r>
      <w:r w:rsidR="2F5571EF">
        <w:t>included in</w:t>
      </w:r>
      <w:r w:rsidR="00606AEC" w:rsidRPr="00606AEC">
        <w:t xml:space="preserve"> the Act. </w:t>
      </w:r>
      <w:r w:rsidR="338190D4">
        <w:t>However, there are additional restrictive</w:t>
      </w:r>
      <w:r w:rsidR="008554BD">
        <w:t xml:space="preserve"> </w:t>
      </w:r>
      <w:r w:rsidR="005555E2">
        <w:t>practices</w:t>
      </w:r>
      <w:r w:rsidR="00606AEC">
        <w:t xml:space="preserve"> </w:t>
      </w:r>
      <w:r w:rsidR="00606AEC" w:rsidRPr="00606AEC">
        <w:t>that</w:t>
      </w:r>
      <w:r w:rsidR="005555E2">
        <w:t xml:space="preserve"> were</w:t>
      </w:r>
      <w:r w:rsidR="00606AEC" w:rsidRPr="00606AEC">
        <w:t xml:space="preserve"> not regulated by the DSA (such as chemical restraint) that </w:t>
      </w:r>
      <w:r w:rsidR="002423E3">
        <w:t>have</w:t>
      </w:r>
      <w:r w:rsidR="002423E3" w:rsidRPr="00606AEC">
        <w:t xml:space="preserve"> </w:t>
      </w:r>
      <w:r w:rsidR="00606AEC" w:rsidRPr="00606AEC">
        <w:t>become restrictive practices under the Act.</w:t>
      </w:r>
    </w:p>
    <w:p w14:paraId="30C6A64D" w14:textId="4A897729" w:rsidR="00DF4820" w:rsidRDefault="00606AEC" w:rsidP="005735B2">
      <w:r>
        <w:t>The Act</w:t>
      </w:r>
      <w:r w:rsidR="312AA40A">
        <w:t xml:space="preserve"> </w:t>
      </w:r>
      <w:r w:rsidR="00165789">
        <w:t>reflects</w:t>
      </w:r>
      <w:r w:rsidR="75E1A8C4">
        <w:t xml:space="preserve"> the</w:t>
      </w:r>
      <w:r w:rsidR="451B2184">
        <w:t xml:space="preserve"> NDIS Rules </w:t>
      </w:r>
      <w:r w:rsidR="02140AF5">
        <w:t>which define</w:t>
      </w:r>
      <w:r>
        <w:t xml:space="preserve"> restrictive practices as:</w:t>
      </w:r>
    </w:p>
    <w:p w14:paraId="16AD4D4B" w14:textId="77777777" w:rsidR="00DF4820" w:rsidRDefault="00DF4820">
      <w:pPr>
        <w:spacing w:after="160" w:line="259" w:lineRule="auto"/>
      </w:pPr>
      <w:r>
        <w:br w:type="page"/>
      </w:r>
    </w:p>
    <w:p w14:paraId="70086A32" w14:textId="2772E6CB" w:rsidR="007112B6" w:rsidRPr="005735B2" w:rsidRDefault="007112B6" w:rsidP="005735B2">
      <w:pPr>
        <w:pStyle w:val="BulletL1"/>
      </w:pPr>
      <w:r w:rsidRPr="005735B2">
        <w:rPr>
          <w:b/>
          <w:bCs/>
        </w:rPr>
        <w:lastRenderedPageBreak/>
        <w:t>S</w:t>
      </w:r>
      <w:r w:rsidR="00606AEC" w:rsidRPr="005735B2">
        <w:rPr>
          <w:b/>
          <w:bCs/>
        </w:rPr>
        <w:t>eclusion</w:t>
      </w:r>
      <w:r w:rsidRPr="005735B2">
        <w:t xml:space="preserve"> – the sole confinement of a person with disability in a room or a physical space at any hour of the day or night where voluntary exit is prevented, or not facilitated, or it is implied that voluntary exit is not permitted.</w:t>
      </w:r>
    </w:p>
    <w:p w14:paraId="3A3D62AC" w14:textId="6D0BB733" w:rsidR="007112B6" w:rsidRPr="005735B2" w:rsidRDefault="007112B6" w:rsidP="005735B2">
      <w:pPr>
        <w:pStyle w:val="BulletL1"/>
      </w:pPr>
      <w:r w:rsidRPr="005735B2">
        <w:rPr>
          <w:b/>
          <w:bCs/>
        </w:rPr>
        <w:t>Chemical restraint</w:t>
      </w:r>
      <w:r w:rsidRPr="005735B2">
        <w:t xml:space="preserve"> –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06342D81" w14:textId="3D96C295" w:rsidR="007112B6" w:rsidRPr="005735B2" w:rsidRDefault="007112B6" w:rsidP="005735B2">
      <w:pPr>
        <w:pStyle w:val="BulletL1"/>
      </w:pPr>
      <w:r w:rsidRPr="005735B2">
        <w:rPr>
          <w:b/>
          <w:bCs/>
        </w:rPr>
        <w:t>Mechanical restraint</w:t>
      </w:r>
      <w:r w:rsidRPr="005735B2">
        <w:t xml:space="preserve"> – the use of a device to prevent, restrict, or subdue a person’s movement for the primary purpose of influencing a person’s behaviour but does not include the use of devices for therapeutic or non</w:t>
      </w:r>
      <w:r w:rsidRPr="005735B2">
        <w:rPr>
          <w:rFonts w:ascii="Cambria Math" w:hAnsi="Cambria Math" w:cs="Cambria Math"/>
        </w:rPr>
        <w:t>‑</w:t>
      </w:r>
      <w:r w:rsidRPr="005735B2">
        <w:t>behavioural purposes.</w:t>
      </w:r>
    </w:p>
    <w:p w14:paraId="4E48133B" w14:textId="051E186A" w:rsidR="00606AEC" w:rsidRPr="005735B2" w:rsidRDefault="007112B6" w:rsidP="005735B2">
      <w:pPr>
        <w:pStyle w:val="BulletL1"/>
      </w:pPr>
      <w:r w:rsidRPr="005735B2">
        <w:rPr>
          <w:b/>
          <w:bCs/>
        </w:rPr>
        <w:t>Physical restraint</w:t>
      </w:r>
      <w:r w:rsidRPr="005735B2">
        <w:t xml:space="preserve"> –the use or action of physical force to prevent, restrict or subdue movement of a person’s body, or part of their body, for the primary purpose of influencing their behaviour. Physical restraint does not include the use of a hands</w:t>
      </w:r>
      <w:r w:rsidRPr="005735B2">
        <w:rPr>
          <w:rFonts w:ascii="Cambria Math" w:hAnsi="Cambria Math" w:cs="Cambria Math"/>
        </w:rPr>
        <w:t>‑</w:t>
      </w:r>
      <w:r w:rsidRPr="005735B2">
        <w:t>on technique in a reflexive way to guide or redirect a person away from potential harm/injury, consistent with what could reasonably be considered the exercise of care towards a person.</w:t>
      </w:r>
      <w:r w:rsidR="00606AEC" w:rsidRPr="005735B2">
        <w:t xml:space="preserve"> </w:t>
      </w:r>
    </w:p>
    <w:p w14:paraId="7A70E854" w14:textId="680CAFC4" w:rsidR="008A6034" w:rsidRPr="008A6034" w:rsidRDefault="007112B6" w:rsidP="005735B2">
      <w:pPr>
        <w:pStyle w:val="BulletL1"/>
      </w:pPr>
      <w:r w:rsidRPr="005735B2">
        <w:rPr>
          <w:b/>
          <w:bCs/>
        </w:rPr>
        <w:t>Environmental restraint</w:t>
      </w:r>
      <w:r w:rsidRPr="005735B2">
        <w:t xml:space="preserve"> – restricting a person’s free access to all parts of their environment, including items or activities.</w:t>
      </w:r>
      <w:r w:rsidR="008A6034">
        <w:tab/>
      </w:r>
    </w:p>
    <w:p w14:paraId="2538F320" w14:textId="6BA2922E" w:rsidR="00606AEC" w:rsidRPr="005735B2" w:rsidRDefault="007112B6" w:rsidP="005735B2">
      <w:pPr>
        <w:pStyle w:val="BulletL1"/>
      </w:pPr>
      <w:r w:rsidRPr="005735B2">
        <w:rPr>
          <w:b/>
          <w:bCs/>
        </w:rPr>
        <w:t>Any other practice or intervention determined by the Senior Practitioner to be a restrictive practice</w:t>
      </w:r>
      <w:r w:rsidRPr="005735B2">
        <w:t xml:space="preserve"> – </w:t>
      </w:r>
      <w:r w:rsidR="00F51E1A" w:rsidRPr="005735B2">
        <w:t>the Senior Practitioner may determine that a practice or intervention that has the effect of restricting the rights or freedom of movement of a person with disability is a restrictive practice for the purposes of the Act. These practices will be published on the Office of the Senior Practitioner website</w:t>
      </w:r>
      <w:r w:rsidR="00455220" w:rsidRPr="005735B2">
        <w:t>.</w:t>
      </w:r>
    </w:p>
    <w:p w14:paraId="3B0125BB" w14:textId="5B933BB5" w:rsidR="0089443B" w:rsidRDefault="00D86011" w:rsidP="005735B2">
      <w:r>
        <w:t xml:space="preserve">The table set out at </w:t>
      </w:r>
      <w:r w:rsidR="003F6245">
        <w:t xml:space="preserve">the end of this </w:t>
      </w:r>
      <w:r w:rsidR="5A40305E">
        <w:t>f</w:t>
      </w:r>
      <w:r w:rsidR="003F6245">
        <w:t xml:space="preserve">act </w:t>
      </w:r>
      <w:r w:rsidR="69F4B7B2">
        <w:t>s</w:t>
      </w:r>
      <w:r w:rsidR="003F6245">
        <w:t xml:space="preserve">heet </w:t>
      </w:r>
      <w:r w:rsidR="00E23E1F">
        <w:t>illustrates</w:t>
      </w:r>
      <w:r w:rsidR="003F6245">
        <w:t xml:space="preserve"> the difference</w:t>
      </w:r>
      <w:r w:rsidR="007112B6">
        <w:t xml:space="preserve">s between the definition of restrictive intervention and restrictive practice. </w:t>
      </w:r>
    </w:p>
    <w:p w14:paraId="3484A2F3" w14:textId="77777777" w:rsidR="00DF4820" w:rsidRDefault="00DF4820">
      <w:pPr>
        <w:spacing w:after="160" w:line="259" w:lineRule="auto"/>
        <w:rPr>
          <w:rFonts w:eastAsiaTheme="majorEastAsia" w:cstheme="minorHAnsi"/>
          <w:b/>
          <w:color w:val="0E7482"/>
          <w:sz w:val="48"/>
          <w:szCs w:val="48"/>
        </w:rPr>
      </w:pPr>
      <w:r>
        <w:br w:type="page"/>
      </w:r>
    </w:p>
    <w:p w14:paraId="2D4A83F9" w14:textId="117AF138" w:rsidR="0089443B" w:rsidRPr="001E4343" w:rsidRDefault="0089443B" w:rsidP="005735B2">
      <w:pPr>
        <w:pStyle w:val="Heading1"/>
      </w:pPr>
      <w:r w:rsidRPr="001E4343">
        <w:lastRenderedPageBreak/>
        <w:t xml:space="preserve">Authorisation Pathway </w:t>
      </w:r>
    </w:p>
    <w:p w14:paraId="7F5C99A6" w14:textId="197B0C1B" w:rsidR="00656E03" w:rsidRPr="00DA31D1" w:rsidRDefault="00656E03" w:rsidP="005735B2">
      <w:pPr>
        <w:pStyle w:val="Heading2"/>
      </w:pPr>
      <w:r w:rsidRPr="00A50E3C">
        <w:rPr>
          <w:i/>
          <w:iCs/>
        </w:rPr>
        <w:t xml:space="preserve">Disability Services Act </w:t>
      </w:r>
      <w:r w:rsidR="00C363D6" w:rsidRPr="00A50E3C">
        <w:rPr>
          <w:i/>
          <w:iCs/>
        </w:rPr>
        <w:t>2011</w:t>
      </w:r>
      <w:r w:rsidR="00F91C4B">
        <w:t xml:space="preserve"> (DSA)</w:t>
      </w:r>
      <w:r w:rsidR="00C363D6" w:rsidRPr="00DA31D1">
        <w:t xml:space="preserve"> </w:t>
      </w:r>
      <w:r w:rsidR="00043F02" w:rsidRPr="00DA31D1">
        <w:t>– Former Pathway</w:t>
      </w:r>
    </w:p>
    <w:p w14:paraId="3DF90FF4" w14:textId="03F87913" w:rsidR="0089443B" w:rsidRDefault="0089443B" w:rsidP="005735B2">
      <w:r>
        <w:t>Under the DSA, environmental restrictions</w:t>
      </w:r>
      <w:r w:rsidR="0F3435CA">
        <w:t xml:space="preserve"> </w:t>
      </w:r>
      <w:r>
        <w:t>may be authorised by the Secretary of the Department of Premier and Cabinet</w:t>
      </w:r>
      <w:r w:rsidR="0026022F">
        <w:t>.</w:t>
      </w:r>
    </w:p>
    <w:p w14:paraId="2A635A2D" w14:textId="6D0BB5F3" w:rsidR="0089443B" w:rsidRDefault="6128267B" w:rsidP="005735B2">
      <w:r>
        <w:t xml:space="preserve">Under the DSA, </w:t>
      </w:r>
      <w:r w:rsidR="0089443B">
        <w:t xml:space="preserve">Personal restrictions </w:t>
      </w:r>
      <w:r w:rsidR="5D56DDC6">
        <w:t>and/or environmental restrictions</w:t>
      </w:r>
      <w:r w:rsidR="0E2035A1">
        <w:t xml:space="preserve"> </w:t>
      </w:r>
      <w:r w:rsidR="0089443B">
        <w:t>may be authorised by the Tasmanian Civil and Administrative Appeals Tribunal</w:t>
      </w:r>
      <w:r w:rsidR="007261EC">
        <w:t xml:space="preserve"> (</w:t>
      </w:r>
      <w:r w:rsidR="00755712">
        <w:t>TASCAT</w:t>
      </w:r>
      <w:r w:rsidR="007261EC">
        <w:t>)</w:t>
      </w:r>
      <w:r w:rsidR="0089443B">
        <w:t>.</w:t>
      </w:r>
      <w:r w:rsidR="00F51E1A">
        <w:t xml:space="preserve"> </w:t>
      </w:r>
    </w:p>
    <w:p w14:paraId="6939744B" w14:textId="3C4C0EA7" w:rsidR="00043F02" w:rsidRPr="00DA31D1" w:rsidRDefault="00043F02" w:rsidP="005735B2">
      <w:pPr>
        <w:pStyle w:val="Heading2"/>
      </w:pPr>
      <w:r w:rsidRPr="005735B2">
        <w:rPr>
          <w:i/>
          <w:iCs/>
        </w:rPr>
        <w:t xml:space="preserve">Disability Rights, Inclusion and Safeguarding Act 2024 </w:t>
      </w:r>
      <w:r w:rsidRPr="00DA31D1">
        <w:t>– New Pathway</w:t>
      </w:r>
    </w:p>
    <w:p w14:paraId="0925905E" w14:textId="484413F1" w:rsidR="007261EC" w:rsidRDefault="00F51E1A" w:rsidP="005735B2">
      <w:r>
        <w:t xml:space="preserve">Under the </w:t>
      </w:r>
      <w:r w:rsidR="004249B0">
        <w:t xml:space="preserve">new </w:t>
      </w:r>
      <w:r>
        <w:t xml:space="preserve">Act all applications to use restrictive practices must be made to the Senior Practitioner. </w:t>
      </w:r>
      <w:r w:rsidR="007261EC">
        <w:t>Decisions of the Senior Practitioner may be reviewed by</w:t>
      </w:r>
      <w:r w:rsidR="00B053C9" w:rsidRPr="00B053C9">
        <w:t xml:space="preserve"> Tasmanian Civil and Administrative Tribunal</w:t>
      </w:r>
      <w:r w:rsidR="007261EC">
        <w:t xml:space="preserve"> </w:t>
      </w:r>
      <w:r w:rsidR="00655403">
        <w:t>(</w:t>
      </w:r>
      <w:r w:rsidR="007261EC">
        <w:t>T</w:t>
      </w:r>
      <w:r w:rsidR="00502D48">
        <w:t>AS</w:t>
      </w:r>
      <w:r w:rsidR="007261EC">
        <w:t>CAT</w:t>
      </w:r>
      <w:r w:rsidR="00655403">
        <w:t>)</w:t>
      </w:r>
      <w:r w:rsidR="007261EC">
        <w:t>. Disability services providers seeking to use a restrictive practice must also:</w:t>
      </w:r>
    </w:p>
    <w:p w14:paraId="64ED3524" w14:textId="7EDFA560" w:rsidR="007261EC" w:rsidRPr="005735B2" w:rsidRDefault="36F0A264" w:rsidP="005735B2">
      <w:pPr>
        <w:pStyle w:val="BulletL1"/>
      </w:pPr>
      <w:r>
        <w:t>A</w:t>
      </w:r>
      <w:r w:rsidR="007261EC">
        <w:t>ppoint an Appointed Program Officer</w:t>
      </w:r>
      <w:r w:rsidR="17CE7134">
        <w:t>.</w:t>
      </w:r>
    </w:p>
    <w:p w14:paraId="48E850C3" w14:textId="64D85007" w:rsidR="007261EC" w:rsidRPr="005735B2" w:rsidRDefault="5B092D93" w:rsidP="005735B2">
      <w:pPr>
        <w:pStyle w:val="BulletL1"/>
      </w:pPr>
      <w:r>
        <w:t>E</w:t>
      </w:r>
      <w:r w:rsidR="007261EC">
        <w:t>nsure the person with a disability has an Independent Person.</w:t>
      </w:r>
    </w:p>
    <w:p w14:paraId="7808523D" w14:textId="44343402" w:rsidR="007261EC" w:rsidRDefault="00435EE2" w:rsidP="005735B2">
      <w:r>
        <w:t>For more information about</w:t>
      </w:r>
      <w:r w:rsidR="007261EC">
        <w:t>:</w:t>
      </w:r>
    </w:p>
    <w:p w14:paraId="636BD63B" w14:textId="24685418" w:rsidR="00CB05DE" w:rsidRDefault="5E4F1B49" w:rsidP="005735B2">
      <w:pPr>
        <w:pStyle w:val="BulletL1"/>
      </w:pPr>
      <w:r>
        <w:t>S</w:t>
      </w:r>
      <w:r w:rsidR="00435EE2">
        <w:t xml:space="preserve">eeking authorisation to use a restrictive practice under the Act, see the </w:t>
      </w:r>
      <w:r w:rsidR="2337E4C5">
        <w:t>f</w:t>
      </w:r>
      <w:r w:rsidR="00435EE2">
        <w:t xml:space="preserve">act </w:t>
      </w:r>
      <w:r w:rsidR="422A9E7A">
        <w:t>s</w:t>
      </w:r>
      <w:r w:rsidR="00435EE2">
        <w:t>heet ‘</w:t>
      </w:r>
      <w:hyperlink r:id="rId13" w:history="1">
        <w:r w:rsidR="00435EE2" w:rsidRPr="000A6D12">
          <w:rPr>
            <w:rStyle w:val="Hyperlink"/>
            <w:color w:val="0E7482"/>
          </w:rPr>
          <w:t>Authorisation of Restrictive Practices</w:t>
        </w:r>
      </w:hyperlink>
      <w:r w:rsidR="00435EE2" w:rsidRPr="00600356">
        <w:t xml:space="preserve">’ </w:t>
      </w:r>
    </w:p>
    <w:p w14:paraId="3049876F" w14:textId="053878D7" w:rsidR="007261EC" w:rsidRPr="005735B2" w:rsidRDefault="00CA34CD" w:rsidP="005735B2">
      <w:pPr>
        <w:pStyle w:val="BulletL1"/>
      </w:pPr>
      <w:r>
        <w:t>T</w:t>
      </w:r>
      <w:r w:rsidR="007261EC" w:rsidRPr="00600356">
        <w:t xml:space="preserve">he role of the Appointed Program Officer, see the </w:t>
      </w:r>
      <w:r w:rsidR="0289FE5A" w:rsidRPr="00600356">
        <w:t>f</w:t>
      </w:r>
      <w:r w:rsidR="007261EC" w:rsidRPr="00600356">
        <w:t xml:space="preserve">act </w:t>
      </w:r>
      <w:r w:rsidR="0C29847B" w:rsidRPr="00600356">
        <w:t>s</w:t>
      </w:r>
      <w:r w:rsidR="007261EC" w:rsidRPr="00600356">
        <w:t>heet ‘</w:t>
      </w:r>
      <w:hyperlink r:id="rId14" w:history="1">
        <w:r w:rsidR="007261EC" w:rsidRPr="000A6D12">
          <w:rPr>
            <w:rStyle w:val="Hyperlink"/>
            <w:color w:val="0E7482"/>
          </w:rPr>
          <w:t>Appointed Program Officer</w:t>
        </w:r>
      </w:hyperlink>
      <w:r w:rsidR="007261EC" w:rsidRPr="00600356">
        <w:t>’</w:t>
      </w:r>
      <w:r w:rsidR="4A54EA6A">
        <w:t>.</w:t>
      </w:r>
    </w:p>
    <w:p w14:paraId="23F676F9" w14:textId="1846779B" w:rsidR="007261EC" w:rsidRPr="005735B2" w:rsidRDefault="6C5F2385" w:rsidP="005735B2">
      <w:pPr>
        <w:pStyle w:val="BulletL1"/>
      </w:pPr>
      <w:r>
        <w:t>T</w:t>
      </w:r>
      <w:r w:rsidR="007261EC">
        <w:t xml:space="preserve">he role of the Independent Person, see the </w:t>
      </w:r>
      <w:r w:rsidR="00CA34CD">
        <w:t>f</w:t>
      </w:r>
      <w:r w:rsidR="007261EC">
        <w:t xml:space="preserve">act </w:t>
      </w:r>
      <w:r w:rsidR="00CA34CD">
        <w:t>s</w:t>
      </w:r>
      <w:r w:rsidR="007261EC">
        <w:t>heet ‘</w:t>
      </w:r>
      <w:hyperlink r:id="rId15" w:history="1">
        <w:r w:rsidR="007261EC" w:rsidRPr="000A6D12">
          <w:rPr>
            <w:rStyle w:val="Hyperlink"/>
            <w:color w:val="0E7482"/>
          </w:rPr>
          <w:t>Independent Person’</w:t>
        </w:r>
      </w:hyperlink>
      <w:r w:rsidR="00455220">
        <w:t>.</w:t>
      </w:r>
      <w:r w:rsidR="007261EC">
        <w:t xml:space="preserve"> </w:t>
      </w:r>
    </w:p>
    <w:p w14:paraId="415002AB" w14:textId="3F45C8EC" w:rsidR="007261EC" w:rsidRDefault="007261EC" w:rsidP="005735B2">
      <w:r>
        <w:t xml:space="preserve">Any use of a restrictive practice in relation to a person with disability must be consistent with the Principles set out in section 8 of the Act. The principles promote the human rights of people with disability and reflect the United Nations Convention on the Rights of Persons with Disability.    </w:t>
      </w:r>
    </w:p>
    <w:p w14:paraId="36455B0B" w14:textId="656F7BAF" w:rsidR="005B28AF" w:rsidRDefault="007261EC" w:rsidP="005735B2">
      <w:r>
        <w:t xml:space="preserve">These principles apply to every person, entity and provider who is doing something covered by the Act. The principles can be viewed in full here - Part 1 of the </w:t>
      </w:r>
      <w:r w:rsidRPr="005735B2">
        <w:rPr>
          <w:i/>
          <w:iCs/>
        </w:rPr>
        <w:t>Disability Rights, Inclusion and Safeguarding Act 2024</w:t>
      </w:r>
      <w:r>
        <w:t xml:space="preserve"> (</w:t>
      </w:r>
      <w:r w:rsidR="00345ADD">
        <w:t>the</w:t>
      </w:r>
      <w:r>
        <w:t xml:space="preserve"> Act).</w:t>
      </w:r>
    </w:p>
    <w:p w14:paraId="5FB2C957" w14:textId="48E2E627" w:rsidR="007261EC" w:rsidRDefault="007261EC" w:rsidP="00E60B3C">
      <w:r>
        <w:t xml:space="preserve">There are two principles </w:t>
      </w:r>
      <w:r w:rsidR="008A6DA7">
        <w:t>that relate to</w:t>
      </w:r>
      <w:r>
        <w:t xml:space="preserve"> restrictive practices. They are:    </w:t>
      </w:r>
    </w:p>
    <w:p w14:paraId="64C28629" w14:textId="7FE106DC" w:rsidR="007261EC" w:rsidRPr="005735B2" w:rsidRDefault="007261EC" w:rsidP="005735B2">
      <w:pPr>
        <w:pStyle w:val="BulletL1"/>
      </w:pPr>
      <w:r>
        <w:t>Restrictive practices should only be used in very limited and specific circumstances as a last resort and utilising the least restrictive practice and for the shortest period of time possible in the circumstances</w:t>
      </w:r>
      <w:r w:rsidR="0CF7FF35">
        <w:t>.</w:t>
      </w:r>
      <w:r>
        <w:t xml:space="preserve">   </w:t>
      </w:r>
    </w:p>
    <w:p w14:paraId="3F02D663" w14:textId="77777777" w:rsidR="00D6111E" w:rsidRDefault="007261EC" w:rsidP="00461E3D">
      <w:pPr>
        <w:pStyle w:val="BulletL1"/>
      </w:pPr>
      <w:r>
        <w:t>Restrictive practices should only be used where they are proportionate and justified in order to protect the rights or safety of the person with disability or others.</w:t>
      </w:r>
    </w:p>
    <w:p w14:paraId="0D2CE717" w14:textId="572B9BBF" w:rsidR="007261EC" w:rsidRDefault="007261EC" w:rsidP="005700BA">
      <w:pPr>
        <w:keepNext/>
      </w:pPr>
      <w:r>
        <w:lastRenderedPageBreak/>
        <w:t>These principles mean that a restrictive practice should only be: </w:t>
      </w:r>
    </w:p>
    <w:p w14:paraId="30820874" w14:textId="746BEAC7" w:rsidR="007261EC" w:rsidRPr="005735B2" w:rsidRDefault="38080AAD" w:rsidP="005735B2">
      <w:pPr>
        <w:pStyle w:val="BulletL1"/>
      </w:pPr>
      <w:r>
        <w:t>U</w:t>
      </w:r>
      <w:r w:rsidR="007261EC">
        <w:t>sed in very limited and specific circumstances</w:t>
      </w:r>
      <w:r w:rsidR="25039CE9">
        <w:t>.</w:t>
      </w:r>
    </w:p>
    <w:p w14:paraId="7D91A124" w14:textId="6B1AD9AA" w:rsidR="007261EC" w:rsidRPr="005735B2" w:rsidRDefault="2D8179A3" w:rsidP="005735B2">
      <w:pPr>
        <w:pStyle w:val="BulletL1"/>
      </w:pPr>
      <w:r>
        <w:t>U</w:t>
      </w:r>
      <w:r w:rsidR="007261EC">
        <w:t>sed as a last resort</w:t>
      </w:r>
      <w:r w:rsidR="4C410070">
        <w:t>.</w:t>
      </w:r>
    </w:p>
    <w:p w14:paraId="63FBECDE" w14:textId="001D34E4" w:rsidR="007261EC" w:rsidRPr="005735B2" w:rsidRDefault="6D9C7796" w:rsidP="005735B2">
      <w:pPr>
        <w:pStyle w:val="BulletL1"/>
      </w:pPr>
      <w:r>
        <w:t>T</w:t>
      </w:r>
      <w:r w:rsidR="007261EC">
        <w:t>he least restrictive practice possible</w:t>
      </w:r>
      <w:r w:rsidR="630FAD37">
        <w:t>.</w:t>
      </w:r>
    </w:p>
    <w:p w14:paraId="677646E5" w14:textId="7B82B21E" w:rsidR="007261EC" w:rsidRPr="005735B2" w:rsidRDefault="5F1F115A" w:rsidP="005735B2">
      <w:pPr>
        <w:pStyle w:val="BulletL1"/>
      </w:pPr>
      <w:r>
        <w:t>U</w:t>
      </w:r>
      <w:r w:rsidR="007261EC">
        <w:t>sed for the shortest time possible</w:t>
      </w:r>
      <w:r w:rsidR="630FAD37">
        <w:t>.</w:t>
      </w:r>
    </w:p>
    <w:p w14:paraId="05B8D368" w14:textId="5FF817F1" w:rsidR="00A864C9" w:rsidRPr="005735B2" w:rsidRDefault="6450B2F2" w:rsidP="005735B2">
      <w:pPr>
        <w:pStyle w:val="BulletL1"/>
      </w:pPr>
      <w:r>
        <w:t>I</w:t>
      </w:r>
      <w:r w:rsidR="007261EC">
        <w:t>n proportion and justified to protect the rights and safety of the person with disability or others.</w:t>
      </w:r>
    </w:p>
    <w:p w14:paraId="55B43B97" w14:textId="0B7FC8B8" w:rsidR="00A259CF" w:rsidRDefault="00E02151" w:rsidP="005735B2">
      <w:pPr>
        <w:pStyle w:val="Heading1"/>
      </w:pPr>
      <w:r>
        <w:t>Prohibited Practices</w:t>
      </w:r>
    </w:p>
    <w:p w14:paraId="7E001990" w14:textId="4D76B0A0" w:rsidR="00E02151" w:rsidRPr="00E02151" w:rsidRDefault="00496324" w:rsidP="005735B2">
      <w:r>
        <w:t>T</w:t>
      </w:r>
      <w:r w:rsidR="00AC1F59">
        <w:t>he</w:t>
      </w:r>
      <w:r w:rsidR="00E02151" w:rsidRPr="00E02151">
        <w:t xml:space="preserve"> </w:t>
      </w:r>
      <w:hyperlink r:id="rId16" w:tgtFrame="_blank" w:history="1">
        <w:r w:rsidR="00E02151" w:rsidRPr="000A6D12">
          <w:rPr>
            <w:rStyle w:val="Hyperlink"/>
            <w:i/>
            <w:iCs/>
            <w:color w:val="0E7482"/>
          </w:rPr>
          <w:t>Disability Rights, Inclusion and Safeguarding Act 2024</w:t>
        </w:r>
      </w:hyperlink>
      <w:r w:rsidR="00E02151" w:rsidRPr="000A6D12">
        <w:rPr>
          <w:color w:val="0E7482"/>
          <w:lang w:val="en-GB"/>
        </w:rPr>
        <w:t xml:space="preserve"> </w:t>
      </w:r>
      <w:r w:rsidR="00E02151" w:rsidRPr="00E02151">
        <w:rPr>
          <w:lang w:val="en-GB"/>
        </w:rPr>
        <w:t>(the Act) defines prohibited practices as</w:t>
      </w:r>
      <w:r w:rsidR="00E02151" w:rsidRPr="00E02151">
        <w:t>: </w:t>
      </w:r>
    </w:p>
    <w:p w14:paraId="3B05A648" w14:textId="6D7C1FF5" w:rsidR="00E22640" w:rsidRDefault="302CED2D" w:rsidP="005735B2">
      <w:pPr>
        <w:pStyle w:val="BulletL1"/>
        <w:rPr>
          <w:lang w:val="en-GB"/>
        </w:rPr>
      </w:pPr>
      <w:r w:rsidRPr="3E13D5B7">
        <w:rPr>
          <w:lang w:val="en-GB"/>
        </w:rPr>
        <w:t>A</w:t>
      </w:r>
      <w:r w:rsidR="00E02151" w:rsidRPr="3E13D5B7">
        <w:rPr>
          <w:lang w:val="en-GB"/>
        </w:rPr>
        <w:t xml:space="preserve"> practice or intervention including, but not limited to, specific forms of physical restraint and coercive and punitive approaches, that is of a type, or class, of practice or intervention that is prescribed for the purposes of this definition. </w:t>
      </w:r>
    </w:p>
    <w:p w14:paraId="64E1B175" w14:textId="3F6EAE1D" w:rsidR="00E02151" w:rsidRPr="00E02151" w:rsidRDefault="00A701DE" w:rsidP="005735B2">
      <w:r>
        <w:rPr>
          <w:lang w:val="en-GB"/>
        </w:rPr>
        <w:t>The Act makes the use of prohibited practices unlawful</w:t>
      </w:r>
      <w:r w:rsidR="00267D53">
        <w:rPr>
          <w:lang w:val="en-GB"/>
        </w:rPr>
        <w:t xml:space="preserve"> and</w:t>
      </w:r>
      <w:r w:rsidR="00E02151" w:rsidRPr="00E02151">
        <w:rPr>
          <w:lang w:val="en-GB"/>
        </w:rPr>
        <w:t xml:space="preserve"> </w:t>
      </w:r>
      <w:r w:rsidR="00E22640">
        <w:rPr>
          <w:lang w:val="en-GB"/>
        </w:rPr>
        <w:t>states</w:t>
      </w:r>
      <w:r w:rsidR="00E02151" w:rsidRPr="00E02151">
        <w:rPr>
          <w:lang w:val="en-GB"/>
        </w:rPr>
        <w:t xml:space="preserve"> that disability service providers must not use prohibited practices.</w:t>
      </w:r>
      <w:r w:rsidR="000A79C2">
        <w:t xml:space="preserve"> </w:t>
      </w:r>
    </w:p>
    <w:p w14:paraId="4161B0FE" w14:textId="186CF113" w:rsidR="00E02151" w:rsidRDefault="00C81541" w:rsidP="005735B2">
      <w:r>
        <w:rPr>
          <w:lang w:val="en-GB"/>
        </w:rPr>
        <w:t>Tasmania now ha</w:t>
      </w:r>
      <w:r w:rsidR="002423E3">
        <w:rPr>
          <w:lang w:val="en-GB"/>
        </w:rPr>
        <w:t>s</w:t>
      </w:r>
      <w:r>
        <w:rPr>
          <w:lang w:val="en-GB"/>
        </w:rPr>
        <w:t xml:space="preserve"> a </w:t>
      </w:r>
      <w:r w:rsidR="00E02151" w:rsidRPr="00E02151">
        <w:rPr>
          <w:lang w:val="en-GB"/>
        </w:rPr>
        <w:t>list of practices prohibited in Tasmania</w:t>
      </w:r>
      <w:r w:rsidR="003145E2">
        <w:rPr>
          <w:lang w:val="en-GB"/>
        </w:rPr>
        <w:t xml:space="preserve">. </w:t>
      </w:r>
      <w:r w:rsidR="00E02151" w:rsidRPr="00E02151">
        <w:rPr>
          <w:lang w:val="en-GB"/>
        </w:rPr>
        <w:t xml:space="preserve">These practices are included in the </w:t>
      </w:r>
      <w:hyperlink r:id="rId17" w:history="1">
        <w:r w:rsidR="00E02151" w:rsidRPr="000A6D12">
          <w:rPr>
            <w:rStyle w:val="Hyperlink"/>
            <w:i/>
            <w:iCs/>
            <w:color w:val="0E7482"/>
            <w:lang w:val="en-GB"/>
          </w:rPr>
          <w:t>Disability Rights, Inclusion and Safeguarding Regulation</w:t>
        </w:r>
        <w:r w:rsidR="00A86F82" w:rsidRPr="000A6D12">
          <w:rPr>
            <w:rStyle w:val="Hyperlink"/>
            <w:i/>
            <w:iCs/>
            <w:color w:val="0E7482"/>
            <w:lang w:val="en-GB"/>
          </w:rPr>
          <w:t>s</w:t>
        </w:r>
        <w:r w:rsidR="00E02151" w:rsidRPr="000A6D12">
          <w:rPr>
            <w:rStyle w:val="Hyperlink"/>
            <w:i/>
            <w:iCs/>
            <w:color w:val="0E7482"/>
            <w:lang w:val="en-GB"/>
          </w:rPr>
          <w:t xml:space="preserve"> 2025</w:t>
        </w:r>
      </w:hyperlink>
      <w:r w:rsidR="00E02151" w:rsidRPr="00E02151">
        <w:rPr>
          <w:lang w:val="en-GB"/>
        </w:rPr>
        <w:t>.</w:t>
      </w:r>
      <w:r w:rsidR="00E02151" w:rsidRPr="00E02151">
        <w:t> </w:t>
      </w:r>
    </w:p>
    <w:p w14:paraId="21EE43F6" w14:textId="703A6C43" w:rsidR="00DB0490" w:rsidRPr="00E02151" w:rsidRDefault="00DB0490" w:rsidP="005735B2">
      <w:r>
        <w:rPr>
          <w:lang w:val="en-GB"/>
        </w:rPr>
        <w:t>The use of</w:t>
      </w:r>
      <w:r w:rsidR="00572D8D">
        <w:rPr>
          <w:lang w:val="en-GB"/>
        </w:rPr>
        <w:t xml:space="preserve"> prohibited practices</w:t>
      </w:r>
      <w:r w:rsidR="00063301">
        <w:rPr>
          <w:lang w:val="en-GB"/>
        </w:rPr>
        <w:t xml:space="preserve"> </w:t>
      </w:r>
      <w:r>
        <w:rPr>
          <w:lang w:val="en-GB"/>
        </w:rPr>
        <w:t>may constitute abuse and neglect of a person with disability and may be subject to criminal charges and fines.</w:t>
      </w:r>
    </w:p>
    <w:p w14:paraId="2A9D8B1A" w14:textId="0D006DA7" w:rsidR="00D56978" w:rsidRPr="001A25AC" w:rsidRDefault="00D56978" w:rsidP="001E4343">
      <w:pPr>
        <w:pStyle w:val="Heading2"/>
      </w:pPr>
      <w:r w:rsidRPr="001A25AC">
        <w:t>More Information</w:t>
      </w:r>
    </w:p>
    <w:p w14:paraId="7FB778F1" w14:textId="330A3315" w:rsidR="00FF164B" w:rsidRDefault="00D56978" w:rsidP="005735B2">
      <w:pPr>
        <w:rPr>
          <w:color w:val="0E7482"/>
        </w:rPr>
      </w:pPr>
      <w:r>
        <w:t xml:space="preserve">This </w:t>
      </w:r>
      <w:r w:rsidR="00CF7873">
        <w:t>f</w:t>
      </w:r>
      <w:r>
        <w:t>act</w:t>
      </w:r>
      <w:r w:rsidR="00CF7873">
        <w:t xml:space="preserve"> </w:t>
      </w:r>
      <w:r>
        <w:t xml:space="preserve">sheet is a summary about </w:t>
      </w:r>
      <w:r w:rsidR="00624D07">
        <w:t>the changes to the regulation of restrictive practices in Tasmania</w:t>
      </w:r>
      <w:r>
        <w:t xml:space="preserve">. If you are interested in how </w:t>
      </w:r>
      <w:r w:rsidR="00DA3E2F">
        <w:t>this</w:t>
      </w:r>
      <w:r>
        <w:t xml:space="preserve"> is described in the Act please read Part </w:t>
      </w:r>
      <w:r w:rsidR="001D74C3">
        <w:t>7</w:t>
      </w:r>
      <w:r>
        <w:t xml:space="preserve"> of the </w:t>
      </w:r>
      <w:hyperlink r:id="rId18">
        <w:r w:rsidR="00FF164B" w:rsidRPr="7A600C6A">
          <w:rPr>
            <w:rStyle w:val="Hyperlink"/>
            <w:i/>
            <w:iCs/>
            <w:color w:val="0E7482"/>
          </w:rPr>
          <w:t>Disability Rights, Inclusion and Safeguarding Act 2024 (</w:t>
        </w:r>
        <w:r w:rsidR="00345ADD" w:rsidRPr="7A600C6A">
          <w:rPr>
            <w:rStyle w:val="Hyperlink"/>
            <w:i/>
            <w:iCs/>
            <w:color w:val="0E7482"/>
          </w:rPr>
          <w:t xml:space="preserve">the </w:t>
        </w:r>
        <w:r w:rsidR="00FF164B" w:rsidRPr="7A600C6A">
          <w:rPr>
            <w:rStyle w:val="Hyperlink"/>
            <w:i/>
            <w:iCs/>
            <w:color w:val="0E7482"/>
          </w:rPr>
          <w:t>Act)</w:t>
        </w:r>
      </w:hyperlink>
      <w:r w:rsidR="009C5B97">
        <w:rPr>
          <w:rStyle w:val="Hyperlink"/>
          <w:i/>
          <w:iCs/>
          <w:color w:val="0E7482"/>
        </w:rPr>
        <w:t>.</w:t>
      </w:r>
      <w:r w:rsidR="00FF164B" w:rsidRPr="7A600C6A">
        <w:rPr>
          <w:color w:val="0E7482"/>
        </w:rPr>
        <w:t xml:space="preserve"> </w:t>
      </w:r>
    </w:p>
    <w:p w14:paraId="7A4D3733" w14:textId="41E2BCAF" w:rsidR="001622D6" w:rsidRPr="009C5B97" w:rsidRDefault="67CA737B" w:rsidP="7A600C6A">
      <w:pPr>
        <w:tabs>
          <w:tab w:val="left" w:pos="255"/>
        </w:tabs>
        <w:rPr>
          <w:rFonts w:ascii="Arial" w:eastAsia="Arial" w:hAnsi="Arial" w:cs="Arial"/>
          <w:color w:val="auto"/>
          <w:szCs w:val="24"/>
          <w:lang w:val="en-US"/>
        </w:rPr>
      </w:pPr>
      <w:r w:rsidRPr="009C5B97">
        <w:rPr>
          <w:rFonts w:ascii="Arial" w:eastAsia="Arial" w:hAnsi="Arial" w:cs="Arial"/>
          <w:color w:val="auto"/>
          <w:szCs w:val="24"/>
        </w:rPr>
        <w:t xml:space="preserve">Additional fact sheets have been prepared to support the community understand new arrangements that come into effect following the Commencement of the Act. </w:t>
      </w:r>
      <w:r w:rsidRPr="00A32E6F">
        <w:rPr>
          <w:rFonts w:ascii="Arial" w:eastAsia="Arial" w:hAnsi="Arial" w:cs="Arial"/>
          <w:color w:val="auto"/>
          <w:szCs w:val="24"/>
        </w:rPr>
        <w:t xml:space="preserve">They can be found </w:t>
      </w:r>
      <w:hyperlink r:id="rId19" w:history="1">
        <w:r w:rsidRPr="00A32E6F">
          <w:rPr>
            <w:rStyle w:val="Hyperlink"/>
            <w:rFonts w:ascii="Arial" w:eastAsia="Arial" w:hAnsi="Arial" w:cs="Arial"/>
            <w:szCs w:val="24"/>
          </w:rPr>
          <w:t>here</w:t>
        </w:r>
      </w:hyperlink>
      <w:r w:rsidRPr="00A32E6F">
        <w:rPr>
          <w:rFonts w:ascii="Arial" w:eastAsia="Arial" w:hAnsi="Arial" w:cs="Arial"/>
          <w:color w:val="auto"/>
          <w:szCs w:val="24"/>
        </w:rPr>
        <w:t>.</w:t>
      </w:r>
    </w:p>
    <w:p w14:paraId="294B5F77" w14:textId="1D049664" w:rsidR="001622D6" w:rsidRPr="00B023B0" w:rsidRDefault="001622D6" w:rsidP="005735B2">
      <w:r>
        <w:t xml:space="preserve">Additional resources on </w:t>
      </w:r>
      <w:r w:rsidR="00AE0BF9">
        <w:t xml:space="preserve">positive behaviour support and </w:t>
      </w:r>
      <w:r>
        <w:t>restrictive practices can also be found on the NDIS website:</w:t>
      </w:r>
      <w:r w:rsidR="00B023B0">
        <w:t xml:space="preserve"> </w:t>
      </w:r>
      <w:hyperlink r:id="rId20">
        <w:r w:rsidR="00AE0BF9" w:rsidRPr="7A600C6A">
          <w:rPr>
            <w:rStyle w:val="Hyperlink"/>
          </w:rPr>
          <w:t>Behaviour support resources | NDIS Quality and Safeguards Commission</w:t>
        </w:r>
      </w:hyperlink>
    </w:p>
    <w:p w14:paraId="3BCC6077" w14:textId="16BC9847" w:rsidR="00D56978" w:rsidRDefault="00C24CC2" w:rsidP="005735B2">
      <w:r>
        <w:t xml:space="preserve">For more information the Office of the Senior Practitioner can be contacted </w:t>
      </w:r>
      <w:r w:rsidR="000A6D12">
        <w:t>by</w:t>
      </w:r>
      <w:r>
        <w:t xml:space="preserve"> </w:t>
      </w:r>
      <w:hyperlink r:id="rId21" w:history="1">
        <w:r w:rsidR="004606D1" w:rsidRPr="004606D1">
          <w:rPr>
            <w:rStyle w:val="Hyperlink"/>
          </w:rPr>
          <w:t>seniorpractitioner@dpac.tas.gov.au</w:t>
        </w:r>
      </w:hyperlink>
      <w:r w:rsidR="000A6D12" w:rsidRPr="000A6D12">
        <w:rPr>
          <w:rStyle w:val="Hyperlink"/>
          <w:u w:val="none"/>
        </w:rPr>
        <w:t xml:space="preserve"> o</w:t>
      </w:r>
      <w:r w:rsidR="000A6D12">
        <w:rPr>
          <w:rStyle w:val="Hyperlink"/>
          <w:u w:val="none"/>
        </w:rPr>
        <w:t>r</w:t>
      </w:r>
      <w:r w:rsidR="000A6D12" w:rsidRPr="000A6D12">
        <w:rPr>
          <w:rStyle w:val="Hyperlink"/>
          <w:u w:val="none"/>
        </w:rPr>
        <w:t xml:space="preserve"> </w:t>
      </w:r>
      <w:r w:rsidR="000A6D12">
        <w:t>6166 9199</w:t>
      </w:r>
      <w:r w:rsidR="004606D1">
        <w:t>.</w:t>
      </w:r>
    </w:p>
    <w:p w14:paraId="38A780AE" w14:textId="77777777" w:rsidR="005735B2" w:rsidRDefault="005735B2">
      <w:pPr>
        <w:spacing w:after="160" w:line="259" w:lineRule="auto"/>
        <w:rPr>
          <w:rFonts w:eastAsiaTheme="majorEastAsia" w:cstheme="minorHAnsi"/>
          <w:b/>
          <w:color w:val="0E7482"/>
          <w:sz w:val="48"/>
          <w:szCs w:val="48"/>
        </w:rPr>
      </w:pPr>
      <w:r>
        <w:br w:type="page"/>
      </w:r>
    </w:p>
    <w:p w14:paraId="17361676" w14:textId="412B63FC" w:rsidR="00E23E1F" w:rsidRPr="00AE7AAA" w:rsidRDefault="00E23E1F" w:rsidP="005735B2">
      <w:pPr>
        <w:pStyle w:val="Heading1"/>
      </w:pPr>
      <w:r w:rsidRPr="00AE7AAA">
        <w:lastRenderedPageBreak/>
        <w:t xml:space="preserve">Differences between restrictive interventions and restrictive practices </w:t>
      </w:r>
    </w:p>
    <w:tbl>
      <w:tblPr>
        <w:tblStyle w:val="ListTable2"/>
        <w:tblW w:w="9071" w:type="dxa"/>
        <w:tblBorders>
          <w:insideV w:val="single" w:sz="4" w:space="0" w:color="auto"/>
        </w:tblBorders>
        <w:tblLayout w:type="fixed"/>
        <w:tblCellMar>
          <w:top w:w="113" w:type="dxa"/>
          <w:bottom w:w="113" w:type="dxa"/>
        </w:tblCellMar>
        <w:tblLook w:val="04A0" w:firstRow="1" w:lastRow="0" w:firstColumn="1" w:lastColumn="0" w:noHBand="0" w:noVBand="1"/>
      </w:tblPr>
      <w:tblGrid>
        <w:gridCol w:w="2835"/>
        <w:gridCol w:w="3118"/>
        <w:gridCol w:w="3118"/>
      </w:tblGrid>
      <w:tr w:rsidR="00EB1295" w:rsidRPr="003E619F" w14:paraId="0351AAE9" w14:textId="77777777" w:rsidTr="3E13D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2A79C52" w14:textId="380C4A18" w:rsidR="00EB1295" w:rsidRPr="005735B2" w:rsidRDefault="00EB1295" w:rsidP="00DF4820">
            <w:pPr>
              <w:pStyle w:val="Tableheadingblack"/>
              <w:rPr>
                <w:b/>
                <w:bCs/>
              </w:rPr>
            </w:pPr>
            <w:r w:rsidRPr="005735B2">
              <w:rPr>
                <w:b/>
                <w:bCs/>
              </w:rPr>
              <w:t xml:space="preserve">Definition/Term  </w:t>
            </w:r>
          </w:p>
        </w:tc>
        <w:tc>
          <w:tcPr>
            <w:tcW w:w="3118" w:type="dxa"/>
          </w:tcPr>
          <w:p w14:paraId="5324DED6" w14:textId="2865C33D" w:rsidR="00EB1295" w:rsidRPr="005735B2" w:rsidRDefault="00EB1295" w:rsidP="00DF4820">
            <w:pPr>
              <w:pStyle w:val="Tableheadingblack"/>
              <w:cnfStyle w:val="100000000000" w:firstRow="1" w:lastRow="0" w:firstColumn="0" w:lastColumn="0" w:oddVBand="0" w:evenVBand="0" w:oddHBand="0" w:evenHBand="0" w:firstRowFirstColumn="0" w:firstRowLastColumn="0" w:lastRowFirstColumn="0" w:lastRowLastColumn="0"/>
              <w:rPr>
                <w:b/>
                <w:bCs/>
              </w:rPr>
            </w:pPr>
            <w:r w:rsidRPr="005735B2">
              <w:rPr>
                <w:b/>
                <w:bCs/>
              </w:rPr>
              <w:t xml:space="preserve">Disability Services Act 2011 (DSA) </w:t>
            </w:r>
          </w:p>
        </w:tc>
        <w:tc>
          <w:tcPr>
            <w:tcW w:w="3118" w:type="dxa"/>
          </w:tcPr>
          <w:p w14:paraId="4885AAE8" w14:textId="79BB257A" w:rsidR="00EB1295" w:rsidRPr="005735B2" w:rsidRDefault="00EB1295" w:rsidP="00DF4820">
            <w:pPr>
              <w:pStyle w:val="Tableheadingblack"/>
              <w:cnfStyle w:val="100000000000" w:firstRow="1" w:lastRow="0" w:firstColumn="0" w:lastColumn="0" w:oddVBand="0" w:evenVBand="0" w:oddHBand="0" w:evenHBand="0" w:firstRowFirstColumn="0" w:firstRowLastColumn="0" w:lastRowFirstColumn="0" w:lastRowLastColumn="0"/>
              <w:rPr>
                <w:b/>
                <w:bCs/>
              </w:rPr>
            </w:pPr>
            <w:r w:rsidRPr="005735B2">
              <w:rPr>
                <w:b/>
                <w:bCs/>
              </w:rPr>
              <w:t>Disability Rights, Inclusion and Safeguarding Act 2024 (DRIS Act)</w:t>
            </w:r>
          </w:p>
        </w:tc>
      </w:tr>
      <w:tr w:rsidR="00EB1295" w:rsidRPr="003E619F" w14:paraId="03DF60CB"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F16600B" w14:textId="0029F1B0" w:rsidR="00EB1295" w:rsidRPr="005735B2" w:rsidRDefault="00EB1295" w:rsidP="00DF4820">
            <w:pPr>
              <w:pStyle w:val="Tableheadingblack"/>
              <w:rPr>
                <w:b/>
                <w:bCs/>
              </w:rPr>
            </w:pPr>
            <w:r w:rsidRPr="005735B2">
              <w:rPr>
                <w:b/>
                <w:bCs/>
              </w:rPr>
              <w:t xml:space="preserve">Restrictive Intervention / Restrictive Practice </w:t>
            </w:r>
          </w:p>
        </w:tc>
        <w:tc>
          <w:tcPr>
            <w:tcW w:w="3118" w:type="dxa"/>
          </w:tcPr>
          <w:p w14:paraId="66EAB45A" w14:textId="77777777" w:rsidR="00EB1295" w:rsidRPr="00DF4820" w:rsidRDefault="62188B6A" w:rsidP="3E13D5B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 xml:space="preserve">The DSA defines a Restrictive Intervention as any action that is taken to restrict the rights or freedom of movement of a person with disability for the primary purpose of the behavioural control of the person but does not include such an action that is: </w:t>
            </w:r>
          </w:p>
          <w:p w14:paraId="0AE73B34" w14:textId="77777777"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taken for therapeutic purposes; or</w:t>
            </w:r>
          </w:p>
          <w:p w14:paraId="4A3D2FB2" w14:textId="77777777"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taken to enable the safe transportation of the person; or</w:t>
            </w:r>
          </w:p>
          <w:p w14:paraId="77379553" w14:textId="02782A8B"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 xml:space="preserve">authorised under any enactment relating to the provision of mental health services or to guardianship. </w:t>
            </w:r>
          </w:p>
        </w:tc>
        <w:tc>
          <w:tcPr>
            <w:tcW w:w="3118" w:type="dxa"/>
          </w:tcPr>
          <w:p w14:paraId="7E84D1FE" w14:textId="77777777" w:rsidR="00EB1295" w:rsidRPr="003E619F" w:rsidRDefault="62188B6A" w:rsidP="3E13D5B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The DRIS Act defines a Restrictive Practice as:</w:t>
            </w:r>
          </w:p>
          <w:p w14:paraId="57C79C99" w14:textId="1866CECE"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seclusion; </w:t>
            </w:r>
          </w:p>
          <w:p w14:paraId="35E1AEA5" w14:textId="3477D36D"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chemical restraint; </w:t>
            </w:r>
          </w:p>
          <w:p w14:paraId="5F22FD25" w14:textId="2D9EFBB4"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mechanical restraint; </w:t>
            </w:r>
          </w:p>
          <w:p w14:paraId="57FE833C" w14:textId="1E740A12"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physical restraint; </w:t>
            </w:r>
          </w:p>
          <w:p w14:paraId="476363CB" w14:textId="3CDB23B6"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environmental restraint; </w:t>
            </w:r>
          </w:p>
          <w:p w14:paraId="1830B880" w14:textId="3A353935"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Any other practice or intervention determined by the Senior Practitioner to be a restrictive practice. </w:t>
            </w:r>
          </w:p>
          <w:p w14:paraId="4535A8EB" w14:textId="77777777" w:rsidR="00460C64" w:rsidRPr="003E619F" w:rsidRDefault="00460C64" w:rsidP="00193D6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A687C4D" w14:textId="2A3CCA6B" w:rsidR="00EB1295" w:rsidRPr="003E619F" w:rsidRDefault="00EB1295" w:rsidP="00193D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B1295" w:rsidRPr="003E619F" w14:paraId="6BD6BFA8"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2B90F52F" w14:textId="58B3F974" w:rsidR="00EB1295" w:rsidRPr="005735B2" w:rsidRDefault="00EB1295" w:rsidP="00DF4820">
            <w:pPr>
              <w:pStyle w:val="Tableheadingblack"/>
              <w:rPr>
                <w:b/>
                <w:bCs/>
              </w:rPr>
            </w:pPr>
            <w:r w:rsidRPr="005735B2">
              <w:rPr>
                <w:b/>
                <w:bCs/>
              </w:rPr>
              <w:t xml:space="preserve">Environmental Restriction </w:t>
            </w:r>
            <w:r w:rsidR="00460C64" w:rsidRPr="005735B2">
              <w:rPr>
                <w:b/>
                <w:bCs/>
              </w:rPr>
              <w:t xml:space="preserve">/ Environmental Restraint </w:t>
            </w:r>
            <w:r w:rsidRPr="005735B2">
              <w:rPr>
                <w:b/>
                <w:bCs/>
              </w:rPr>
              <w:t xml:space="preserve"> </w:t>
            </w:r>
          </w:p>
        </w:tc>
        <w:tc>
          <w:tcPr>
            <w:tcW w:w="3118" w:type="dxa"/>
          </w:tcPr>
          <w:p w14:paraId="731AD0B5" w14:textId="271719B7" w:rsidR="00EB1295" w:rsidRPr="00DF4820" w:rsidRDefault="00460C64" w:rsidP="00DF4820">
            <w:pPr>
              <w:pStyle w:val="Tablecopy"/>
              <w:cnfStyle w:val="000000000000" w:firstRow="0" w:lastRow="0" w:firstColumn="0" w:lastColumn="0" w:oddVBand="0" w:evenVBand="0" w:oddHBand="0" w:evenHBand="0" w:firstRowFirstColumn="0" w:firstRowLastColumn="0" w:lastRowFirstColumn="0" w:lastRowLastColumn="0"/>
            </w:pPr>
            <w:r w:rsidRPr="00DF4820">
              <w:t>The DSA defines Environmental Restriction as</w:t>
            </w:r>
            <w:r w:rsidR="00EB1295" w:rsidRPr="00DF4820">
              <w:t xml:space="preserve"> a restrictive intervention in relation to the person that consists of the modification of an object, or the environment of the person, so as to enable the behavioural control of the person but does not include a personal restriction;</w:t>
            </w:r>
          </w:p>
        </w:tc>
        <w:tc>
          <w:tcPr>
            <w:tcW w:w="3118" w:type="dxa"/>
          </w:tcPr>
          <w:p w14:paraId="66C59847" w14:textId="58F1D8B0" w:rsidR="00EB1295" w:rsidRPr="003E619F" w:rsidRDefault="00460C64" w:rsidP="005735B2">
            <w:pPr>
              <w:pStyle w:val="Tablecopy"/>
              <w:cnfStyle w:val="000000000000" w:firstRow="0" w:lastRow="0" w:firstColumn="0" w:lastColumn="0" w:oddVBand="0" w:evenVBand="0" w:oddHBand="0" w:evenHBand="0" w:firstRowFirstColumn="0" w:firstRowLastColumn="0" w:lastRowFirstColumn="0" w:lastRowLastColumn="0"/>
            </w:pPr>
            <w:r w:rsidRPr="003E619F">
              <w:t>The DRIS Act defines Environmental Restraint as a restraint that restricts a person’s free access to all parts of their environment, including items or activities.</w:t>
            </w:r>
          </w:p>
        </w:tc>
      </w:tr>
      <w:tr w:rsidR="00EB1295" w:rsidRPr="003E619F" w14:paraId="57FBD429"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837D34" w14:textId="268997E3" w:rsidR="00EB1295" w:rsidRPr="005735B2" w:rsidRDefault="00EB1295" w:rsidP="00DF4820">
            <w:pPr>
              <w:pStyle w:val="Tableheadingblack"/>
              <w:rPr>
                <w:b/>
                <w:bCs/>
              </w:rPr>
            </w:pPr>
            <w:r w:rsidRPr="005735B2">
              <w:rPr>
                <w:b/>
                <w:bCs/>
              </w:rPr>
              <w:t xml:space="preserve">Personal Restriction </w:t>
            </w:r>
          </w:p>
        </w:tc>
        <w:tc>
          <w:tcPr>
            <w:tcW w:w="3118" w:type="dxa"/>
          </w:tcPr>
          <w:p w14:paraId="3E7C74B2" w14:textId="449A264D" w:rsidR="00EB1295" w:rsidRPr="003E619F" w:rsidRDefault="00460C64" w:rsidP="005735B2">
            <w:pPr>
              <w:pStyle w:val="Tablecopy"/>
              <w:cnfStyle w:val="000000100000" w:firstRow="0" w:lastRow="0" w:firstColumn="0" w:lastColumn="0" w:oddVBand="0" w:evenVBand="0" w:oddHBand="1" w:evenHBand="0" w:firstRowFirstColumn="0" w:firstRowLastColumn="0" w:lastRowFirstColumn="0" w:lastRowLastColumn="0"/>
            </w:pPr>
            <w:r w:rsidRPr="003E619F">
              <w:t>The DSA defines Personal Restriction as</w:t>
            </w:r>
            <w:r w:rsidR="00EB1295" w:rsidRPr="003E619F">
              <w:t xml:space="preserve"> a restrictive intervention in relation to the person that consists wholly or partially of:</w:t>
            </w:r>
          </w:p>
          <w:p w14:paraId="6FE7E6B6" w14:textId="1F720F31" w:rsidR="00EB1295" w:rsidRPr="003E619F" w:rsidRDefault="00EB1295" w:rsidP="005735B2">
            <w:pPr>
              <w:pStyle w:val="Tablecopy"/>
              <w:numPr>
                <w:ilvl w:val="0"/>
                <w:numId w:val="21"/>
              </w:numPr>
              <w:cnfStyle w:val="000000100000" w:firstRow="0" w:lastRow="0" w:firstColumn="0" w:lastColumn="0" w:oddVBand="0" w:evenVBand="0" w:oddHBand="1" w:evenHBand="0" w:firstRowFirstColumn="0" w:firstRowLastColumn="0" w:lastRowFirstColumn="0" w:lastRowLastColumn="0"/>
            </w:pPr>
            <w:r w:rsidRPr="003E619F">
              <w:t>physical contact with the person so as to enable the behavioural control of the person</w:t>
            </w:r>
            <w:r w:rsidR="00460C64" w:rsidRPr="003E619F">
              <w:t xml:space="preserve">; or </w:t>
            </w:r>
          </w:p>
          <w:p w14:paraId="57670064" w14:textId="79A299D3" w:rsidR="00EB1295" w:rsidRPr="003E619F" w:rsidRDefault="00EB1295" w:rsidP="005735B2">
            <w:pPr>
              <w:pStyle w:val="Tablecopy"/>
              <w:numPr>
                <w:ilvl w:val="0"/>
                <w:numId w:val="21"/>
              </w:numPr>
              <w:cnfStyle w:val="000000100000" w:firstRow="0" w:lastRow="0" w:firstColumn="0" w:lastColumn="0" w:oddVBand="0" w:evenVBand="0" w:oddHBand="1" w:evenHBand="0" w:firstRowFirstColumn="0" w:firstRowLastColumn="0" w:lastRowFirstColumn="0" w:lastRowLastColumn="0"/>
            </w:pPr>
            <w:r w:rsidRPr="003E619F">
              <w:t>the taking of an action that</w:t>
            </w:r>
            <w:r w:rsidR="00460C64" w:rsidRPr="003E619F">
              <w:t xml:space="preserve"> </w:t>
            </w:r>
            <w:r w:rsidRPr="003E619F">
              <w:t>restricts the liberty of movement of the person.</w:t>
            </w:r>
          </w:p>
        </w:tc>
        <w:tc>
          <w:tcPr>
            <w:tcW w:w="3118" w:type="dxa"/>
          </w:tcPr>
          <w:p w14:paraId="2586E7A1" w14:textId="272ECB03" w:rsidR="00EB1295" w:rsidRPr="003E619F" w:rsidRDefault="00460C64" w:rsidP="005735B2">
            <w:pPr>
              <w:pStyle w:val="Tablecopy"/>
              <w:cnfStyle w:val="000000100000" w:firstRow="0" w:lastRow="0" w:firstColumn="0" w:lastColumn="0" w:oddVBand="0" w:evenVBand="0" w:oddHBand="1" w:evenHBand="0" w:firstRowFirstColumn="0" w:firstRowLastColumn="0" w:lastRowFirstColumn="0" w:lastRowLastColumn="0"/>
            </w:pPr>
            <w:r w:rsidRPr="003E619F">
              <w:t>The DRIS Act does not contain a definition of ‘Personal Restriction’</w:t>
            </w:r>
            <w:r w:rsidR="00D8143B">
              <w:t xml:space="preserve"> and is covered in the new Act</w:t>
            </w:r>
            <w:r w:rsidR="0095489D">
              <w:t xml:space="preserve"> in the definition of Physical Restraint</w:t>
            </w:r>
            <w:r w:rsidRPr="003E619F">
              <w:t xml:space="preserve">. </w:t>
            </w:r>
          </w:p>
        </w:tc>
      </w:tr>
      <w:tr w:rsidR="00EB1295" w:rsidRPr="003E619F" w14:paraId="53DE46E3"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730701AF" w14:textId="2A86835E" w:rsidR="00EB1295" w:rsidRPr="005735B2" w:rsidRDefault="009572A3" w:rsidP="00DF4820">
            <w:pPr>
              <w:pStyle w:val="Tableheadingblack"/>
              <w:rPr>
                <w:b/>
                <w:bCs/>
              </w:rPr>
            </w:pPr>
            <w:r w:rsidRPr="005735B2">
              <w:rPr>
                <w:b/>
                <w:bCs/>
              </w:rPr>
              <w:lastRenderedPageBreak/>
              <w:t xml:space="preserve">Seclusion </w:t>
            </w:r>
          </w:p>
        </w:tc>
        <w:tc>
          <w:tcPr>
            <w:tcW w:w="3118" w:type="dxa"/>
          </w:tcPr>
          <w:p w14:paraId="6ED879C7" w14:textId="68E97493" w:rsidR="00EB1295"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DSA does not contain a definition of Seclusion </w:t>
            </w:r>
          </w:p>
        </w:tc>
        <w:tc>
          <w:tcPr>
            <w:tcW w:w="3118" w:type="dxa"/>
          </w:tcPr>
          <w:p w14:paraId="440B4F2A" w14:textId="77777777" w:rsidR="00EB1295"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DRIS Act defines Seclusion as the sole confinement of a person with disability in a room or a physical space at any hour of the day or night where voluntary exit is prevented, or not facilitated, or it is implied that voluntary exit is not permitted. </w:t>
            </w:r>
          </w:p>
          <w:p w14:paraId="01C4B405" w14:textId="5EDCB886" w:rsidR="003E619F" w:rsidRPr="003E619F" w:rsidRDefault="003E619F" w:rsidP="00DF4820">
            <w:pPr>
              <w:pStyle w:val="Tablecopy"/>
              <w:cnfStyle w:val="000000000000" w:firstRow="0" w:lastRow="0" w:firstColumn="0" w:lastColumn="0" w:oddVBand="0" w:evenVBand="0" w:oddHBand="0" w:evenHBand="0" w:firstRowFirstColumn="0" w:firstRowLastColumn="0" w:lastRowFirstColumn="0" w:lastRowLastColumn="0"/>
            </w:pPr>
          </w:p>
        </w:tc>
      </w:tr>
      <w:tr w:rsidR="009572A3" w:rsidRPr="003E619F" w14:paraId="613B78D1"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74D20F0" w14:textId="67A85CED" w:rsidR="009572A3" w:rsidRPr="005735B2" w:rsidRDefault="009572A3" w:rsidP="00DF4820">
            <w:pPr>
              <w:pStyle w:val="Tableheadingblack"/>
              <w:rPr>
                <w:b/>
                <w:bCs/>
              </w:rPr>
            </w:pPr>
            <w:r w:rsidRPr="005735B2">
              <w:rPr>
                <w:b/>
                <w:bCs/>
              </w:rPr>
              <w:t>Chemical Restraint</w:t>
            </w:r>
          </w:p>
        </w:tc>
        <w:tc>
          <w:tcPr>
            <w:tcW w:w="3118" w:type="dxa"/>
          </w:tcPr>
          <w:p w14:paraId="04F54BB7" w14:textId="48C82B35"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DSA does not contain a definition of Chemical Restraint</w:t>
            </w:r>
          </w:p>
        </w:tc>
        <w:tc>
          <w:tcPr>
            <w:tcW w:w="3118" w:type="dxa"/>
          </w:tcPr>
          <w:p w14:paraId="51666B9E" w14:textId="31F47567"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DRIS Act defines Chemical Restraint as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tc>
      </w:tr>
      <w:tr w:rsidR="009572A3" w:rsidRPr="003E619F" w14:paraId="43AE13FA"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73BFF16A" w14:textId="40394AA6" w:rsidR="009572A3" w:rsidRPr="005735B2" w:rsidRDefault="009572A3" w:rsidP="00DF4820">
            <w:pPr>
              <w:pStyle w:val="Tableheadingblack"/>
              <w:rPr>
                <w:b/>
                <w:bCs/>
              </w:rPr>
            </w:pPr>
            <w:r w:rsidRPr="005735B2">
              <w:rPr>
                <w:b/>
                <w:bCs/>
              </w:rPr>
              <w:t xml:space="preserve">Mechanical Restraint </w:t>
            </w:r>
          </w:p>
        </w:tc>
        <w:tc>
          <w:tcPr>
            <w:tcW w:w="3118" w:type="dxa"/>
          </w:tcPr>
          <w:p w14:paraId="259D6EE3" w14:textId="48A21941" w:rsidR="009572A3"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The DSA does not contain a definition of Mechanical Restraint</w:t>
            </w:r>
          </w:p>
        </w:tc>
        <w:tc>
          <w:tcPr>
            <w:tcW w:w="3118" w:type="dxa"/>
          </w:tcPr>
          <w:p w14:paraId="23B3CC37" w14:textId="0A48C311" w:rsidR="009572A3"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The DRIS Act defines Mechanical Restraint as the use of a device to prevent, restrict, or subdue a person’s movement for the primary purpose of influencing a person’s behaviour but does not include the use of devices for therapeutic or non</w:t>
            </w:r>
            <w:r w:rsidRPr="003E619F">
              <w:rPr>
                <w:rFonts w:ascii="Cambria Math" w:hAnsi="Cambria Math" w:cs="Cambria Math"/>
              </w:rPr>
              <w:t>‑</w:t>
            </w:r>
            <w:r w:rsidRPr="003E619F">
              <w:t>behavioural purposes.</w:t>
            </w:r>
          </w:p>
        </w:tc>
      </w:tr>
      <w:tr w:rsidR="009572A3" w:rsidRPr="003E619F" w14:paraId="25359C3E"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10D004A" w14:textId="0E1D55A8" w:rsidR="009572A3" w:rsidRPr="005735B2" w:rsidRDefault="009572A3" w:rsidP="00DF4820">
            <w:pPr>
              <w:pStyle w:val="Tableheadingblack"/>
              <w:rPr>
                <w:b/>
                <w:bCs/>
              </w:rPr>
            </w:pPr>
            <w:r w:rsidRPr="005735B2">
              <w:rPr>
                <w:b/>
                <w:bCs/>
              </w:rPr>
              <w:t xml:space="preserve">Physical Restraint </w:t>
            </w:r>
          </w:p>
        </w:tc>
        <w:tc>
          <w:tcPr>
            <w:tcW w:w="3118" w:type="dxa"/>
          </w:tcPr>
          <w:p w14:paraId="5AD0D48C" w14:textId="5815B61E"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 xml:space="preserve">The DSA does not contain a definition of Physical Restraint </w:t>
            </w:r>
          </w:p>
        </w:tc>
        <w:tc>
          <w:tcPr>
            <w:tcW w:w="3118" w:type="dxa"/>
          </w:tcPr>
          <w:p w14:paraId="1876EB82" w14:textId="0D0FBF47"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DRIS Act defines Physical Restraint as the use or action of physical force to prevent, restrict or subdue movement of a person’s body, or part of their body, for the primary purpose of influencing their behaviour. Physical restraint does not include the use of a hands</w:t>
            </w:r>
            <w:r w:rsidRPr="003E619F">
              <w:rPr>
                <w:rFonts w:ascii="Cambria Math" w:hAnsi="Cambria Math" w:cs="Cambria Math"/>
              </w:rPr>
              <w:t>‑</w:t>
            </w:r>
            <w:r w:rsidRPr="003E619F">
              <w:t xml:space="preserve">on technique in a reflexive way to guide or redirect a person away from potential harm/injury, consistent with </w:t>
            </w:r>
            <w:r w:rsidRPr="003E619F">
              <w:lastRenderedPageBreak/>
              <w:t>what could reasonably be considered the exercise of care towards a person.</w:t>
            </w:r>
          </w:p>
        </w:tc>
      </w:tr>
      <w:tr w:rsidR="009572A3" w:rsidRPr="003E619F" w14:paraId="59FF37A5"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061829E4" w14:textId="62783A7B" w:rsidR="009572A3" w:rsidRPr="005735B2" w:rsidRDefault="009572A3" w:rsidP="00DF4820">
            <w:pPr>
              <w:pStyle w:val="Tableheadingblack"/>
              <w:rPr>
                <w:b/>
                <w:bCs/>
              </w:rPr>
            </w:pPr>
            <w:r w:rsidRPr="005735B2">
              <w:rPr>
                <w:b/>
                <w:bCs/>
              </w:rPr>
              <w:lastRenderedPageBreak/>
              <w:t>Any other practice or intervention determined by the Senior Practitioner to be a restrictive practice</w:t>
            </w:r>
          </w:p>
        </w:tc>
        <w:tc>
          <w:tcPr>
            <w:tcW w:w="3118" w:type="dxa"/>
          </w:tcPr>
          <w:p w14:paraId="680BBD75" w14:textId="72F06255" w:rsidR="009572A3" w:rsidRPr="003E619F" w:rsidRDefault="00E23E1F"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DSA does not contain any restrictive interventions determined by the Senior Practitioner </w:t>
            </w:r>
          </w:p>
        </w:tc>
        <w:tc>
          <w:tcPr>
            <w:tcW w:w="3118" w:type="dxa"/>
          </w:tcPr>
          <w:p w14:paraId="25702319" w14:textId="0465BE84" w:rsidR="009572A3" w:rsidRPr="003E619F" w:rsidRDefault="00E23E1F" w:rsidP="005735B2">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Senior Practitioner may </w:t>
            </w:r>
            <w:r w:rsidRPr="00DF4820">
              <w:t>determine that a practice or intervention that has the effect of restricting the rights or freedom of movement of a person with disability is a restrictive practice for the purposes of the DRIS</w:t>
            </w:r>
            <w:r w:rsidRPr="003E619F">
              <w:t xml:space="preserve"> Act.</w:t>
            </w:r>
          </w:p>
        </w:tc>
      </w:tr>
    </w:tbl>
    <w:p w14:paraId="4ADB114C" w14:textId="413360F0" w:rsidR="00297F6C" w:rsidRDefault="00297F6C" w:rsidP="00193D60">
      <w:pPr>
        <w:pStyle w:val="Caption"/>
      </w:pPr>
    </w:p>
    <w:sectPr w:rsidR="00297F6C" w:rsidSect="00DF4820">
      <w:headerReference w:type="default" r:id="rId22"/>
      <w:footerReference w:type="default" r:id="rId23"/>
      <w:headerReference w:type="first" r:id="rId24"/>
      <w:footerReference w:type="first" r:id="rId25"/>
      <w:pgSz w:w="11906" w:h="16838" w:code="9"/>
      <w:pgMar w:top="851" w:right="1418" w:bottom="1134"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E589" w14:textId="77777777" w:rsidR="00A333ED" w:rsidRDefault="00A333ED" w:rsidP="00193D60">
      <w:r>
        <w:separator/>
      </w:r>
    </w:p>
  </w:endnote>
  <w:endnote w:type="continuationSeparator" w:id="0">
    <w:p w14:paraId="4DB5CC44" w14:textId="77777777" w:rsidR="00A333ED" w:rsidRDefault="00A333ED" w:rsidP="00193D60">
      <w:r>
        <w:continuationSeparator/>
      </w:r>
    </w:p>
  </w:endnote>
  <w:endnote w:type="continuationNotice" w:id="1">
    <w:p w14:paraId="4F7D5B56" w14:textId="77777777" w:rsidR="00A333ED" w:rsidRDefault="00A33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D58" w14:textId="5DFA6427" w:rsidR="003E619F" w:rsidRDefault="003E619F" w:rsidP="003E619F">
    <w:pPr>
      <w:pStyle w:val="Footer"/>
    </w:pPr>
  </w:p>
  <w:p w14:paraId="52D25895" w14:textId="214220D4" w:rsidR="003E619F" w:rsidRPr="00DF4820" w:rsidRDefault="00000000" w:rsidP="00DF4820">
    <w:pPr>
      <w:pStyle w:val="FooterDepartmentdivisionunitnameCover"/>
      <w:rPr>
        <w:b w:val="0"/>
        <w:bCs/>
        <w:sz w:val="18"/>
        <w:szCs w:val="18"/>
      </w:rPr>
    </w:pPr>
    <w:sdt>
      <w:sdtPr>
        <w:rPr>
          <w:rStyle w:val="PageNumber"/>
          <w:b w:val="0"/>
          <w:bCs/>
          <w:sz w:val="18"/>
          <w:szCs w:val="18"/>
        </w:rPr>
        <w:id w:val="-145901411"/>
        <w:docPartObj>
          <w:docPartGallery w:val="Page Numbers (Bottom of Page)"/>
          <w:docPartUnique/>
        </w:docPartObj>
      </w:sdtPr>
      <w:sdtContent>
        <w:r w:rsidR="003E619F" w:rsidRPr="00DF4820">
          <w:rPr>
            <w:rStyle w:val="PageNumber"/>
            <w:b w:val="0"/>
            <w:bCs/>
            <w:sz w:val="18"/>
            <w:szCs w:val="18"/>
          </w:rPr>
          <w:t xml:space="preserve">Page </w:t>
        </w:r>
        <w:r w:rsidR="003E619F" w:rsidRPr="00DF4820">
          <w:rPr>
            <w:rStyle w:val="PageNumber"/>
            <w:b w:val="0"/>
            <w:bCs/>
            <w:sz w:val="18"/>
            <w:szCs w:val="18"/>
          </w:rPr>
          <w:fldChar w:fldCharType="begin"/>
        </w:r>
        <w:r w:rsidR="003E619F" w:rsidRPr="00DF4820">
          <w:rPr>
            <w:rStyle w:val="PageNumber"/>
            <w:b w:val="0"/>
            <w:bCs/>
            <w:sz w:val="18"/>
            <w:szCs w:val="18"/>
          </w:rPr>
          <w:instrText xml:space="preserve"> PAGE  \* Arabic  \* MERGEFORMAT </w:instrText>
        </w:r>
        <w:r w:rsidR="003E619F" w:rsidRPr="00DF4820">
          <w:rPr>
            <w:rStyle w:val="PageNumber"/>
            <w:b w:val="0"/>
            <w:bCs/>
            <w:sz w:val="18"/>
            <w:szCs w:val="18"/>
          </w:rPr>
          <w:fldChar w:fldCharType="separate"/>
        </w:r>
        <w:r w:rsidR="003E619F" w:rsidRPr="00DF4820">
          <w:rPr>
            <w:rStyle w:val="PageNumber"/>
            <w:b w:val="0"/>
            <w:bCs/>
            <w:sz w:val="18"/>
            <w:szCs w:val="18"/>
          </w:rPr>
          <w:t>1</w:t>
        </w:r>
        <w:r w:rsidR="003E619F" w:rsidRPr="00DF4820">
          <w:rPr>
            <w:rStyle w:val="PageNumber"/>
            <w:b w:val="0"/>
            <w:bCs/>
            <w:sz w:val="18"/>
            <w:szCs w:val="18"/>
          </w:rPr>
          <w:fldChar w:fldCharType="end"/>
        </w:r>
        <w:r w:rsidR="003E619F" w:rsidRPr="00DF4820">
          <w:rPr>
            <w:rStyle w:val="PageNumber"/>
            <w:b w:val="0"/>
            <w:bCs/>
            <w:sz w:val="18"/>
            <w:szCs w:val="18"/>
          </w:rPr>
          <w:t xml:space="preserve"> of </w:t>
        </w:r>
        <w:r w:rsidR="003E619F" w:rsidRPr="00DF4820">
          <w:rPr>
            <w:rStyle w:val="PageNumber"/>
            <w:b w:val="0"/>
            <w:bCs/>
            <w:sz w:val="18"/>
            <w:szCs w:val="18"/>
          </w:rPr>
          <w:fldChar w:fldCharType="begin"/>
        </w:r>
        <w:r w:rsidR="003E619F" w:rsidRPr="00DF4820">
          <w:rPr>
            <w:rStyle w:val="PageNumber"/>
            <w:b w:val="0"/>
            <w:bCs/>
            <w:sz w:val="18"/>
            <w:szCs w:val="18"/>
          </w:rPr>
          <w:instrText xml:space="preserve"> NUMPAGES  \* Arabic  \* MERGEFORMAT </w:instrText>
        </w:r>
        <w:r w:rsidR="003E619F" w:rsidRPr="00DF4820">
          <w:rPr>
            <w:rStyle w:val="PageNumber"/>
            <w:b w:val="0"/>
            <w:bCs/>
            <w:sz w:val="18"/>
            <w:szCs w:val="18"/>
          </w:rPr>
          <w:fldChar w:fldCharType="separate"/>
        </w:r>
        <w:r w:rsidR="003E619F" w:rsidRPr="00DF4820">
          <w:rPr>
            <w:rStyle w:val="PageNumber"/>
            <w:b w:val="0"/>
            <w:bCs/>
            <w:sz w:val="18"/>
            <w:szCs w:val="18"/>
          </w:rPr>
          <w:t>4</w:t>
        </w:r>
        <w:r w:rsidR="003E619F" w:rsidRPr="00DF4820">
          <w:rPr>
            <w:rStyle w:val="PageNumber"/>
            <w:b w:val="0"/>
            <w:bCs/>
            <w:sz w:val="18"/>
            <w:szCs w:val="18"/>
          </w:rPr>
          <w:fldChar w:fldCharType="end"/>
        </w:r>
        <w:r w:rsidR="003E619F" w:rsidRPr="00DF4820">
          <w:rPr>
            <w:rStyle w:val="PageNumber"/>
            <w:b w:val="0"/>
            <w:bCs/>
            <w:sz w:val="18"/>
            <w:szCs w:val="18"/>
          </w:rPr>
          <w:t xml:space="preserve"> | Office of The Senior Practitioner</w:t>
        </w:r>
        <w:r w:rsidR="003E619F" w:rsidRPr="00DF4820">
          <w:rPr>
            <w:rStyle w:val="PageNumber"/>
            <w:b w:val="0"/>
            <w:bCs/>
            <w:sz w:val="18"/>
            <w:szCs w:val="18"/>
          </w:rPr>
          <w:br/>
        </w:r>
        <w:r w:rsidR="00F80566" w:rsidRPr="00DF4820">
          <w:rPr>
            <w:b w:val="0"/>
            <w:bCs/>
            <w:sz w:val="18"/>
            <w:szCs w:val="18"/>
          </w:rPr>
          <w:t xml:space="preserve">Restrictive Practices – What </w:t>
        </w:r>
        <w:r w:rsidR="002423E3">
          <w:rPr>
            <w:b w:val="0"/>
            <w:bCs/>
            <w:sz w:val="18"/>
            <w:szCs w:val="18"/>
          </w:rPr>
          <w:t>has Changed</w:t>
        </w:r>
        <w:r w:rsidR="00F80566" w:rsidRPr="00DF4820">
          <w:rPr>
            <w:b w:val="0"/>
            <w:bCs/>
            <w:sz w:val="18"/>
            <w:szCs w:val="18"/>
          </w:rPr>
          <w:t xml:space="preserve">? </w:t>
        </w:r>
        <w:r w:rsidR="003E619F" w:rsidRPr="00DF4820">
          <w:rPr>
            <w:b w:val="0"/>
            <w:bCs/>
            <w:sz w:val="18"/>
            <w:szCs w:val="18"/>
          </w:rPr>
          <w:t>Fact Sheet</w:t>
        </w:r>
        <w:r w:rsidR="00DF4820">
          <w:rPr>
            <w:b w:val="0"/>
            <w:bCs/>
            <w:sz w:val="18"/>
            <w:szCs w:val="18"/>
          </w:rPr>
          <w:t xml:space="preserve"> </w:t>
        </w:r>
        <w:r w:rsidR="003E619F" w:rsidRPr="00DF4820">
          <w:rPr>
            <w:b w:val="0"/>
            <w:bCs/>
            <w:sz w:val="18"/>
            <w:szCs w:val="18"/>
          </w:rPr>
          <w:t>|</w:t>
        </w:r>
        <w:r w:rsidR="00DF4820">
          <w:rPr>
            <w:b w:val="0"/>
            <w:bCs/>
            <w:sz w:val="18"/>
            <w:szCs w:val="18"/>
          </w:rPr>
          <w:t xml:space="preserve"> </w:t>
        </w:r>
        <w:r w:rsidR="000A6D12">
          <w:rPr>
            <w:b w:val="0"/>
            <w:bCs/>
            <w:sz w:val="18"/>
            <w:szCs w:val="18"/>
          </w:rPr>
          <w:t>July</w:t>
        </w:r>
        <w:r w:rsidR="003E619F" w:rsidRPr="00DF4820">
          <w:rPr>
            <w:b w:val="0"/>
            <w:bCs/>
            <w:sz w:val="18"/>
            <w:szCs w:val="18"/>
          </w:rPr>
          <w:t xml:space="preserve">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AF9" w14:textId="277210C7" w:rsidR="003E619F" w:rsidRDefault="003E619F" w:rsidP="003E619F">
    <w:pPr>
      <w:pStyle w:val="Footer"/>
    </w:pPr>
  </w:p>
  <w:p w14:paraId="68CB2CA4" w14:textId="11B40770" w:rsidR="003E619F" w:rsidRPr="0053644A" w:rsidRDefault="0053644A" w:rsidP="0053644A">
    <w:pPr>
      <w:pStyle w:val="Footer"/>
    </w:pPr>
    <w:r>
      <w:rPr>
        <w:noProof/>
      </w:rPr>
      <w:drawing>
        <wp:anchor distT="0" distB="0" distL="114300" distR="114300" simplePos="0" relativeHeight="251661312" behindDoc="1" locked="0" layoutInCell="1" allowOverlap="1" wp14:anchorId="0A1D4D05" wp14:editId="21207416">
          <wp:simplePos x="0" y="0"/>
          <wp:positionH relativeFrom="margin">
            <wp:align>right</wp:align>
          </wp:positionH>
          <wp:positionV relativeFrom="paragraph">
            <wp:posOffset>-263525</wp:posOffset>
          </wp:positionV>
          <wp:extent cx="1079500" cy="426720"/>
          <wp:effectExtent l="0" t="0" r="6350" b="0"/>
          <wp:wrapNone/>
          <wp:docPr id="26743506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5061"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9500" cy="426720"/>
                  </a:xfrm>
                  <a:prstGeom prst="rect">
                    <a:avLst/>
                  </a:prstGeom>
                </pic:spPr>
              </pic:pic>
            </a:graphicData>
          </a:graphic>
        </wp:anchor>
      </w:drawing>
    </w:r>
    <w:sdt>
      <w:sdtPr>
        <w:rPr>
          <w:rStyle w:val="PageNumber"/>
        </w:rPr>
        <w:id w:val="-1563858016"/>
        <w:docPartObj>
          <w:docPartGallery w:val="Page Numbers (Bottom of Page)"/>
          <w:docPartUnique/>
        </w:docPartObj>
      </w:sdtPr>
      <w:sdtContent>
        <w:r w:rsidR="179AD73F" w:rsidRPr="00341DDB">
          <w:rPr>
            <w:rStyle w:val="FooterbodyChar"/>
          </w:rPr>
          <w:t>Office of The Senior Practitioner</w:t>
        </w:r>
        <w:r w:rsidR="179AD73F">
          <w:rPr>
            <w:rStyle w:val="FooterbodyChar"/>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FD1C" w14:textId="77777777" w:rsidR="00A333ED" w:rsidRDefault="00A333ED" w:rsidP="00193D60">
      <w:r>
        <w:separator/>
      </w:r>
    </w:p>
  </w:footnote>
  <w:footnote w:type="continuationSeparator" w:id="0">
    <w:p w14:paraId="4AB846CC" w14:textId="77777777" w:rsidR="00A333ED" w:rsidRDefault="00A333ED" w:rsidP="00193D60">
      <w:r>
        <w:continuationSeparator/>
      </w:r>
    </w:p>
  </w:footnote>
  <w:footnote w:type="continuationNotice" w:id="1">
    <w:p w14:paraId="5B55DB09" w14:textId="77777777" w:rsidR="00A333ED" w:rsidRDefault="00A33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61E2D456" w:rsidR="00403974" w:rsidRDefault="006D2D91">
    <w:pPr>
      <w:pStyle w:val="Header"/>
    </w:pPr>
    <w:r>
      <w:rPr>
        <w:noProof/>
      </w:rPr>
      <w:drawing>
        <wp:anchor distT="0" distB="0" distL="114300" distR="114300" simplePos="0" relativeHeight="251658240" behindDoc="0" locked="0" layoutInCell="1" allowOverlap="1" wp14:anchorId="1320E07A" wp14:editId="73954D58">
          <wp:simplePos x="0" y="0"/>
          <wp:positionH relativeFrom="page">
            <wp:align>left</wp:align>
          </wp:positionH>
          <wp:positionV relativeFrom="paragraph">
            <wp:posOffset>-176530</wp:posOffset>
          </wp:positionV>
          <wp:extent cx="7678420" cy="2065020"/>
          <wp:effectExtent l="0" t="0" r="0" b="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B32DD"/>
    <w:multiLevelType w:val="hybridMultilevel"/>
    <w:tmpl w:val="0270E642"/>
    <w:lvl w:ilvl="0" w:tplc="2AB844F6">
      <w:start w:val="1"/>
      <w:numFmt w:val="decimal"/>
      <w:lvlText w:val="%1."/>
      <w:lvlJc w:val="left"/>
      <w:pPr>
        <w:ind w:left="720" w:hanging="360"/>
      </w:pPr>
    </w:lvl>
    <w:lvl w:ilvl="1" w:tplc="01BAB0E4">
      <w:start w:val="1"/>
      <w:numFmt w:val="lowerLetter"/>
      <w:lvlText w:val="%2."/>
      <w:lvlJc w:val="left"/>
      <w:pPr>
        <w:ind w:left="1440" w:hanging="360"/>
      </w:pPr>
    </w:lvl>
    <w:lvl w:ilvl="2" w:tplc="91748544">
      <w:start w:val="1"/>
      <w:numFmt w:val="lowerRoman"/>
      <w:lvlText w:val="%3."/>
      <w:lvlJc w:val="right"/>
      <w:pPr>
        <w:ind w:left="2160" w:hanging="180"/>
      </w:pPr>
    </w:lvl>
    <w:lvl w:ilvl="3" w:tplc="1F2421D0">
      <w:start w:val="1"/>
      <w:numFmt w:val="decimal"/>
      <w:lvlText w:val="%4."/>
      <w:lvlJc w:val="left"/>
      <w:pPr>
        <w:ind w:left="2880" w:hanging="360"/>
      </w:pPr>
    </w:lvl>
    <w:lvl w:ilvl="4" w:tplc="8CCACB38">
      <w:start w:val="1"/>
      <w:numFmt w:val="lowerLetter"/>
      <w:lvlText w:val="%5."/>
      <w:lvlJc w:val="left"/>
      <w:pPr>
        <w:ind w:left="3600" w:hanging="360"/>
      </w:pPr>
    </w:lvl>
    <w:lvl w:ilvl="5" w:tplc="DE62F378">
      <w:start w:val="1"/>
      <w:numFmt w:val="lowerRoman"/>
      <w:lvlText w:val="%6."/>
      <w:lvlJc w:val="right"/>
      <w:pPr>
        <w:ind w:left="4320" w:hanging="180"/>
      </w:pPr>
    </w:lvl>
    <w:lvl w:ilvl="6" w:tplc="EB2A6612">
      <w:start w:val="1"/>
      <w:numFmt w:val="decimal"/>
      <w:lvlText w:val="%7."/>
      <w:lvlJc w:val="left"/>
      <w:pPr>
        <w:ind w:left="5040" w:hanging="360"/>
      </w:pPr>
    </w:lvl>
    <w:lvl w:ilvl="7" w:tplc="35B01342">
      <w:start w:val="1"/>
      <w:numFmt w:val="lowerLetter"/>
      <w:lvlText w:val="%8."/>
      <w:lvlJc w:val="left"/>
      <w:pPr>
        <w:ind w:left="5760" w:hanging="360"/>
      </w:pPr>
    </w:lvl>
    <w:lvl w:ilvl="8" w:tplc="4BF20C00">
      <w:start w:val="1"/>
      <w:numFmt w:val="lowerRoman"/>
      <w:lvlText w:val="%9."/>
      <w:lvlJc w:val="right"/>
      <w:pPr>
        <w:ind w:left="6480" w:hanging="180"/>
      </w:pPr>
    </w:lvl>
  </w:abstractNum>
  <w:abstractNum w:abstractNumId="20"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7476880">
    <w:abstractNumId w:val="19"/>
  </w:num>
  <w:num w:numId="2" w16cid:durableId="546643098">
    <w:abstractNumId w:val="4"/>
  </w:num>
  <w:num w:numId="3" w16cid:durableId="1971204888">
    <w:abstractNumId w:val="7"/>
  </w:num>
  <w:num w:numId="4" w16cid:durableId="589579785">
    <w:abstractNumId w:val="20"/>
  </w:num>
  <w:num w:numId="5" w16cid:durableId="396364326">
    <w:abstractNumId w:val="5"/>
  </w:num>
  <w:num w:numId="6" w16cid:durableId="18822700">
    <w:abstractNumId w:val="16"/>
  </w:num>
  <w:num w:numId="7" w16cid:durableId="90667290">
    <w:abstractNumId w:val="8"/>
  </w:num>
  <w:num w:numId="8" w16cid:durableId="948122419">
    <w:abstractNumId w:val="1"/>
  </w:num>
  <w:num w:numId="9" w16cid:durableId="1656833321">
    <w:abstractNumId w:val="17"/>
  </w:num>
  <w:num w:numId="10" w16cid:durableId="529490499">
    <w:abstractNumId w:val="0"/>
  </w:num>
  <w:num w:numId="11" w16cid:durableId="1380325260">
    <w:abstractNumId w:val="17"/>
  </w:num>
  <w:num w:numId="12" w16cid:durableId="1797407731">
    <w:abstractNumId w:val="2"/>
  </w:num>
  <w:num w:numId="13" w16cid:durableId="1597010386">
    <w:abstractNumId w:val="17"/>
  </w:num>
  <w:num w:numId="14" w16cid:durableId="1161774435">
    <w:abstractNumId w:val="21"/>
  </w:num>
  <w:num w:numId="15" w16cid:durableId="413205355">
    <w:abstractNumId w:val="9"/>
  </w:num>
  <w:num w:numId="16" w16cid:durableId="1140732817">
    <w:abstractNumId w:val="9"/>
  </w:num>
  <w:num w:numId="17" w16cid:durableId="1884638788">
    <w:abstractNumId w:val="3"/>
  </w:num>
  <w:num w:numId="18" w16cid:durableId="95177529">
    <w:abstractNumId w:val="6"/>
  </w:num>
  <w:num w:numId="19" w16cid:durableId="2050496311">
    <w:abstractNumId w:val="12"/>
  </w:num>
  <w:num w:numId="20" w16cid:durableId="1743797237">
    <w:abstractNumId w:val="18"/>
  </w:num>
  <w:num w:numId="21" w16cid:durableId="948849750">
    <w:abstractNumId w:val="11"/>
  </w:num>
  <w:num w:numId="22" w16cid:durableId="2138444667">
    <w:abstractNumId w:val="3"/>
  </w:num>
  <w:num w:numId="23" w16cid:durableId="162480053">
    <w:abstractNumId w:val="13"/>
  </w:num>
  <w:num w:numId="24" w16cid:durableId="672806517">
    <w:abstractNumId w:val="15"/>
  </w:num>
  <w:num w:numId="25" w16cid:durableId="51318265">
    <w:abstractNumId w:val="10"/>
  </w:num>
  <w:num w:numId="26" w16cid:durableId="1785349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D08"/>
    <w:rsid w:val="0000482B"/>
    <w:rsid w:val="000130FF"/>
    <w:rsid w:val="00015EA7"/>
    <w:rsid w:val="00023CCF"/>
    <w:rsid w:val="00030563"/>
    <w:rsid w:val="00043209"/>
    <w:rsid w:val="00043F02"/>
    <w:rsid w:val="00053693"/>
    <w:rsid w:val="00063301"/>
    <w:rsid w:val="00067ECB"/>
    <w:rsid w:val="00091173"/>
    <w:rsid w:val="00094BE7"/>
    <w:rsid w:val="000A6D12"/>
    <w:rsid w:val="000A79C2"/>
    <w:rsid w:val="000B3B4D"/>
    <w:rsid w:val="000B6A65"/>
    <w:rsid w:val="000C4CBB"/>
    <w:rsid w:val="000E2938"/>
    <w:rsid w:val="000E3203"/>
    <w:rsid w:val="001314BC"/>
    <w:rsid w:val="00131C03"/>
    <w:rsid w:val="0013210D"/>
    <w:rsid w:val="001622D6"/>
    <w:rsid w:val="001648AA"/>
    <w:rsid w:val="00165789"/>
    <w:rsid w:val="00193D60"/>
    <w:rsid w:val="00197C11"/>
    <w:rsid w:val="001A25AC"/>
    <w:rsid w:val="001A3C03"/>
    <w:rsid w:val="001B17A3"/>
    <w:rsid w:val="001B27D9"/>
    <w:rsid w:val="001C0531"/>
    <w:rsid w:val="001D01A6"/>
    <w:rsid w:val="001D74C3"/>
    <w:rsid w:val="001D750D"/>
    <w:rsid w:val="001E27A1"/>
    <w:rsid w:val="001E352A"/>
    <w:rsid w:val="001E399B"/>
    <w:rsid w:val="001E4343"/>
    <w:rsid w:val="001F5768"/>
    <w:rsid w:val="00213DE4"/>
    <w:rsid w:val="002145AB"/>
    <w:rsid w:val="00225819"/>
    <w:rsid w:val="00227EA2"/>
    <w:rsid w:val="002423E3"/>
    <w:rsid w:val="00242C4B"/>
    <w:rsid w:val="00245655"/>
    <w:rsid w:val="0026022F"/>
    <w:rsid w:val="002623EA"/>
    <w:rsid w:val="00267D53"/>
    <w:rsid w:val="00297F6C"/>
    <w:rsid w:val="002B3394"/>
    <w:rsid w:val="002D08C4"/>
    <w:rsid w:val="002D12FB"/>
    <w:rsid w:val="002D7078"/>
    <w:rsid w:val="002E1742"/>
    <w:rsid w:val="002E1F1F"/>
    <w:rsid w:val="002E310F"/>
    <w:rsid w:val="002E74AB"/>
    <w:rsid w:val="0030022B"/>
    <w:rsid w:val="00305ED6"/>
    <w:rsid w:val="003145E2"/>
    <w:rsid w:val="00321B7C"/>
    <w:rsid w:val="00325788"/>
    <w:rsid w:val="003330EA"/>
    <w:rsid w:val="00337020"/>
    <w:rsid w:val="00341FB1"/>
    <w:rsid w:val="00345ADD"/>
    <w:rsid w:val="003505FF"/>
    <w:rsid w:val="003813E5"/>
    <w:rsid w:val="0039687B"/>
    <w:rsid w:val="003A54FA"/>
    <w:rsid w:val="003C79F5"/>
    <w:rsid w:val="003E619F"/>
    <w:rsid w:val="003F6245"/>
    <w:rsid w:val="003F68AA"/>
    <w:rsid w:val="003F722F"/>
    <w:rsid w:val="00400444"/>
    <w:rsid w:val="00403974"/>
    <w:rsid w:val="00420394"/>
    <w:rsid w:val="00421B3F"/>
    <w:rsid w:val="00421F47"/>
    <w:rsid w:val="004249B0"/>
    <w:rsid w:val="00435EE2"/>
    <w:rsid w:val="0043635E"/>
    <w:rsid w:val="00447BD4"/>
    <w:rsid w:val="00455220"/>
    <w:rsid w:val="00456AAD"/>
    <w:rsid w:val="004606D1"/>
    <w:rsid w:val="00460C64"/>
    <w:rsid w:val="00461E3D"/>
    <w:rsid w:val="00464DBF"/>
    <w:rsid w:val="00473E68"/>
    <w:rsid w:val="00473EAA"/>
    <w:rsid w:val="00480911"/>
    <w:rsid w:val="0049037D"/>
    <w:rsid w:val="0049298E"/>
    <w:rsid w:val="00496324"/>
    <w:rsid w:val="004A162C"/>
    <w:rsid w:val="004B0637"/>
    <w:rsid w:val="004C13EB"/>
    <w:rsid w:val="004C5541"/>
    <w:rsid w:val="004D0F5D"/>
    <w:rsid w:val="004D1E00"/>
    <w:rsid w:val="004D3811"/>
    <w:rsid w:val="004E11E5"/>
    <w:rsid w:val="004E1A56"/>
    <w:rsid w:val="004F32B8"/>
    <w:rsid w:val="00502D48"/>
    <w:rsid w:val="00512870"/>
    <w:rsid w:val="00514BA0"/>
    <w:rsid w:val="00517409"/>
    <w:rsid w:val="0053644A"/>
    <w:rsid w:val="00540362"/>
    <w:rsid w:val="00546A2B"/>
    <w:rsid w:val="005555E2"/>
    <w:rsid w:val="00566DBF"/>
    <w:rsid w:val="005700BA"/>
    <w:rsid w:val="00572D8D"/>
    <w:rsid w:val="005735B2"/>
    <w:rsid w:val="005875BF"/>
    <w:rsid w:val="00592D7B"/>
    <w:rsid w:val="0059331B"/>
    <w:rsid w:val="005A281C"/>
    <w:rsid w:val="005B28AF"/>
    <w:rsid w:val="005B3569"/>
    <w:rsid w:val="005D1051"/>
    <w:rsid w:val="005D62F2"/>
    <w:rsid w:val="005F2CFF"/>
    <w:rsid w:val="005F483D"/>
    <w:rsid w:val="005F768A"/>
    <w:rsid w:val="00600356"/>
    <w:rsid w:val="00606AEC"/>
    <w:rsid w:val="00624D07"/>
    <w:rsid w:val="00635C51"/>
    <w:rsid w:val="006531CA"/>
    <w:rsid w:val="00653335"/>
    <w:rsid w:val="00655403"/>
    <w:rsid w:val="00656E03"/>
    <w:rsid w:val="006606A4"/>
    <w:rsid w:val="00663B53"/>
    <w:rsid w:val="006653CD"/>
    <w:rsid w:val="006814B9"/>
    <w:rsid w:val="00695BCA"/>
    <w:rsid w:val="00696217"/>
    <w:rsid w:val="006B1840"/>
    <w:rsid w:val="006D2D91"/>
    <w:rsid w:val="006E2BD4"/>
    <w:rsid w:val="006E6FA2"/>
    <w:rsid w:val="007109FC"/>
    <w:rsid w:val="007112B6"/>
    <w:rsid w:val="007244AB"/>
    <w:rsid w:val="007261EC"/>
    <w:rsid w:val="007261F6"/>
    <w:rsid w:val="00730E52"/>
    <w:rsid w:val="00740C39"/>
    <w:rsid w:val="00745914"/>
    <w:rsid w:val="00750E1A"/>
    <w:rsid w:val="00755712"/>
    <w:rsid w:val="0076034B"/>
    <w:rsid w:val="0077228D"/>
    <w:rsid w:val="00774FCA"/>
    <w:rsid w:val="00781449"/>
    <w:rsid w:val="007C2716"/>
    <w:rsid w:val="007E4689"/>
    <w:rsid w:val="007F7C8C"/>
    <w:rsid w:val="00804E94"/>
    <w:rsid w:val="008309B4"/>
    <w:rsid w:val="0083141A"/>
    <w:rsid w:val="008554BD"/>
    <w:rsid w:val="00856EAA"/>
    <w:rsid w:val="008605BF"/>
    <w:rsid w:val="0086711A"/>
    <w:rsid w:val="00870E9F"/>
    <w:rsid w:val="00877007"/>
    <w:rsid w:val="0089443B"/>
    <w:rsid w:val="008952D4"/>
    <w:rsid w:val="008A2334"/>
    <w:rsid w:val="008A6034"/>
    <w:rsid w:val="008A6DA7"/>
    <w:rsid w:val="008B2888"/>
    <w:rsid w:val="008B497C"/>
    <w:rsid w:val="008B4A34"/>
    <w:rsid w:val="008C0033"/>
    <w:rsid w:val="008C0669"/>
    <w:rsid w:val="008C5385"/>
    <w:rsid w:val="008C53F1"/>
    <w:rsid w:val="008E090E"/>
    <w:rsid w:val="008E40F0"/>
    <w:rsid w:val="008F2D2F"/>
    <w:rsid w:val="008F51BF"/>
    <w:rsid w:val="00903A74"/>
    <w:rsid w:val="00914BC9"/>
    <w:rsid w:val="009262EE"/>
    <w:rsid w:val="00931254"/>
    <w:rsid w:val="0094371C"/>
    <w:rsid w:val="00945CE8"/>
    <w:rsid w:val="0094649E"/>
    <w:rsid w:val="00950DB8"/>
    <w:rsid w:val="00952DC6"/>
    <w:rsid w:val="00952E97"/>
    <w:rsid w:val="0095489D"/>
    <w:rsid w:val="00957233"/>
    <w:rsid w:val="009572A3"/>
    <w:rsid w:val="0096194B"/>
    <w:rsid w:val="00962019"/>
    <w:rsid w:val="009720CE"/>
    <w:rsid w:val="00975D46"/>
    <w:rsid w:val="00977CB8"/>
    <w:rsid w:val="009803BB"/>
    <w:rsid w:val="00983446"/>
    <w:rsid w:val="009868C6"/>
    <w:rsid w:val="00990420"/>
    <w:rsid w:val="00996D62"/>
    <w:rsid w:val="009B4428"/>
    <w:rsid w:val="009B7093"/>
    <w:rsid w:val="009C3DD2"/>
    <w:rsid w:val="009C5B97"/>
    <w:rsid w:val="009C6D53"/>
    <w:rsid w:val="009D264B"/>
    <w:rsid w:val="009E3812"/>
    <w:rsid w:val="009F0C39"/>
    <w:rsid w:val="00A20F4D"/>
    <w:rsid w:val="00A259CF"/>
    <w:rsid w:val="00A2725B"/>
    <w:rsid w:val="00A31B9D"/>
    <w:rsid w:val="00A32E6F"/>
    <w:rsid w:val="00A333ED"/>
    <w:rsid w:val="00A4067B"/>
    <w:rsid w:val="00A41A45"/>
    <w:rsid w:val="00A43849"/>
    <w:rsid w:val="00A50E3C"/>
    <w:rsid w:val="00A62171"/>
    <w:rsid w:val="00A66A83"/>
    <w:rsid w:val="00A701DE"/>
    <w:rsid w:val="00A753C5"/>
    <w:rsid w:val="00A864C9"/>
    <w:rsid w:val="00A86F82"/>
    <w:rsid w:val="00A94D09"/>
    <w:rsid w:val="00AB08AB"/>
    <w:rsid w:val="00AB3105"/>
    <w:rsid w:val="00AC1F59"/>
    <w:rsid w:val="00AD6C69"/>
    <w:rsid w:val="00AE0BF9"/>
    <w:rsid w:val="00AE18EF"/>
    <w:rsid w:val="00AE7AAA"/>
    <w:rsid w:val="00AF294A"/>
    <w:rsid w:val="00B0173B"/>
    <w:rsid w:val="00B023B0"/>
    <w:rsid w:val="00B05248"/>
    <w:rsid w:val="00B053C9"/>
    <w:rsid w:val="00B15F21"/>
    <w:rsid w:val="00B1773B"/>
    <w:rsid w:val="00B2209C"/>
    <w:rsid w:val="00B33B13"/>
    <w:rsid w:val="00B4443D"/>
    <w:rsid w:val="00B5142F"/>
    <w:rsid w:val="00B637ED"/>
    <w:rsid w:val="00B67636"/>
    <w:rsid w:val="00B67B16"/>
    <w:rsid w:val="00B80EF1"/>
    <w:rsid w:val="00B8798E"/>
    <w:rsid w:val="00B90D66"/>
    <w:rsid w:val="00B95C38"/>
    <w:rsid w:val="00BC48C0"/>
    <w:rsid w:val="00BD0AF7"/>
    <w:rsid w:val="00C005BD"/>
    <w:rsid w:val="00C03F27"/>
    <w:rsid w:val="00C16A83"/>
    <w:rsid w:val="00C24CC2"/>
    <w:rsid w:val="00C264A4"/>
    <w:rsid w:val="00C363D6"/>
    <w:rsid w:val="00C51554"/>
    <w:rsid w:val="00C5731F"/>
    <w:rsid w:val="00C81541"/>
    <w:rsid w:val="00C8561C"/>
    <w:rsid w:val="00CA34CD"/>
    <w:rsid w:val="00CB05DE"/>
    <w:rsid w:val="00CB2738"/>
    <w:rsid w:val="00CC4A79"/>
    <w:rsid w:val="00CC5DDB"/>
    <w:rsid w:val="00CD077C"/>
    <w:rsid w:val="00CD2325"/>
    <w:rsid w:val="00CE0449"/>
    <w:rsid w:val="00CE6D0F"/>
    <w:rsid w:val="00CF4135"/>
    <w:rsid w:val="00CF7873"/>
    <w:rsid w:val="00D128EF"/>
    <w:rsid w:val="00D5284D"/>
    <w:rsid w:val="00D52DCF"/>
    <w:rsid w:val="00D56978"/>
    <w:rsid w:val="00D6111E"/>
    <w:rsid w:val="00D8143B"/>
    <w:rsid w:val="00D82CDF"/>
    <w:rsid w:val="00D86011"/>
    <w:rsid w:val="00D91D0F"/>
    <w:rsid w:val="00DA31D1"/>
    <w:rsid w:val="00DA3E2F"/>
    <w:rsid w:val="00DA6B55"/>
    <w:rsid w:val="00DB0490"/>
    <w:rsid w:val="00DB2089"/>
    <w:rsid w:val="00DC7BF6"/>
    <w:rsid w:val="00DC7DFD"/>
    <w:rsid w:val="00DD0D3B"/>
    <w:rsid w:val="00DD7870"/>
    <w:rsid w:val="00DF02B4"/>
    <w:rsid w:val="00DF4820"/>
    <w:rsid w:val="00E02151"/>
    <w:rsid w:val="00E051F2"/>
    <w:rsid w:val="00E1016A"/>
    <w:rsid w:val="00E149C3"/>
    <w:rsid w:val="00E169C2"/>
    <w:rsid w:val="00E1749A"/>
    <w:rsid w:val="00E22640"/>
    <w:rsid w:val="00E23E1F"/>
    <w:rsid w:val="00E427B1"/>
    <w:rsid w:val="00E43BA3"/>
    <w:rsid w:val="00E563CC"/>
    <w:rsid w:val="00E60B3C"/>
    <w:rsid w:val="00E65FE5"/>
    <w:rsid w:val="00E662C6"/>
    <w:rsid w:val="00E67F2F"/>
    <w:rsid w:val="00E70F61"/>
    <w:rsid w:val="00E83B7A"/>
    <w:rsid w:val="00E87142"/>
    <w:rsid w:val="00EA3A72"/>
    <w:rsid w:val="00EB1295"/>
    <w:rsid w:val="00EB69C7"/>
    <w:rsid w:val="00EE3F8B"/>
    <w:rsid w:val="00EF094A"/>
    <w:rsid w:val="00F16B4E"/>
    <w:rsid w:val="00F247B7"/>
    <w:rsid w:val="00F379A4"/>
    <w:rsid w:val="00F46009"/>
    <w:rsid w:val="00F51E1A"/>
    <w:rsid w:val="00F55962"/>
    <w:rsid w:val="00F62919"/>
    <w:rsid w:val="00F723F9"/>
    <w:rsid w:val="00F733A0"/>
    <w:rsid w:val="00F80566"/>
    <w:rsid w:val="00F84200"/>
    <w:rsid w:val="00F91C4B"/>
    <w:rsid w:val="00F9658F"/>
    <w:rsid w:val="00FA022F"/>
    <w:rsid w:val="00FB2A98"/>
    <w:rsid w:val="00FB3924"/>
    <w:rsid w:val="00FE3A40"/>
    <w:rsid w:val="00FF164B"/>
    <w:rsid w:val="02140AF5"/>
    <w:rsid w:val="0289FE5A"/>
    <w:rsid w:val="02CC4B1E"/>
    <w:rsid w:val="03C54CBB"/>
    <w:rsid w:val="062CB5BE"/>
    <w:rsid w:val="0819FCE9"/>
    <w:rsid w:val="090B55C1"/>
    <w:rsid w:val="094AAE9B"/>
    <w:rsid w:val="0BBCAA1B"/>
    <w:rsid w:val="0BD401E0"/>
    <w:rsid w:val="0C29847B"/>
    <w:rsid w:val="0C796A62"/>
    <w:rsid w:val="0CF7FF35"/>
    <w:rsid w:val="0D9B3227"/>
    <w:rsid w:val="0DEDE455"/>
    <w:rsid w:val="0E2035A1"/>
    <w:rsid w:val="0F3435CA"/>
    <w:rsid w:val="10AE98FF"/>
    <w:rsid w:val="12D3E01A"/>
    <w:rsid w:val="1383146F"/>
    <w:rsid w:val="16D826DE"/>
    <w:rsid w:val="16F3D1D2"/>
    <w:rsid w:val="179AD73F"/>
    <w:rsid w:val="17CE7134"/>
    <w:rsid w:val="18C67FF1"/>
    <w:rsid w:val="1A0E3B17"/>
    <w:rsid w:val="1C02CDC6"/>
    <w:rsid w:val="1D2AAAD0"/>
    <w:rsid w:val="1D843B14"/>
    <w:rsid w:val="1E8DC6D8"/>
    <w:rsid w:val="1ED9D393"/>
    <w:rsid w:val="1F0C3BBF"/>
    <w:rsid w:val="230A2E0B"/>
    <w:rsid w:val="2337E4C5"/>
    <w:rsid w:val="23ED34B6"/>
    <w:rsid w:val="246E5599"/>
    <w:rsid w:val="247FD6F8"/>
    <w:rsid w:val="25039CE9"/>
    <w:rsid w:val="25F7B5F1"/>
    <w:rsid w:val="26DEA4DC"/>
    <w:rsid w:val="26EA28DE"/>
    <w:rsid w:val="278BBE98"/>
    <w:rsid w:val="2BC946E7"/>
    <w:rsid w:val="2D32D48D"/>
    <w:rsid w:val="2D8179A3"/>
    <w:rsid w:val="2DCEBEEA"/>
    <w:rsid w:val="2F5571EF"/>
    <w:rsid w:val="2F6824A3"/>
    <w:rsid w:val="300FAD25"/>
    <w:rsid w:val="302CED2D"/>
    <w:rsid w:val="312AA40A"/>
    <w:rsid w:val="338190D4"/>
    <w:rsid w:val="345B3911"/>
    <w:rsid w:val="362BB6E1"/>
    <w:rsid w:val="36F0A264"/>
    <w:rsid w:val="38080AAD"/>
    <w:rsid w:val="3BDF5EF9"/>
    <w:rsid w:val="3BE8B686"/>
    <w:rsid w:val="3C5DCF6C"/>
    <w:rsid w:val="3E13D5B7"/>
    <w:rsid w:val="3FE53B44"/>
    <w:rsid w:val="40A8427F"/>
    <w:rsid w:val="40EFF7AB"/>
    <w:rsid w:val="422A9E7A"/>
    <w:rsid w:val="451B2184"/>
    <w:rsid w:val="45AADF7A"/>
    <w:rsid w:val="48938959"/>
    <w:rsid w:val="48A464B9"/>
    <w:rsid w:val="48CB15D2"/>
    <w:rsid w:val="49464E6D"/>
    <w:rsid w:val="49CD90A2"/>
    <w:rsid w:val="4A54EA6A"/>
    <w:rsid w:val="4ABB7AB2"/>
    <w:rsid w:val="4C410070"/>
    <w:rsid w:val="4D9652DD"/>
    <w:rsid w:val="4EFD065F"/>
    <w:rsid w:val="4FF1F174"/>
    <w:rsid w:val="502D025D"/>
    <w:rsid w:val="5355BCF1"/>
    <w:rsid w:val="53708798"/>
    <w:rsid w:val="53840851"/>
    <w:rsid w:val="54A6AA1F"/>
    <w:rsid w:val="54DB3559"/>
    <w:rsid w:val="55491809"/>
    <w:rsid w:val="59556E72"/>
    <w:rsid w:val="5969FDC5"/>
    <w:rsid w:val="5A3F7967"/>
    <w:rsid w:val="5A40305E"/>
    <w:rsid w:val="5A8C5A5E"/>
    <w:rsid w:val="5B092D93"/>
    <w:rsid w:val="5B52BB2E"/>
    <w:rsid w:val="5C206285"/>
    <w:rsid w:val="5C91160B"/>
    <w:rsid w:val="5D569C79"/>
    <w:rsid w:val="5D56DDC6"/>
    <w:rsid w:val="5D80AF99"/>
    <w:rsid w:val="5E4F1B49"/>
    <w:rsid w:val="5E5E9FAA"/>
    <w:rsid w:val="5E9326F8"/>
    <w:rsid w:val="5F1F115A"/>
    <w:rsid w:val="5F80232E"/>
    <w:rsid w:val="6128267B"/>
    <w:rsid w:val="62188B6A"/>
    <w:rsid w:val="62517741"/>
    <w:rsid w:val="6295AFC7"/>
    <w:rsid w:val="630FAD37"/>
    <w:rsid w:val="63C3E4DD"/>
    <w:rsid w:val="63FC27CF"/>
    <w:rsid w:val="64170114"/>
    <w:rsid w:val="6450B2F2"/>
    <w:rsid w:val="64AE798D"/>
    <w:rsid w:val="6718087B"/>
    <w:rsid w:val="67A7E6F4"/>
    <w:rsid w:val="67CA737B"/>
    <w:rsid w:val="67E45E6F"/>
    <w:rsid w:val="69201CC3"/>
    <w:rsid w:val="699B075D"/>
    <w:rsid w:val="69F4B7B2"/>
    <w:rsid w:val="6BB5A511"/>
    <w:rsid w:val="6C5F2385"/>
    <w:rsid w:val="6D9C7796"/>
    <w:rsid w:val="6DE496CF"/>
    <w:rsid w:val="6FDD91BB"/>
    <w:rsid w:val="737167D9"/>
    <w:rsid w:val="75D3D9D1"/>
    <w:rsid w:val="75E1A8C4"/>
    <w:rsid w:val="76DF03FA"/>
    <w:rsid w:val="76ED3004"/>
    <w:rsid w:val="78A31314"/>
    <w:rsid w:val="79F0795D"/>
    <w:rsid w:val="7A600C6A"/>
    <w:rsid w:val="7DE7DB92"/>
    <w:rsid w:val="7DF39D32"/>
    <w:rsid w:val="7E159599"/>
    <w:rsid w:val="7E74ECC5"/>
    <w:rsid w:val="7F37A132"/>
    <w:rsid w:val="7FFAD4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5735B2"/>
    <w:pPr>
      <w:spacing w:after="120" w:line="312" w:lineRule="auto"/>
    </w:pPr>
    <w:rPr>
      <w:color w:val="1A1A1A" w:themeColor="text1"/>
      <w:sz w:val="24"/>
    </w:rPr>
  </w:style>
  <w:style w:type="paragraph" w:styleId="Heading1">
    <w:name w:val="heading 1"/>
    <w:basedOn w:val="Normal"/>
    <w:next w:val="Normal"/>
    <w:link w:val="Heading1Char"/>
    <w:uiPriority w:val="9"/>
    <w:qFormat/>
    <w:rsid w:val="005735B2"/>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5735B2"/>
    <w:pPr>
      <w:outlineLvl w:val="1"/>
    </w:pPr>
    <w:rPr>
      <w:sz w:val="36"/>
      <w:szCs w:val="40"/>
    </w:rPr>
  </w:style>
  <w:style w:type="paragraph" w:styleId="Heading3">
    <w:name w:val="heading 3"/>
    <w:basedOn w:val="Normal"/>
    <w:next w:val="Normal"/>
    <w:link w:val="Heading3Char"/>
    <w:uiPriority w:val="9"/>
    <w:unhideWhenUsed/>
    <w:rsid w:val="00043F02"/>
    <w:pPr>
      <w:keepNext/>
      <w:keepLines/>
      <w:spacing w:line="240" w:lineRule="auto"/>
      <w:outlineLvl w:val="2"/>
    </w:pPr>
    <w:rPr>
      <w:rFonts w:asciiTheme="majorHAnsi" w:eastAsiaTheme="majorEastAsia" w:hAnsiTheme="majorHAnsi" w:cstheme="majorBidi"/>
      <w:b/>
      <w:i/>
      <w:iCs/>
      <w:color w:val="183053" w:themeColor="accent5" w:themeShade="BF"/>
      <w:szCs w:val="24"/>
    </w:rPr>
  </w:style>
  <w:style w:type="paragraph" w:styleId="Heading4">
    <w:name w:val="heading 4"/>
    <w:basedOn w:val="Normal"/>
    <w:next w:val="Normal"/>
    <w:link w:val="Heading4Char"/>
    <w:autoRedefine/>
    <w:uiPriority w:val="9"/>
    <w:unhideWhenUsed/>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5735B2"/>
    <w:pPr>
      <w:spacing w:before="120" w:after="120" w:line="240" w:lineRule="auto"/>
      <w:contextualSpacing/>
    </w:pPr>
    <w:rPr>
      <w:rFonts w:asciiTheme="majorHAnsi" w:eastAsiaTheme="majorEastAsia" w:hAnsiTheme="majorHAnsi" w:cstheme="majorBidi"/>
      <w:b/>
      <w:color w:val="36335C"/>
      <w:spacing w:val="-10"/>
      <w:kern w:val="28"/>
      <w:sz w:val="52"/>
      <w:szCs w:val="56"/>
    </w:rPr>
  </w:style>
  <w:style w:type="character" w:customStyle="1" w:styleId="TitleChar">
    <w:name w:val="Title Char"/>
    <w:basedOn w:val="DefaultParagraphFont"/>
    <w:link w:val="Title"/>
    <w:uiPriority w:val="10"/>
    <w:rsid w:val="005735B2"/>
    <w:rPr>
      <w:rFonts w:asciiTheme="majorHAnsi" w:eastAsiaTheme="majorEastAsia" w:hAnsiTheme="majorHAnsi" w:cstheme="majorBidi"/>
      <w:b/>
      <w:color w:val="36335C"/>
      <w:spacing w:val="-10"/>
      <w:kern w:val="28"/>
      <w:sz w:val="52"/>
      <w:szCs w:val="56"/>
    </w:rPr>
  </w:style>
  <w:style w:type="paragraph" w:styleId="Subtitle">
    <w:name w:val="Subtitle"/>
    <w:basedOn w:val="Normal"/>
    <w:next w:val="Normal"/>
    <w:link w:val="SubtitleChar"/>
    <w:uiPriority w:val="11"/>
    <w:qFormat/>
    <w:rsid w:val="005735B2"/>
    <w:pPr>
      <w:numPr>
        <w:ilvl w:val="1"/>
      </w:numPr>
      <w:spacing w:line="240" w:lineRule="auto"/>
    </w:pPr>
    <w:rPr>
      <w:rFonts w:eastAsiaTheme="minorEastAsia"/>
      <w:sz w:val="44"/>
    </w:rPr>
  </w:style>
  <w:style w:type="character" w:customStyle="1" w:styleId="SubtitleChar">
    <w:name w:val="Subtitle Char"/>
    <w:basedOn w:val="DefaultParagraphFont"/>
    <w:link w:val="Subtitle"/>
    <w:uiPriority w:val="11"/>
    <w:rsid w:val="005735B2"/>
    <w:rPr>
      <w:rFonts w:eastAsiaTheme="minorEastAsia"/>
      <w:color w:val="1A1A1A" w:themeColor="text1"/>
      <w:sz w:val="44"/>
    </w:rPr>
  </w:style>
  <w:style w:type="paragraph" w:styleId="NoSpacing">
    <w:name w:val="No Spacing"/>
    <w:aliases w:val="Intro text"/>
    <w:uiPriority w:val="1"/>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5735B2"/>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5735B2"/>
    <w:rPr>
      <w:rFonts w:eastAsiaTheme="majorEastAsia" w:cstheme="minorHAnsi"/>
      <w:b/>
      <w:color w:val="0E7482"/>
      <w:sz w:val="36"/>
      <w:szCs w:val="40"/>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2"/>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43F02"/>
    <w:rPr>
      <w:rFonts w:asciiTheme="majorHAnsi" w:eastAsiaTheme="majorEastAsia" w:hAnsiTheme="majorHAnsi" w:cstheme="majorBidi"/>
      <w:b/>
      <w:i/>
      <w:iCs/>
      <w:color w:val="183053" w:themeColor="accent5" w:themeShade="BF"/>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4"/>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DF4820"/>
    <w:pPr>
      <w:spacing w:after="60" w:line="240" w:lineRule="auto"/>
    </w:pPr>
    <w:rPr>
      <w:color w:val="1A1A1A" w:themeColor="text1"/>
    </w:rPr>
  </w:style>
  <w:style w:type="character" w:customStyle="1" w:styleId="TablecopyChar">
    <w:name w:val="Table copy Char"/>
    <w:basedOn w:val="DefaultParagraphFont"/>
    <w:link w:val="Tablecopy"/>
    <w:rsid w:val="00DF4820"/>
    <w:rPr>
      <w:color w:val="1A1A1A" w:themeColor="text1"/>
    </w:rPr>
  </w:style>
  <w:style w:type="paragraph" w:styleId="Header">
    <w:name w:val="header"/>
    <w:link w:val="HeaderChar"/>
    <w:autoRedefine/>
    <w:uiPriority w:val="99"/>
    <w:unhideWhenUsed/>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5735B2"/>
    <w:pPr>
      <w:numPr>
        <w:numId w:val="5"/>
      </w:numPr>
      <w:spacing w:after="120" w:line="312" w:lineRule="auto"/>
      <w:ind w:left="568" w:hanging="284"/>
    </w:pPr>
    <w:rPr>
      <w:color w:val="1A1A1A" w:themeColor="text1"/>
      <w:sz w:val="24"/>
    </w:rPr>
  </w:style>
  <w:style w:type="character" w:customStyle="1" w:styleId="BulletL1Char">
    <w:name w:val="Bullet L1 Char"/>
    <w:basedOn w:val="DefaultParagraphFont"/>
    <w:link w:val="BulletL1"/>
    <w:rsid w:val="005735B2"/>
    <w:rPr>
      <w:color w:val="1A1A1A" w:themeColor="text1"/>
      <w:sz w:val="24"/>
    </w:rPr>
  </w:style>
  <w:style w:type="paragraph" w:customStyle="1" w:styleId="BulletL2">
    <w:name w:val="Bullet L2"/>
    <w:link w:val="BulletL2Char"/>
    <w:autoRedefine/>
    <w:rsid w:val="00DA6B55"/>
    <w:pPr>
      <w:numPr>
        <w:numId w:val="6"/>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rsid w:val="00DA6B55"/>
    <w:pPr>
      <w:numPr>
        <w:numId w:val="7"/>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DF4820"/>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rsid w:val="00DA6B55"/>
    <w:pPr>
      <w:numPr>
        <w:ilvl w:val="1"/>
        <w:numId w:val="13"/>
      </w:numPr>
      <w:ind w:left="1134" w:hanging="567"/>
      <w:contextualSpacing/>
    </w:pPr>
    <w:rPr>
      <w:color w:val="auto"/>
      <w:spacing w:val="-2"/>
      <w:kern w:val="0"/>
      <w14:ligatures w14:val="none"/>
    </w:rPr>
  </w:style>
  <w:style w:type="paragraph" w:styleId="ListNumber3">
    <w:name w:val="List Number 3"/>
    <w:aliases w:val="List Number L3"/>
    <w:basedOn w:val="Normal"/>
    <w:uiPriority w:val="4"/>
    <w:rsid w:val="00DA6B55"/>
    <w:pPr>
      <w:numPr>
        <w:ilvl w:val="2"/>
        <w:numId w:val="13"/>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rsid w:val="00DA6B55"/>
    <w:pPr>
      <w:numPr>
        <w:numId w:val="13"/>
      </w:numPr>
      <w:ind w:left="568" w:hanging="284"/>
    </w:pPr>
    <w:rPr>
      <w:color w:val="auto"/>
      <w:spacing w:val="-2"/>
      <w:kern w:val="0"/>
      <w14:ligatures w14:val="none"/>
    </w:rPr>
  </w:style>
  <w:style w:type="paragraph" w:styleId="ListParagraph">
    <w:name w:val="List Paragraph"/>
    <w:basedOn w:val="Normal"/>
    <w:uiPriority w:val="34"/>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4"/>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6"/>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DF4820"/>
    <w:pPr>
      <w:numPr>
        <w:numId w:val="17"/>
      </w:numPr>
      <w:ind w:left="226" w:hanging="113"/>
    </w:pPr>
  </w:style>
  <w:style w:type="paragraph" w:customStyle="1" w:styleId="Tableheadingblack">
    <w:name w:val="Table heading black"/>
    <w:basedOn w:val="Tableheadingwhite"/>
    <w:next w:val="Normal"/>
    <w:autoRedefine/>
    <w:qFormat/>
    <w:rsid w:val="00DF4820"/>
    <w:rPr>
      <w:color w:val="1A1A1A" w:themeColor="text1"/>
      <w:sz w:val="22"/>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F80566"/>
    <w:pPr>
      <w:spacing w:after="0" w:line="240" w:lineRule="auto"/>
    </w:pPr>
    <w:rPr>
      <w:color w:val="1A1A1A" w:themeColor="text1"/>
      <w:sz w:val="24"/>
    </w:rPr>
  </w:style>
  <w:style w:type="character" w:styleId="CommentReference">
    <w:name w:val="annotation reference"/>
    <w:basedOn w:val="DefaultParagraphFont"/>
    <w:uiPriority w:val="99"/>
    <w:semiHidden/>
    <w:unhideWhenUsed/>
    <w:rsid w:val="00CE0449"/>
    <w:rPr>
      <w:sz w:val="16"/>
      <w:szCs w:val="16"/>
    </w:rPr>
  </w:style>
  <w:style w:type="paragraph" w:styleId="CommentText">
    <w:name w:val="annotation text"/>
    <w:basedOn w:val="Normal"/>
    <w:link w:val="CommentTextChar"/>
    <w:uiPriority w:val="99"/>
    <w:unhideWhenUsed/>
    <w:rsid w:val="00CE0449"/>
    <w:pPr>
      <w:spacing w:line="240" w:lineRule="auto"/>
    </w:pPr>
    <w:rPr>
      <w:sz w:val="20"/>
      <w:szCs w:val="20"/>
    </w:rPr>
  </w:style>
  <w:style w:type="character" w:customStyle="1" w:styleId="CommentTextChar">
    <w:name w:val="Comment Text Char"/>
    <w:basedOn w:val="DefaultParagraphFont"/>
    <w:link w:val="CommentText"/>
    <w:uiPriority w:val="99"/>
    <w:rsid w:val="00CE0449"/>
    <w:rPr>
      <w:color w:val="1A1A1A" w:themeColor="text1"/>
      <w:sz w:val="20"/>
      <w:szCs w:val="20"/>
    </w:rPr>
  </w:style>
  <w:style w:type="paragraph" w:styleId="CommentSubject">
    <w:name w:val="annotation subject"/>
    <w:basedOn w:val="CommentText"/>
    <w:next w:val="CommentText"/>
    <w:link w:val="CommentSubjectChar"/>
    <w:uiPriority w:val="99"/>
    <w:semiHidden/>
    <w:unhideWhenUsed/>
    <w:rsid w:val="00CE0449"/>
    <w:rPr>
      <w:b/>
      <w:bCs/>
    </w:rPr>
  </w:style>
  <w:style w:type="character" w:customStyle="1" w:styleId="CommentSubjectChar">
    <w:name w:val="Comment Subject Char"/>
    <w:basedOn w:val="CommentTextChar"/>
    <w:link w:val="CommentSubject"/>
    <w:uiPriority w:val="99"/>
    <w:semiHidden/>
    <w:rsid w:val="00CE0449"/>
    <w:rPr>
      <w:b/>
      <w:bCs/>
      <w:color w:val="1A1A1A" w:themeColor="text1"/>
      <w:sz w:val="20"/>
      <w:szCs w:val="20"/>
    </w:rPr>
  </w:style>
  <w:style w:type="table" w:styleId="ListTable2">
    <w:name w:val="List Table 2"/>
    <w:basedOn w:val="TableNormal"/>
    <w:uiPriority w:val="47"/>
    <w:rsid w:val="00DF4820"/>
    <w:pPr>
      <w:spacing w:after="0" w:line="240" w:lineRule="auto"/>
    </w:p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Footerbody">
    <w:name w:val="Footer body"/>
    <w:basedOn w:val="Footer"/>
    <w:link w:val="FooterbodyChar"/>
    <w:qFormat/>
    <w:rsid w:val="0053644A"/>
    <w:pPr>
      <w:tabs>
        <w:tab w:val="left" w:pos="255"/>
      </w:tabs>
      <w:suppressAutoHyphens/>
      <w:autoSpaceDE w:val="0"/>
      <w:autoSpaceDN w:val="0"/>
      <w:adjustRightInd w:val="0"/>
      <w:spacing w:after="120" w:line="312" w:lineRule="auto"/>
      <w:textAlignment w:val="center"/>
    </w:pPr>
    <w:rPr>
      <w:rFonts w:ascii="Arial" w:hAnsi="Arial" w:cs="Arial"/>
      <w:color w:val="000000"/>
      <w:kern w:val="0"/>
      <w:sz w:val="18"/>
      <w:szCs w:val="18"/>
      <w:lang w:val="en-GB"/>
    </w:rPr>
  </w:style>
  <w:style w:type="character" w:customStyle="1" w:styleId="FooterbodyChar">
    <w:name w:val="Footer body Char"/>
    <w:basedOn w:val="FooterChar"/>
    <w:link w:val="Footerbody"/>
    <w:rsid w:val="0053644A"/>
    <w:rPr>
      <w:rFonts w:ascii="Arial" w:hAnsi="Arial" w:cs="Arial"/>
      <w:color w:val="000000"/>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ac.tas.gov.au/divisions/cpp/community-and-disability-services/office-of-the-senior-practitioner" TargetMode="External"/><Relationship Id="rId18" Type="http://schemas.openxmlformats.org/officeDocument/2006/relationships/hyperlink" Target="https://www.legislation.tas.gov.au/view/whole/html/asmade/act-2024-02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niorpractitioner@dpac.tas.gov.au" TargetMode="External"/><Relationship Id="rId7" Type="http://schemas.openxmlformats.org/officeDocument/2006/relationships/webSettings" Target="webSettings.xml"/><Relationship Id="rId12" Type="http://schemas.openxmlformats.org/officeDocument/2006/relationships/hyperlink" Target="https://www.dpac.tas.gov.au/divisions/cpp/community-and-disability-services/office-of-the-senior-practitioner" TargetMode="External"/><Relationship Id="rId17" Type="http://schemas.openxmlformats.org/officeDocument/2006/relationships/hyperlink" Target="file:///C:\Users\David.Badcock\Downloads\Disability%20Rights,%20Inclusion%20and%20Safeguarding%20Regulations%20202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tas.gov.au/view/whole/html/asmade/act-2024-021" TargetMode="External"/><Relationship Id="rId20" Type="http://schemas.openxmlformats.org/officeDocument/2006/relationships/hyperlink" Target="https://www.ndiscommission.gov.au/rules-and-standards/behaviour-support-and-restrictive-practices/behaviour-suppor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ac.tas.gov.au/divisions/cpp/community-and-disability-services/office-of-the-senior-practitioner"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dpac.tas.gov.au/divisions/cpp/community-and-disability-services/office-of-the-senior-practitioner" TargetMode="External"/><Relationship Id="rId23" Type="http://schemas.openxmlformats.org/officeDocument/2006/relationships/footer" Target="footer1.xml"/><Relationship Id="rId10" Type="http://schemas.openxmlformats.org/officeDocument/2006/relationships/hyperlink" Target="https://www.legislation.tas.gov.au/view/whole/html/asmade/act-2024-021" TargetMode="External"/><Relationship Id="rId19" Type="http://schemas.openxmlformats.org/officeDocument/2006/relationships/hyperlink" Target="https://www.dpac.tas.gov.au/divisions/cpp/community-and-disability-services/disability-inclusion-and-safeguarding-ac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pac.tas.gov.au/divisions/cpp/community-and-disability-services/office-of-the-senior-practitione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82B4-43C6-4E4B-AAB6-00AD4581F7DD}">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2.xml><?xml version="1.0" encoding="utf-8"?>
<ds:datastoreItem xmlns:ds="http://schemas.openxmlformats.org/officeDocument/2006/customXml" ds:itemID="{1CD326CC-33C6-47C4-982B-112C5563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650DD-DD9A-4E9B-9CE1-5BB64F9B9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Badcock, David</cp:lastModifiedBy>
  <cp:revision>2</cp:revision>
  <dcterms:created xsi:type="dcterms:W3CDTF">2025-07-11T05:14:00Z</dcterms:created>
  <dcterms:modified xsi:type="dcterms:W3CDTF">2025-07-11T05:14:00Z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