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46528" w14:textId="77777777" w:rsidR="00F23254" w:rsidRPr="000E04AF" w:rsidRDefault="00F23254" w:rsidP="00723C12">
      <w:pPr>
        <w:keepNext/>
        <w:spacing w:after="160" w:line="259" w:lineRule="auto"/>
        <w:ind w:left="6095" w:right="-1276"/>
        <w:jc w:val="both"/>
        <w:outlineLvl w:val="2"/>
        <w:rPr>
          <w:rFonts w:ascii="Times New Roman" w:eastAsia="Times" w:hAnsi="Times New Roman" w:cs="Times New Roman"/>
          <w:b/>
          <w:sz w:val="32"/>
          <w:szCs w:val="20"/>
          <w:lang w:val="en-GB"/>
        </w:rPr>
      </w:pPr>
      <w:r w:rsidRPr="000E04AF">
        <w:rPr>
          <w:rFonts w:ascii="Times New Roman" w:eastAsia="Times" w:hAnsi="Times New Roman" w:cs="Times New Roman"/>
          <w:noProof/>
          <w:sz w:val="28"/>
          <w:szCs w:val="20"/>
          <w:lang w:val="en-GB"/>
        </w:rPr>
        <mc:AlternateContent>
          <mc:Choice Requires="wps">
            <w:drawing>
              <wp:anchor distT="0" distB="0" distL="114300" distR="114300" simplePos="0" relativeHeight="251659264" behindDoc="0" locked="0" layoutInCell="0" allowOverlap="1" wp14:anchorId="147D4CD3" wp14:editId="25F9050F">
                <wp:simplePos x="0" y="0"/>
                <wp:positionH relativeFrom="column">
                  <wp:posOffset>4220210</wp:posOffset>
                </wp:positionH>
                <wp:positionV relativeFrom="paragraph">
                  <wp:posOffset>241300</wp:posOffset>
                </wp:positionV>
                <wp:extent cx="1619885"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2A1D5"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3pt,19pt" to="459.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" o:allowincell="f"/>
            </w:pict>
          </mc:Fallback>
        </mc:AlternateContent>
      </w:r>
      <w:r w:rsidRPr="000E04AF">
        <w:rPr>
          <w:rFonts w:ascii="Times New Roman" w:eastAsia="Times" w:hAnsi="Times New Roman" w:cs="Times New Roman"/>
          <w:b/>
          <w:sz w:val="32"/>
          <w:szCs w:val="20"/>
          <w:lang w:val="en-GB"/>
        </w:rPr>
        <w:t xml:space="preserve">         T A S M A N I </w:t>
      </w:r>
      <w:proofErr w:type="gramStart"/>
      <w:r w:rsidRPr="000E04AF">
        <w:rPr>
          <w:rFonts w:ascii="Times New Roman" w:eastAsia="Times" w:hAnsi="Times New Roman" w:cs="Times New Roman"/>
          <w:b/>
          <w:sz w:val="32"/>
          <w:szCs w:val="20"/>
          <w:lang w:val="en-GB"/>
        </w:rPr>
        <w:t>A</w:t>
      </w:r>
      <w:proofErr w:type="gramEnd"/>
    </w:p>
    <w:p w14:paraId="13C9A0E7" w14:textId="6257DBF1" w:rsidR="00F23254" w:rsidRPr="000E04AF" w:rsidRDefault="00F23254" w:rsidP="00723C12">
      <w:pPr>
        <w:keepNext/>
        <w:spacing w:after="160" w:line="259" w:lineRule="auto"/>
        <w:ind w:left="6095" w:right="-1276"/>
        <w:jc w:val="both"/>
        <w:outlineLvl w:val="2"/>
        <w:rPr>
          <w:rFonts w:ascii="Times New Roman" w:eastAsia="Times" w:hAnsi="Times New Roman" w:cs="Times New Roman"/>
          <w:b/>
          <w:sz w:val="48"/>
          <w:szCs w:val="20"/>
          <w:lang w:val="en-GB"/>
        </w:rPr>
      </w:pPr>
      <w:r w:rsidRPr="000E04AF">
        <w:rPr>
          <w:rFonts w:ascii="Times New Roman" w:eastAsia="Times" w:hAnsi="Times New Roman" w:cs="Times New Roman"/>
          <w:b/>
          <w:sz w:val="48"/>
          <w:szCs w:val="20"/>
          <w:lang w:val="en-GB"/>
        </w:rPr>
        <w:t xml:space="preserve">  LAW REFORM</w:t>
      </w:r>
    </w:p>
    <w:p w14:paraId="482DE56E" w14:textId="70C4EDC9" w:rsidR="00F23254" w:rsidRPr="00C03F68" w:rsidRDefault="00F23254" w:rsidP="00C03F68">
      <w:pPr>
        <w:keepNext/>
        <w:spacing w:after="160" w:line="259" w:lineRule="auto"/>
        <w:ind w:left="6815" w:right="-1276"/>
        <w:jc w:val="both"/>
        <w:outlineLvl w:val="2"/>
        <w:rPr>
          <w:rFonts w:ascii="Times New Roman" w:eastAsia="Times" w:hAnsi="Times New Roman" w:cs="Times New Roman"/>
          <w:b/>
          <w:sz w:val="32"/>
          <w:szCs w:val="20"/>
          <w:lang w:val="en-GB"/>
        </w:rPr>
      </w:pPr>
      <w:r w:rsidRPr="000E04AF">
        <w:rPr>
          <w:rFonts w:ascii="Times New Roman" w:eastAsia="Times" w:hAnsi="Times New Roman" w:cs="Times New Roman"/>
          <w:noProof/>
          <w:sz w:val="28"/>
          <w:szCs w:val="20"/>
          <w:lang w:val="en-GB"/>
        </w:rPr>
        <mc:AlternateContent>
          <mc:Choice Requires="wps">
            <w:drawing>
              <wp:anchor distT="0" distB="0" distL="114300" distR="114300" simplePos="0" relativeHeight="251660288" behindDoc="0" locked="0" layoutInCell="0" allowOverlap="1" wp14:anchorId="5D43D216" wp14:editId="0DDF7455">
                <wp:simplePos x="0" y="0"/>
                <wp:positionH relativeFrom="column">
                  <wp:posOffset>4222115</wp:posOffset>
                </wp:positionH>
                <wp:positionV relativeFrom="paragraph">
                  <wp:posOffset>-6350</wp:posOffset>
                </wp:positionV>
                <wp:extent cx="161988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82963"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45pt,-.5pt" to="46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" o:allowincell="f"/>
            </w:pict>
          </mc:Fallback>
        </mc:AlternateContent>
      </w:r>
      <w:r w:rsidRPr="000E04AF">
        <w:rPr>
          <w:rFonts w:ascii="Times New Roman" w:eastAsia="Times" w:hAnsi="Times New Roman" w:cs="Times New Roman"/>
          <w:b/>
          <w:sz w:val="32"/>
          <w:szCs w:val="20"/>
          <w:lang w:val="en-GB"/>
        </w:rPr>
        <w:t>I N S T I T U T E</w:t>
      </w:r>
    </w:p>
    <w:p w14:paraId="23C77E8F" w14:textId="77777777" w:rsidR="00F23254" w:rsidRPr="008E437D" w:rsidRDefault="00F23254" w:rsidP="00F04EFD">
      <w:pPr>
        <w:jc w:val="right"/>
        <w:rPr>
          <w:rFonts w:ascii="Times New Roman" w:hAnsi="Times New Roman" w:cs="Times New Roman"/>
          <w:sz w:val="18"/>
          <w:szCs w:val="18"/>
        </w:rPr>
      </w:pPr>
      <w:r w:rsidRPr="008E437D">
        <w:rPr>
          <w:rFonts w:ascii="Times New Roman" w:hAnsi="Times New Roman" w:cs="Times New Roman"/>
          <w:sz w:val="18"/>
          <w:szCs w:val="18"/>
        </w:rPr>
        <w:t>Faculty of Law, Private Bag 89, Hobart, TAS 7001</w:t>
      </w:r>
    </w:p>
    <w:p w14:paraId="374F065F" w14:textId="77777777" w:rsidR="00F23254" w:rsidRPr="008E437D" w:rsidRDefault="00F23254" w:rsidP="00F04EFD">
      <w:pPr>
        <w:jc w:val="right"/>
        <w:rPr>
          <w:rFonts w:ascii="Times New Roman" w:hAnsi="Times New Roman" w:cs="Times New Roman"/>
          <w:sz w:val="18"/>
          <w:szCs w:val="18"/>
        </w:rPr>
      </w:pPr>
      <w:r w:rsidRPr="008E437D">
        <w:rPr>
          <w:rFonts w:ascii="Times New Roman" w:hAnsi="Times New Roman" w:cs="Times New Roman"/>
          <w:sz w:val="18"/>
          <w:szCs w:val="18"/>
        </w:rPr>
        <w:t>phone: (03) 6226 2069, fax: (03) 6226 7623</w:t>
      </w:r>
    </w:p>
    <w:p w14:paraId="6DB43CDB" w14:textId="7E6C7279" w:rsidR="00F23254" w:rsidRPr="008E437D" w:rsidRDefault="00F23254" w:rsidP="00F04EFD">
      <w:pPr>
        <w:jc w:val="right"/>
        <w:rPr>
          <w:rFonts w:ascii="Times New Roman" w:hAnsi="Times New Roman" w:cs="Times New Roman"/>
          <w:sz w:val="18"/>
          <w:szCs w:val="18"/>
        </w:rPr>
      </w:pPr>
      <w:r w:rsidRPr="008E437D">
        <w:rPr>
          <w:rFonts w:ascii="Times New Roman" w:hAnsi="Times New Roman" w:cs="Times New Roman"/>
          <w:sz w:val="18"/>
          <w:szCs w:val="18"/>
        </w:rPr>
        <w:t xml:space="preserve">Email: </w:t>
      </w:r>
      <w:hyperlink r:id="rId7" w:history="1">
        <w:r w:rsidR="008E437D" w:rsidRPr="000961B1">
          <w:rPr>
            <w:rStyle w:val="Hyperlink"/>
            <w:rFonts w:ascii="Times New Roman" w:hAnsi="Times New Roman" w:cs="Times New Roman"/>
            <w:sz w:val="18"/>
            <w:szCs w:val="18"/>
          </w:rPr>
          <w:t>Law.Reform@utas.edu.au</w:t>
        </w:r>
      </w:hyperlink>
      <w:r w:rsidR="008E437D">
        <w:rPr>
          <w:rFonts w:ascii="Times New Roman" w:hAnsi="Times New Roman" w:cs="Times New Roman"/>
          <w:sz w:val="18"/>
          <w:szCs w:val="18"/>
        </w:rPr>
        <w:t xml:space="preserve"> </w:t>
      </w:r>
    </w:p>
    <w:p w14:paraId="368F8F4D" w14:textId="77777777" w:rsidR="00F23254" w:rsidRPr="008E437D" w:rsidRDefault="00F23254" w:rsidP="00F04EFD">
      <w:pPr>
        <w:jc w:val="right"/>
        <w:rPr>
          <w:rFonts w:ascii="Times New Roman" w:hAnsi="Times New Roman" w:cs="Times New Roman"/>
          <w:sz w:val="18"/>
          <w:szCs w:val="18"/>
        </w:rPr>
      </w:pPr>
      <w:r w:rsidRPr="008E437D">
        <w:rPr>
          <w:rFonts w:ascii="Times New Roman" w:hAnsi="Times New Roman" w:cs="Times New Roman"/>
          <w:sz w:val="18"/>
          <w:szCs w:val="18"/>
        </w:rPr>
        <w:t>www.utas.edu.au/law-reform</w:t>
      </w:r>
    </w:p>
    <w:p w14:paraId="1B84982C" w14:textId="77777777" w:rsidR="00F04EFD" w:rsidRDefault="00F04EFD" w:rsidP="00723C12">
      <w:pPr>
        <w:pStyle w:val="NormalWeb"/>
        <w:spacing w:before="0" w:beforeAutospacing="0" w:after="0" w:afterAutospacing="0"/>
        <w:jc w:val="both"/>
        <w:rPr>
          <w:lang w:val="en-GB"/>
        </w:rPr>
      </w:pPr>
    </w:p>
    <w:p w14:paraId="440E2671" w14:textId="77777777" w:rsidR="00C03F68" w:rsidRDefault="00C03F68" w:rsidP="00723C12">
      <w:pPr>
        <w:pStyle w:val="NormalWeb"/>
        <w:spacing w:before="0" w:beforeAutospacing="0" w:after="0" w:afterAutospacing="0"/>
        <w:jc w:val="both"/>
        <w:rPr>
          <w:lang w:val="en-GB"/>
        </w:rPr>
      </w:pPr>
    </w:p>
    <w:p w14:paraId="2456EB25" w14:textId="33E06EF9" w:rsidR="0063389B" w:rsidRDefault="0063389B" w:rsidP="00723C12">
      <w:pPr>
        <w:pStyle w:val="NormalWeb"/>
        <w:spacing w:before="0" w:beforeAutospacing="0" w:after="0" w:afterAutospacing="0"/>
        <w:jc w:val="both"/>
        <w:rPr>
          <w:lang w:val="en-GB"/>
        </w:rPr>
      </w:pPr>
      <w:r w:rsidRPr="00734145">
        <w:rPr>
          <w:lang w:val="en-GB"/>
        </w:rPr>
        <w:t>Department of Premier and Cabinet</w:t>
      </w:r>
    </w:p>
    <w:p w14:paraId="0A021BFF" w14:textId="77777777" w:rsidR="00DA037A" w:rsidRDefault="00734145" w:rsidP="00723C12">
      <w:pPr>
        <w:pStyle w:val="NormalWeb"/>
        <w:spacing w:before="0" w:beforeAutospacing="0" w:after="0" w:afterAutospacing="0"/>
        <w:jc w:val="both"/>
        <w:rPr>
          <w:lang w:val="en-GB"/>
        </w:rPr>
      </w:pPr>
      <w:r w:rsidRPr="00734145">
        <w:rPr>
          <w:lang w:val="en-GB"/>
        </w:rPr>
        <w:t>Community and Disability Services</w:t>
      </w:r>
    </w:p>
    <w:p w14:paraId="581AE885" w14:textId="19707340" w:rsidR="0063389B" w:rsidRDefault="00734145" w:rsidP="00723C12">
      <w:pPr>
        <w:pStyle w:val="NormalWeb"/>
        <w:spacing w:before="0" w:beforeAutospacing="0" w:after="0" w:afterAutospacing="0"/>
        <w:jc w:val="both"/>
        <w:rPr>
          <w:lang w:val="en-GB"/>
        </w:rPr>
      </w:pPr>
      <w:r w:rsidRPr="00734145">
        <w:rPr>
          <w:lang w:val="en-GB"/>
        </w:rPr>
        <w:t>Community Partnerships and Priorities Division</w:t>
      </w:r>
    </w:p>
    <w:p w14:paraId="447C6CFD" w14:textId="77777777" w:rsidR="00F90D5A" w:rsidRDefault="00734145" w:rsidP="00723C12">
      <w:pPr>
        <w:pStyle w:val="NormalWeb"/>
        <w:spacing w:before="0" w:beforeAutospacing="0" w:after="0" w:afterAutospacing="0"/>
        <w:jc w:val="both"/>
        <w:rPr>
          <w:lang w:val="en-GB"/>
        </w:rPr>
      </w:pPr>
      <w:r w:rsidRPr="00734145">
        <w:rPr>
          <w:lang w:val="en-GB"/>
        </w:rPr>
        <w:t>GPO Box 123</w:t>
      </w:r>
    </w:p>
    <w:p w14:paraId="7A9DCF24" w14:textId="5B89D5AC" w:rsidR="000E04AF" w:rsidRDefault="00734145" w:rsidP="00723C12">
      <w:pPr>
        <w:pStyle w:val="NormalWeb"/>
        <w:spacing w:before="0" w:beforeAutospacing="0" w:after="0" w:afterAutospacing="0"/>
        <w:jc w:val="both"/>
        <w:rPr>
          <w:lang w:val="en-GB"/>
        </w:rPr>
      </w:pPr>
      <w:r w:rsidRPr="00734145">
        <w:rPr>
          <w:lang w:val="en-GB"/>
        </w:rPr>
        <w:t>Hobart</w:t>
      </w:r>
      <w:r w:rsidR="00F90D5A">
        <w:rPr>
          <w:lang w:val="en-GB"/>
        </w:rPr>
        <w:t xml:space="preserve"> TASMANIA</w:t>
      </w:r>
      <w:r w:rsidRPr="00734145">
        <w:rPr>
          <w:lang w:val="en-GB"/>
        </w:rPr>
        <w:t xml:space="preserve"> 7001</w:t>
      </w:r>
    </w:p>
    <w:p w14:paraId="21EA7EB2" w14:textId="77777777" w:rsidR="00F77C38" w:rsidRDefault="00F77C38" w:rsidP="00723C12">
      <w:pPr>
        <w:pStyle w:val="NormalWeb"/>
        <w:spacing w:before="0" w:beforeAutospacing="0" w:after="0" w:afterAutospacing="0"/>
        <w:jc w:val="both"/>
        <w:rPr>
          <w:lang w:val="en-GB"/>
        </w:rPr>
      </w:pPr>
    </w:p>
    <w:p w14:paraId="1441538D" w14:textId="7DC6C9CA" w:rsidR="00F77C38" w:rsidRDefault="00F77C38" w:rsidP="00723C12">
      <w:pPr>
        <w:pStyle w:val="NormalWeb"/>
        <w:spacing w:before="0" w:beforeAutospacing="0" w:after="0" w:afterAutospacing="0"/>
        <w:jc w:val="both"/>
        <w:rPr>
          <w:lang w:val="en-GB"/>
        </w:rPr>
      </w:pPr>
      <w:r>
        <w:rPr>
          <w:lang w:val="en-GB"/>
        </w:rPr>
        <w:t xml:space="preserve">Attn: </w:t>
      </w:r>
      <w:r w:rsidR="0015644C">
        <w:rPr>
          <w:lang w:val="en-GB"/>
        </w:rPr>
        <w:t>Maryanne Lewis</w:t>
      </w:r>
    </w:p>
    <w:p w14:paraId="63F6D346" w14:textId="77777777" w:rsidR="00653378" w:rsidRDefault="00653378" w:rsidP="00723C12">
      <w:pPr>
        <w:pStyle w:val="NormalWeb"/>
        <w:spacing w:before="0" w:beforeAutospacing="0" w:after="0" w:afterAutospacing="0"/>
        <w:jc w:val="both"/>
      </w:pPr>
    </w:p>
    <w:p w14:paraId="25C1C03E" w14:textId="31162605" w:rsidR="00CE1909" w:rsidRPr="000E04AF" w:rsidRDefault="000E04AF" w:rsidP="00723C12">
      <w:pPr>
        <w:pStyle w:val="NormalWeb"/>
        <w:spacing w:before="0" w:beforeAutospacing="0" w:after="0" w:afterAutospacing="0"/>
        <w:jc w:val="both"/>
      </w:pPr>
      <w:r>
        <w:t xml:space="preserve">By email: </w:t>
      </w:r>
      <w:hyperlink r:id="rId8" w:history="1">
        <w:r w:rsidR="00A961FE" w:rsidRPr="000961B1">
          <w:rPr>
            <w:rStyle w:val="Hyperlink"/>
          </w:rPr>
          <w:t>disabilityinclusionbill@dpac.tas.gov.au</w:t>
        </w:r>
      </w:hyperlink>
      <w:r w:rsidR="00A961FE">
        <w:t xml:space="preserve"> </w:t>
      </w:r>
    </w:p>
    <w:p w14:paraId="733B826F" w14:textId="72DA3960" w:rsidR="004768E1" w:rsidRDefault="009B6FFC" w:rsidP="00723C12">
      <w:pPr>
        <w:pStyle w:val="NormalWeb"/>
        <w:spacing w:before="0" w:beforeAutospacing="0" w:after="0" w:afterAutospacing="0"/>
        <w:jc w:val="both"/>
      </w:pPr>
      <w:r>
        <w:t>18</w:t>
      </w:r>
      <w:r w:rsidR="00A961FE">
        <w:t xml:space="preserve"> September </w:t>
      </w:r>
      <w:r w:rsidR="000E04AF">
        <w:t>2023</w:t>
      </w:r>
    </w:p>
    <w:p w14:paraId="7E271AD6" w14:textId="3D3D8A2B" w:rsidR="000E04AF" w:rsidRDefault="000E04AF" w:rsidP="00723C12">
      <w:pPr>
        <w:pStyle w:val="NormalWeb"/>
        <w:spacing w:before="0" w:beforeAutospacing="0" w:after="160" w:afterAutospacing="0" w:line="259" w:lineRule="auto"/>
        <w:jc w:val="both"/>
      </w:pPr>
    </w:p>
    <w:p w14:paraId="7CEA58ED" w14:textId="7ACFD017" w:rsidR="000E04AF" w:rsidRPr="000E04AF" w:rsidRDefault="000E04AF" w:rsidP="00723C12">
      <w:pPr>
        <w:pStyle w:val="NormalWeb"/>
        <w:spacing w:before="0" w:beforeAutospacing="0" w:after="160" w:afterAutospacing="0" w:line="259" w:lineRule="auto"/>
        <w:jc w:val="both"/>
      </w:pPr>
      <w:r>
        <w:t>To whom it may concern,</w:t>
      </w:r>
    </w:p>
    <w:p w14:paraId="3E795D43" w14:textId="1959440A" w:rsidR="004768E1" w:rsidRPr="008E437D" w:rsidRDefault="000E04AF" w:rsidP="00723C12">
      <w:pPr>
        <w:pStyle w:val="Heading1"/>
        <w:spacing w:before="0" w:after="160" w:line="259" w:lineRule="auto"/>
        <w:jc w:val="both"/>
        <w:rPr>
          <w:rFonts w:ascii="Times New Roman" w:hAnsi="Times New Roman" w:cs="Times New Roman"/>
          <w:b/>
          <w:bCs/>
          <w:color w:val="auto"/>
          <w:sz w:val="24"/>
          <w:szCs w:val="24"/>
        </w:rPr>
      </w:pPr>
      <w:r w:rsidRPr="008E437D">
        <w:rPr>
          <w:rFonts w:ascii="Times New Roman" w:hAnsi="Times New Roman" w:cs="Times New Roman"/>
          <w:b/>
          <w:bCs/>
          <w:color w:val="auto"/>
          <w:sz w:val="24"/>
          <w:szCs w:val="24"/>
        </w:rPr>
        <w:t xml:space="preserve">Re: </w:t>
      </w:r>
      <w:r w:rsidR="004C453B" w:rsidRPr="008E437D">
        <w:rPr>
          <w:rFonts w:ascii="Times New Roman" w:hAnsi="Times New Roman" w:cs="Times New Roman"/>
          <w:b/>
          <w:bCs/>
          <w:color w:val="auto"/>
          <w:sz w:val="24"/>
          <w:szCs w:val="24"/>
        </w:rPr>
        <w:t xml:space="preserve">Feedback on the Disability Inclusion Bill </w:t>
      </w:r>
      <w:r w:rsidR="000C011E" w:rsidRPr="008E437D">
        <w:rPr>
          <w:rFonts w:ascii="Times New Roman" w:hAnsi="Times New Roman" w:cs="Times New Roman"/>
          <w:b/>
          <w:bCs/>
          <w:color w:val="auto"/>
          <w:sz w:val="24"/>
          <w:szCs w:val="24"/>
        </w:rPr>
        <w:t>2023 (Tas)</w:t>
      </w:r>
    </w:p>
    <w:p w14:paraId="19684DEA" w14:textId="5EF7917D" w:rsidR="000C011E" w:rsidRDefault="00277E98" w:rsidP="00723C12">
      <w:pPr>
        <w:pStyle w:val="NormalWeb"/>
        <w:spacing w:before="0" w:beforeAutospacing="0" w:after="160" w:afterAutospacing="0" w:line="259" w:lineRule="auto"/>
        <w:jc w:val="both"/>
      </w:pPr>
      <w:r>
        <w:t>Thank you</w:t>
      </w:r>
      <w:r w:rsidR="00C81DC4" w:rsidRPr="000E04AF">
        <w:t xml:space="preserve"> for the opportunity to comment on this Bill. </w:t>
      </w:r>
      <w:r w:rsidR="000C011E">
        <w:t xml:space="preserve">This </w:t>
      </w:r>
      <w:r w:rsidR="00703CAF">
        <w:t xml:space="preserve">submission was prepared for the </w:t>
      </w:r>
      <w:r w:rsidR="00A6146A">
        <w:t>Tasmania Law Reform Institute (</w:t>
      </w:r>
      <w:r w:rsidR="00703CAF">
        <w:t>TLRI</w:t>
      </w:r>
      <w:r w:rsidR="00A6146A">
        <w:t>)</w:t>
      </w:r>
      <w:r w:rsidR="00703CAF">
        <w:t xml:space="preserve"> by Dr Yvette Maker, Senior Lecturer in Law at the University of Tasmania. </w:t>
      </w:r>
      <w:r w:rsidR="00984D54">
        <w:t xml:space="preserve">It draws on </w:t>
      </w:r>
      <w:r w:rsidR="00D01201">
        <w:t xml:space="preserve">Dr Maker’s research </w:t>
      </w:r>
      <w:r w:rsidR="00984D54">
        <w:t>on the design of human rights-compliant regulation of restrictive practices in disability and mental health care settings both generally, and specifically in relation to women.</w:t>
      </w:r>
      <w:bookmarkStart w:id="0" w:name="_Ref144909212"/>
      <w:r w:rsidR="00984D54">
        <w:rPr>
          <w:rStyle w:val="FootnoteReference"/>
        </w:rPr>
        <w:footnoteReference w:id="1"/>
      </w:r>
      <w:bookmarkEnd w:id="0"/>
      <w:r w:rsidR="00984D54">
        <w:t xml:space="preserve"> </w:t>
      </w:r>
      <w:r w:rsidR="00703CAF">
        <w:t>Dr Maker is a member of the Board of the TLRI.</w:t>
      </w:r>
    </w:p>
    <w:p w14:paraId="68A2147F" w14:textId="2E90BB17" w:rsidR="00AD10CA" w:rsidRDefault="00277E98" w:rsidP="00723C12">
      <w:pPr>
        <w:pStyle w:val="NormalWeb"/>
        <w:spacing w:before="0" w:beforeAutospacing="0" w:after="160" w:afterAutospacing="0" w:line="259" w:lineRule="auto"/>
        <w:jc w:val="both"/>
      </w:pPr>
      <w:r>
        <w:t xml:space="preserve">The TLRI supports </w:t>
      </w:r>
      <w:r w:rsidR="0022235E">
        <w:t xml:space="preserve">the objects and principles of the </w:t>
      </w:r>
      <w:r w:rsidR="00AD10CA">
        <w:t xml:space="preserve">Act on the basis that </w:t>
      </w:r>
      <w:r w:rsidR="00AD10CA">
        <w:rPr>
          <w:rFonts w:eastAsiaTheme="minorHAnsi"/>
          <w:lang w:eastAsia="en-US"/>
        </w:rPr>
        <w:t xml:space="preserve">they </w:t>
      </w:r>
      <w:r w:rsidR="00AD10CA" w:rsidRPr="008A724F">
        <w:t xml:space="preserve">clearly establish the importance of the protection, </w:t>
      </w:r>
      <w:proofErr w:type="gramStart"/>
      <w:r w:rsidR="00AD10CA" w:rsidRPr="008A724F">
        <w:t>realisation</w:t>
      </w:r>
      <w:proofErr w:type="gramEnd"/>
      <w:r w:rsidR="00AD10CA" w:rsidRPr="008A724F">
        <w:t xml:space="preserve"> and promotion of the human rights of people with disability, and the responsibility of the state and the community to contribute to these goals. </w:t>
      </w:r>
    </w:p>
    <w:p w14:paraId="557B5EAD" w14:textId="6B08C460" w:rsidR="00B719E1" w:rsidRPr="008A724F" w:rsidRDefault="00B719E1" w:rsidP="00723C12">
      <w:pPr>
        <w:pStyle w:val="NormalWeb"/>
        <w:spacing w:before="0" w:beforeAutospacing="0" w:after="160" w:afterAutospacing="0" w:line="259" w:lineRule="auto"/>
        <w:jc w:val="both"/>
      </w:pPr>
      <w:r>
        <w:t xml:space="preserve">The TLRI </w:t>
      </w:r>
      <w:r w:rsidRPr="008A724F">
        <w:t>consider</w:t>
      </w:r>
      <w:r>
        <w:t>s</w:t>
      </w:r>
      <w:r w:rsidRPr="008A724F">
        <w:t xml:space="preserve"> that the inclusion or amendment of some provisions could further strengthen the Bill’s alignment with human rights and inclusion principles</w:t>
      </w:r>
      <w:r>
        <w:t xml:space="preserve"> in relation to two matters:</w:t>
      </w:r>
    </w:p>
    <w:p w14:paraId="2428EC61" w14:textId="29C307E7" w:rsidR="00984D54" w:rsidRDefault="00984D54" w:rsidP="00020F26">
      <w:pPr>
        <w:pStyle w:val="ListParagraph"/>
        <w:numPr>
          <w:ilvl w:val="0"/>
          <w:numId w:val="27"/>
        </w:numPr>
        <w:tabs>
          <w:tab w:val="clear" w:pos="567"/>
        </w:tabs>
        <w:spacing w:after="160" w:line="259" w:lineRule="auto"/>
        <w:contextualSpacing w:val="0"/>
        <w:jc w:val="both"/>
        <w:rPr>
          <w:rFonts w:ascii="Times New Roman" w:hAnsi="Times New Roman" w:cs="Times New Roman"/>
        </w:rPr>
      </w:pPr>
      <w:r>
        <w:rPr>
          <w:rFonts w:ascii="Times New Roman" w:hAnsi="Times New Roman" w:cs="Times New Roman"/>
        </w:rPr>
        <w:lastRenderedPageBreak/>
        <w:t>system-level measures to support the reduction and elimination of restrictive practices; and</w:t>
      </w:r>
    </w:p>
    <w:p w14:paraId="5101151C" w14:textId="5CACF838" w:rsidR="00984D54" w:rsidRPr="00CB6DBA" w:rsidRDefault="00984D54" w:rsidP="00020F26">
      <w:pPr>
        <w:pStyle w:val="ListParagraph"/>
        <w:numPr>
          <w:ilvl w:val="0"/>
          <w:numId w:val="27"/>
        </w:numPr>
        <w:tabs>
          <w:tab w:val="clear" w:pos="567"/>
        </w:tabs>
        <w:spacing w:after="160" w:line="259" w:lineRule="auto"/>
        <w:contextualSpacing w:val="0"/>
        <w:jc w:val="both"/>
        <w:rPr>
          <w:rFonts w:ascii="Times New Roman" w:hAnsi="Times New Roman" w:cs="Times New Roman"/>
        </w:rPr>
      </w:pPr>
      <w:r>
        <w:rPr>
          <w:rFonts w:ascii="Times New Roman" w:hAnsi="Times New Roman" w:cs="Times New Roman"/>
        </w:rPr>
        <w:t xml:space="preserve">gender-sensitive approaches to the use, </w:t>
      </w:r>
      <w:proofErr w:type="gramStart"/>
      <w:r>
        <w:rPr>
          <w:rFonts w:ascii="Times New Roman" w:hAnsi="Times New Roman" w:cs="Times New Roman"/>
        </w:rPr>
        <w:t>reduction</w:t>
      </w:r>
      <w:proofErr w:type="gramEnd"/>
      <w:r>
        <w:rPr>
          <w:rFonts w:ascii="Times New Roman" w:hAnsi="Times New Roman" w:cs="Times New Roman"/>
        </w:rPr>
        <w:t xml:space="preserve"> and elimination of restrictive practices.</w:t>
      </w:r>
    </w:p>
    <w:p w14:paraId="22E6998A" w14:textId="77777777" w:rsidR="00301376" w:rsidRPr="00D25749" w:rsidRDefault="00301376" w:rsidP="00723C12">
      <w:pPr>
        <w:pStyle w:val="Heading1"/>
        <w:spacing w:before="0" w:after="160" w:line="259" w:lineRule="auto"/>
        <w:jc w:val="both"/>
        <w:rPr>
          <w:rFonts w:ascii="Times New Roman" w:hAnsi="Times New Roman" w:cs="Times New Roman"/>
          <w:b/>
          <w:bCs/>
          <w:color w:val="auto"/>
          <w:sz w:val="24"/>
          <w:szCs w:val="24"/>
        </w:rPr>
      </w:pPr>
      <w:r w:rsidRPr="00D25749">
        <w:rPr>
          <w:rFonts w:ascii="Times New Roman" w:hAnsi="Times New Roman" w:cs="Times New Roman"/>
          <w:b/>
          <w:bCs/>
          <w:color w:val="auto"/>
          <w:sz w:val="24"/>
          <w:szCs w:val="24"/>
        </w:rPr>
        <w:t xml:space="preserve">The Bill should include system-level reduction and elimination </w:t>
      </w:r>
      <w:proofErr w:type="gramStart"/>
      <w:r w:rsidRPr="00D25749">
        <w:rPr>
          <w:rFonts w:ascii="Times New Roman" w:hAnsi="Times New Roman" w:cs="Times New Roman"/>
          <w:b/>
          <w:bCs/>
          <w:color w:val="auto"/>
          <w:sz w:val="24"/>
          <w:szCs w:val="24"/>
        </w:rPr>
        <w:t>measures</w:t>
      </w:r>
      <w:proofErr w:type="gramEnd"/>
    </w:p>
    <w:p w14:paraId="455A0887" w14:textId="77777777" w:rsidR="00990E41" w:rsidRDefault="00990E41" w:rsidP="00723C12">
      <w:pPr>
        <w:spacing w:after="160" w:line="259" w:lineRule="auto"/>
        <w:jc w:val="both"/>
        <w:rPr>
          <w:rFonts w:ascii="Times New Roman" w:hAnsi="Times New Roman" w:cs="Times New Roman"/>
        </w:rPr>
      </w:pPr>
      <w:r>
        <w:rPr>
          <w:rFonts w:ascii="Times New Roman" w:hAnsi="Times New Roman" w:cs="Times New Roman"/>
        </w:rPr>
        <w:t>The TLRI supports</w:t>
      </w:r>
      <w:r w:rsidRPr="002249C0">
        <w:rPr>
          <w:rFonts w:ascii="Times New Roman" w:hAnsi="Times New Roman" w:cs="Times New Roman"/>
        </w:rPr>
        <w:t xml:space="preserve"> the emphasis in Part 7 of the Bill on the reduction and elimination of the use of restrictive practices. This is consistent with a range of initiatives in disability, mental health and aged care sectors around Australia to address high rates of restrictive practices use and </w:t>
      </w:r>
      <w:r>
        <w:rPr>
          <w:rFonts w:ascii="Times New Roman" w:hAnsi="Times New Roman" w:cs="Times New Roman"/>
        </w:rPr>
        <w:t xml:space="preserve">to </w:t>
      </w:r>
      <w:r w:rsidRPr="002249C0">
        <w:rPr>
          <w:rFonts w:ascii="Times New Roman" w:hAnsi="Times New Roman" w:cs="Times New Roman"/>
        </w:rPr>
        <w:t>support the implementation of alternatives on the basis that restrictive practices are inconsistent with human rights requirements and community expectations and can be dangerous, traumatising and counter-therapeutic.</w:t>
      </w:r>
      <w:bookmarkStart w:id="1" w:name="_Ref144889654"/>
      <w:r w:rsidRPr="002249C0">
        <w:rPr>
          <w:rStyle w:val="FootnoteReference"/>
          <w:rFonts w:ascii="Times New Roman" w:hAnsi="Times New Roman" w:cs="Times New Roman"/>
        </w:rPr>
        <w:footnoteReference w:id="2"/>
      </w:r>
      <w:bookmarkEnd w:id="1"/>
      <w:r>
        <w:rPr>
          <w:rFonts w:ascii="Times New Roman" w:hAnsi="Times New Roman" w:cs="Times New Roman"/>
        </w:rPr>
        <w:t xml:space="preserve"> The</w:t>
      </w:r>
      <w:r w:rsidRPr="002249C0">
        <w:rPr>
          <w:rFonts w:ascii="Times New Roman" w:hAnsi="Times New Roman" w:cs="Times New Roman"/>
        </w:rPr>
        <w:t xml:space="preserve"> ‘inclusion principles’ in cl 8 of the Bill allude to the need to minimise and eliminate restrictive practices, especially principle</w:t>
      </w:r>
      <w:r>
        <w:rPr>
          <w:rFonts w:ascii="Times New Roman" w:hAnsi="Times New Roman" w:cs="Times New Roman"/>
        </w:rPr>
        <w:t>s stating that</w:t>
      </w:r>
      <w:r w:rsidRPr="002249C0">
        <w:rPr>
          <w:rFonts w:ascii="Times New Roman" w:hAnsi="Times New Roman" w:cs="Times New Roman"/>
        </w:rPr>
        <w:t xml:space="preserve"> people with disability </w:t>
      </w:r>
      <w:r>
        <w:rPr>
          <w:rFonts w:ascii="Times New Roman" w:hAnsi="Times New Roman" w:cs="Times New Roman"/>
        </w:rPr>
        <w:t>‘</w:t>
      </w:r>
      <w:r w:rsidRPr="002249C0">
        <w:rPr>
          <w:rFonts w:ascii="Times New Roman" w:hAnsi="Times New Roman" w:cs="Times New Roman"/>
        </w:rPr>
        <w:t xml:space="preserve">have the same right as other members of Australian society to be respected for their worth and dignity and to live free from violence, abuse, neglect and exploitation’ and </w:t>
      </w:r>
      <w:r>
        <w:rPr>
          <w:rFonts w:ascii="Times New Roman" w:hAnsi="Times New Roman" w:cs="Times New Roman"/>
        </w:rPr>
        <w:t>‘</w:t>
      </w:r>
      <w:r w:rsidRPr="002249C0">
        <w:rPr>
          <w:rFonts w:ascii="Times New Roman" w:hAnsi="Times New Roman" w:cs="Times New Roman"/>
        </w:rPr>
        <w:t>have the right to receive</w:t>
      </w:r>
      <w:r>
        <w:rPr>
          <w:rFonts w:ascii="Times New Roman" w:hAnsi="Times New Roman" w:cs="Times New Roman"/>
        </w:rPr>
        <w:t>…</w:t>
      </w:r>
      <w:r w:rsidRPr="002249C0">
        <w:rPr>
          <w:rFonts w:ascii="Times New Roman" w:hAnsi="Times New Roman" w:cs="Times New Roman"/>
        </w:rPr>
        <w:t xml:space="preserve"> supports that are person-centred and trauma-informed’, although</w:t>
      </w:r>
      <w:r>
        <w:rPr>
          <w:rFonts w:ascii="Times New Roman" w:hAnsi="Times New Roman" w:cs="Times New Roman"/>
        </w:rPr>
        <w:t xml:space="preserve"> it is notable that the</w:t>
      </w:r>
      <w:r w:rsidRPr="002249C0">
        <w:rPr>
          <w:rFonts w:ascii="Times New Roman" w:hAnsi="Times New Roman" w:cs="Times New Roman"/>
        </w:rPr>
        <w:t xml:space="preserve"> reduction and elimination of restrictive practices is not explicitly mentioned in the principles.</w:t>
      </w:r>
    </w:p>
    <w:p w14:paraId="039CF9FC" w14:textId="698D1F8B" w:rsidR="00301376" w:rsidRPr="00DB39D9" w:rsidRDefault="00614AEE" w:rsidP="00723C12">
      <w:pPr>
        <w:spacing w:after="160" w:line="259" w:lineRule="auto"/>
        <w:jc w:val="both"/>
        <w:rPr>
          <w:rFonts w:ascii="Times New Roman" w:hAnsi="Times New Roman" w:cs="Times New Roman"/>
        </w:rPr>
      </w:pPr>
      <w:r>
        <w:rPr>
          <w:rFonts w:ascii="Times New Roman" w:hAnsi="Times New Roman" w:cs="Times New Roman"/>
        </w:rPr>
        <w:t>The TLRI supports</w:t>
      </w:r>
      <w:r w:rsidR="00301376" w:rsidRPr="002249C0">
        <w:rPr>
          <w:rFonts w:ascii="Times New Roman" w:hAnsi="Times New Roman" w:cs="Times New Roman"/>
        </w:rPr>
        <w:t xml:space="preserve"> the Bill’s inclusion of requirements to identify reduction and elimination strategies for individuals in positive behaviour support (‘PBS’) plans, namely, the requirement for PBS plans to include ‘strategies to reduce and eliminate the need for a restrictive practice to be used on the person’ and ‘the changes made to the environment of the person to reduce or eliminate the need for the restrictive practice to be used on the person’.</w:t>
      </w:r>
      <w:r w:rsidR="00301376" w:rsidRPr="002249C0">
        <w:rPr>
          <w:rStyle w:val="FootnoteReference"/>
          <w:rFonts w:ascii="Times New Roman" w:hAnsi="Times New Roman" w:cs="Times New Roman"/>
        </w:rPr>
        <w:footnoteReference w:id="3"/>
      </w:r>
      <w:r w:rsidR="006378E4">
        <w:rPr>
          <w:rFonts w:ascii="Times New Roman" w:hAnsi="Times New Roman" w:cs="Times New Roman"/>
        </w:rPr>
        <w:t xml:space="preserve"> However,</w:t>
      </w:r>
      <w:r w:rsidR="00301376" w:rsidRPr="002249C0">
        <w:rPr>
          <w:rFonts w:ascii="Times New Roman" w:hAnsi="Times New Roman" w:cs="Times New Roman"/>
        </w:rPr>
        <w:t xml:space="preserve"> Spivakovsky and colleagues conclu</w:t>
      </w:r>
      <w:r w:rsidR="00B2536B">
        <w:rPr>
          <w:rFonts w:ascii="Times New Roman" w:hAnsi="Times New Roman" w:cs="Times New Roman"/>
        </w:rPr>
        <w:t>ded</w:t>
      </w:r>
      <w:r w:rsidR="00301376" w:rsidRPr="002249C0">
        <w:rPr>
          <w:rFonts w:ascii="Times New Roman" w:hAnsi="Times New Roman" w:cs="Times New Roman"/>
        </w:rPr>
        <w:t xml:space="preserve"> in their recent research report for the Royal Commission into Violence, Abuse, Neglect and Exploitation of People with Disability</w:t>
      </w:r>
      <w:r w:rsidR="00B2536B">
        <w:rPr>
          <w:rFonts w:ascii="Times New Roman" w:hAnsi="Times New Roman" w:cs="Times New Roman"/>
        </w:rPr>
        <w:t xml:space="preserve"> (‘Disability Royal Commission’)</w:t>
      </w:r>
      <w:r w:rsidR="00301376" w:rsidRPr="002249C0">
        <w:rPr>
          <w:rFonts w:ascii="Times New Roman" w:hAnsi="Times New Roman" w:cs="Times New Roman"/>
        </w:rPr>
        <w:t xml:space="preserve"> that</w:t>
      </w:r>
      <w:r w:rsidR="00301376" w:rsidRPr="00DB39D9">
        <w:rPr>
          <w:rFonts w:ascii="Times New Roman" w:hAnsi="Times New Roman" w:cs="Times New Roman"/>
        </w:rPr>
        <w:t xml:space="preserve"> the evidence base for PBS</w:t>
      </w:r>
      <w:r w:rsidR="00301376">
        <w:rPr>
          <w:rFonts w:ascii="Times New Roman" w:hAnsi="Times New Roman" w:cs="Times New Roman"/>
        </w:rPr>
        <w:t xml:space="preserve"> </w:t>
      </w:r>
      <w:r w:rsidR="00301376" w:rsidRPr="00DB39D9">
        <w:rPr>
          <w:rFonts w:ascii="Times New Roman" w:hAnsi="Times New Roman" w:cs="Times New Roman"/>
        </w:rPr>
        <w:t xml:space="preserve">‘comprises mixed or inconclusive evidence of success’ and </w:t>
      </w:r>
      <w:r w:rsidR="00301376">
        <w:rPr>
          <w:rFonts w:ascii="Times New Roman" w:hAnsi="Times New Roman" w:cs="Times New Roman"/>
        </w:rPr>
        <w:t xml:space="preserve">suggests </w:t>
      </w:r>
      <w:r w:rsidR="00301376" w:rsidRPr="00DB39D9">
        <w:rPr>
          <w:rFonts w:ascii="Times New Roman" w:hAnsi="Times New Roman" w:cs="Times New Roman"/>
        </w:rPr>
        <w:t>PBS plans are generally of poor quality.</w:t>
      </w:r>
      <w:r w:rsidR="00301376" w:rsidRPr="002249C0">
        <w:rPr>
          <w:rStyle w:val="FootnoteReference"/>
          <w:rFonts w:ascii="Times New Roman" w:hAnsi="Times New Roman" w:cs="Times New Roman"/>
        </w:rPr>
        <w:footnoteReference w:id="4"/>
      </w:r>
      <w:r w:rsidR="00301376" w:rsidRPr="00DB39D9">
        <w:rPr>
          <w:rFonts w:ascii="Times New Roman" w:hAnsi="Times New Roman" w:cs="Times New Roman"/>
        </w:rPr>
        <w:t xml:space="preserve"> These authors also conducted a review of evaluated approaches to reducing or eliminating restrictive practices and concluded that, while there is a growing evidence base to support the implementation of effective and safe alternatives to restrictive practices in some contexts, there </w:t>
      </w:r>
      <w:r w:rsidR="00301376">
        <w:rPr>
          <w:rFonts w:ascii="Times New Roman" w:hAnsi="Times New Roman" w:cs="Times New Roman"/>
        </w:rPr>
        <w:t>is limited</w:t>
      </w:r>
      <w:r w:rsidR="00301376" w:rsidRPr="00DB39D9">
        <w:rPr>
          <w:rFonts w:ascii="Times New Roman" w:hAnsi="Times New Roman" w:cs="Times New Roman"/>
        </w:rPr>
        <w:t xml:space="preserve"> research on the implementation of alternatives in disability services settings.</w:t>
      </w:r>
      <w:r w:rsidR="00301376" w:rsidRPr="002249C0">
        <w:rPr>
          <w:rStyle w:val="FootnoteReference"/>
          <w:rFonts w:ascii="Times New Roman" w:hAnsi="Times New Roman" w:cs="Times New Roman"/>
        </w:rPr>
        <w:footnoteReference w:id="5"/>
      </w:r>
      <w:r w:rsidR="00301376" w:rsidRPr="00DB39D9">
        <w:rPr>
          <w:rFonts w:ascii="Times New Roman" w:hAnsi="Times New Roman" w:cs="Times New Roman"/>
        </w:rPr>
        <w:t xml:space="preserve"> </w:t>
      </w:r>
      <w:r w:rsidR="00A6519D">
        <w:rPr>
          <w:rFonts w:ascii="Times New Roman" w:hAnsi="Times New Roman" w:cs="Times New Roman"/>
        </w:rPr>
        <w:t xml:space="preserve"> In the TLRI’s view, </w:t>
      </w:r>
      <w:r w:rsidR="00301376">
        <w:rPr>
          <w:rFonts w:ascii="Times New Roman" w:hAnsi="Times New Roman" w:cs="Times New Roman"/>
        </w:rPr>
        <w:t>t</w:t>
      </w:r>
      <w:r w:rsidR="00301376" w:rsidRPr="00DB39D9">
        <w:rPr>
          <w:rFonts w:ascii="Times New Roman" w:hAnsi="Times New Roman" w:cs="Times New Roman"/>
        </w:rPr>
        <w:t xml:space="preserve">his suggests </w:t>
      </w:r>
      <w:r w:rsidR="00301376" w:rsidRPr="00DB39D9">
        <w:rPr>
          <w:rFonts w:ascii="Times New Roman" w:hAnsi="Times New Roman" w:cs="Times New Roman"/>
        </w:rPr>
        <w:lastRenderedPageBreak/>
        <w:t>that a reliance on individual PBS plans to reduce and eliminate restrictive practices use</w:t>
      </w:r>
      <w:r w:rsidR="00301376">
        <w:rPr>
          <w:rFonts w:ascii="Times New Roman" w:hAnsi="Times New Roman" w:cs="Times New Roman"/>
        </w:rPr>
        <w:t xml:space="preserve"> in Tasmania</w:t>
      </w:r>
      <w:r w:rsidR="00301376" w:rsidRPr="00DB39D9">
        <w:rPr>
          <w:rFonts w:ascii="Times New Roman" w:hAnsi="Times New Roman" w:cs="Times New Roman"/>
        </w:rPr>
        <w:t xml:space="preserve"> is unlikely to be effective</w:t>
      </w:r>
      <w:r w:rsidR="00301376">
        <w:rPr>
          <w:rFonts w:ascii="Times New Roman" w:hAnsi="Times New Roman" w:cs="Times New Roman"/>
        </w:rPr>
        <w:t>, especially</w:t>
      </w:r>
      <w:r w:rsidR="00301376" w:rsidRPr="00DB39D9">
        <w:rPr>
          <w:rFonts w:ascii="Times New Roman" w:hAnsi="Times New Roman" w:cs="Times New Roman"/>
        </w:rPr>
        <w:t xml:space="preserve"> in the absence of broader strategies to develop and implement evidence-based strategies for implementing alternatives</w:t>
      </w:r>
      <w:r w:rsidR="00301376">
        <w:rPr>
          <w:rFonts w:ascii="Times New Roman" w:hAnsi="Times New Roman" w:cs="Times New Roman"/>
        </w:rPr>
        <w:t xml:space="preserve"> to restrictive practices</w:t>
      </w:r>
      <w:r w:rsidR="00301376" w:rsidRPr="00DB39D9">
        <w:rPr>
          <w:rFonts w:ascii="Times New Roman" w:hAnsi="Times New Roman" w:cs="Times New Roman"/>
        </w:rPr>
        <w:t>.</w:t>
      </w:r>
    </w:p>
    <w:p w14:paraId="29223A75" w14:textId="4DE4CACD" w:rsidR="00301376" w:rsidRDefault="00A6519D" w:rsidP="00723C12">
      <w:pPr>
        <w:spacing w:after="160" w:line="259" w:lineRule="auto"/>
        <w:jc w:val="both"/>
        <w:rPr>
          <w:rFonts w:ascii="Times New Roman" w:hAnsi="Times New Roman" w:cs="Times New Roman"/>
        </w:rPr>
      </w:pPr>
      <w:r>
        <w:rPr>
          <w:rFonts w:ascii="Times New Roman" w:hAnsi="Times New Roman" w:cs="Times New Roman"/>
        </w:rPr>
        <w:t xml:space="preserve">In the TLRI’s view, the </w:t>
      </w:r>
      <w:r w:rsidR="00301376" w:rsidRPr="002249C0">
        <w:rPr>
          <w:rFonts w:ascii="Times New Roman" w:hAnsi="Times New Roman" w:cs="Times New Roman"/>
        </w:rPr>
        <w:t>Bill’s inclusion of (a) penalty provisions for the unauthorised use of restrictive practices</w:t>
      </w:r>
      <w:r w:rsidR="0009425D">
        <w:rPr>
          <w:rFonts w:ascii="Times New Roman" w:hAnsi="Times New Roman" w:cs="Times New Roman"/>
        </w:rPr>
        <w:t>,</w:t>
      </w:r>
      <w:r w:rsidR="00301376" w:rsidRPr="002249C0">
        <w:rPr>
          <w:rFonts w:ascii="Times New Roman" w:hAnsi="Times New Roman" w:cs="Times New Roman"/>
        </w:rPr>
        <w:t xml:space="preserve"> (b) a mechanism for the Senior Practitioner to investigate, audit and monitor the use of restrictive practices and issue directions</w:t>
      </w:r>
      <w:r w:rsidR="0009425D">
        <w:rPr>
          <w:rFonts w:ascii="Times New Roman" w:hAnsi="Times New Roman" w:cs="Times New Roman"/>
        </w:rPr>
        <w:t>,</w:t>
      </w:r>
      <w:r w:rsidR="00301376" w:rsidRPr="002249C0">
        <w:rPr>
          <w:rFonts w:ascii="Times New Roman" w:hAnsi="Times New Roman" w:cs="Times New Roman"/>
        </w:rPr>
        <w:t xml:space="preserve"> and (c) a mechanism for individuals, services or independent persons to seek a review of authorisations to use restrictive practices offer</w:t>
      </w:r>
      <w:r w:rsidR="00622321">
        <w:rPr>
          <w:rFonts w:ascii="Times New Roman" w:hAnsi="Times New Roman" w:cs="Times New Roman"/>
        </w:rPr>
        <w:t>s</w:t>
      </w:r>
      <w:r w:rsidR="00301376" w:rsidRPr="002249C0">
        <w:rPr>
          <w:rFonts w:ascii="Times New Roman" w:hAnsi="Times New Roman" w:cs="Times New Roman"/>
        </w:rPr>
        <w:t xml:space="preserve"> some (albeit limited) avenues for redress for people whose rights are at risk, or are violated, through the use of restrictive practices.</w:t>
      </w:r>
      <w:r w:rsidR="00622321">
        <w:rPr>
          <w:rFonts w:ascii="Times New Roman" w:hAnsi="Times New Roman" w:cs="Times New Roman"/>
        </w:rPr>
        <w:t xml:space="preserve"> H</w:t>
      </w:r>
      <w:r w:rsidR="00301376" w:rsidRPr="002249C0">
        <w:rPr>
          <w:rFonts w:ascii="Times New Roman" w:hAnsi="Times New Roman" w:cs="Times New Roman"/>
        </w:rPr>
        <w:t xml:space="preserve">owever, even </w:t>
      </w:r>
      <w:r w:rsidR="00301376" w:rsidRPr="002249C0">
        <w:rPr>
          <w:rFonts w:ascii="Times New Roman" w:hAnsi="Times New Roman" w:cs="Times New Roman"/>
          <w:i/>
          <w:iCs/>
        </w:rPr>
        <w:t>authorised</w:t>
      </w:r>
      <w:r w:rsidR="00301376" w:rsidRPr="002249C0">
        <w:rPr>
          <w:rFonts w:ascii="Times New Roman" w:hAnsi="Times New Roman" w:cs="Times New Roman"/>
        </w:rPr>
        <w:t xml:space="preserve"> uses of restrictive practices can be harmful and traumatising for people with disability, with human rights experts, international bodies, and the Disability Royal Commission Research Report mentioned above characterising these practices as inherently incompatible with the human rights of people with disability, regardless of whether they are authorised by law.</w:t>
      </w:r>
      <w:r w:rsidR="00301376" w:rsidRPr="002249C0">
        <w:rPr>
          <w:rStyle w:val="FootnoteReference"/>
          <w:rFonts w:ascii="Times New Roman" w:hAnsi="Times New Roman" w:cs="Times New Roman"/>
        </w:rPr>
        <w:footnoteReference w:id="6"/>
      </w:r>
      <w:r w:rsidR="00301376" w:rsidRPr="002249C0">
        <w:rPr>
          <w:rFonts w:ascii="Times New Roman" w:hAnsi="Times New Roman" w:cs="Times New Roman"/>
        </w:rPr>
        <w:t xml:space="preserve"> On </w:t>
      </w:r>
      <w:r w:rsidR="00301376">
        <w:rPr>
          <w:rFonts w:ascii="Times New Roman" w:hAnsi="Times New Roman" w:cs="Times New Roman"/>
        </w:rPr>
        <w:t>this basis</w:t>
      </w:r>
      <w:r w:rsidR="00301376" w:rsidRPr="002249C0">
        <w:rPr>
          <w:rFonts w:ascii="Times New Roman" w:hAnsi="Times New Roman" w:cs="Times New Roman"/>
        </w:rPr>
        <w:t>, and drawing on research and initiatives taken in other sectors, the authors of the Disability Royal Commission Research Report proposed</w:t>
      </w:r>
      <w:r w:rsidR="009149D6">
        <w:rPr>
          <w:rFonts w:ascii="Times New Roman" w:hAnsi="Times New Roman" w:cs="Times New Roman"/>
        </w:rPr>
        <w:t xml:space="preserve"> an</w:t>
      </w:r>
      <w:r w:rsidR="00301376" w:rsidRPr="002249C0">
        <w:rPr>
          <w:rFonts w:ascii="Times New Roman" w:hAnsi="Times New Roman" w:cs="Times New Roman"/>
        </w:rPr>
        <w:t xml:space="preserve"> eight-point ‘pathway to elimination’ of restrictive practices</w:t>
      </w:r>
      <w:r w:rsidR="009149D6">
        <w:rPr>
          <w:rFonts w:ascii="Times New Roman" w:hAnsi="Times New Roman" w:cs="Times New Roman"/>
        </w:rPr>
        <w:t xml:space="preserve"> that included measures such as prohibiting restrictive practices, changing attitudes and norms, acknowledging and addressing historical injustice, deinstitutionalising and desegregating environments, recognising autonomy and leadership of people with disability and utilising trauma</w:t>
      </w:r>
      <w:r w:rsidR="0048279B">
        <w:rPr>
          <w:rFonts w:ascii="Times New Roman" w:hAnsi="Times New Roman" w:cs="Times New Roman"/>
        </w:rPr>
        <w:t>-</w:t>
      </w:r>
      <w:r w:rsidR="009149D6">
        <w:rPr>
          <w:rFonts w:ascii="Times New Roman" w:hAnsi="Times New Roman" w:cs="Times New Roman"/>
        </w:rPr>
        <w:t>informed support approaches.</w:t>
      </w:r>
      <w:r w:rsidR="00301376" w:rsidRPr="002249C0">
        <w:rPr>
          <w:rStyle w:val="FootnoteReference"/>
          <w:rFonts w:ascii="Times New Roman" w:hAnsi="Times New Roman" w:cs="Times New Roman"/>
        </w:rPr>
        <w:footnoteReference w:id="7"/>
      </w:r>
    </w:p>
    <w:p w14:paraId="21295B78" w14:textId="0B622EBD" w:rsidR="00301376" w:rsidRDefault="00301376" w:rsidP="00723C12">
      <w:pPr>
        <w:spacing w:after="160" w:line="259" w:lineRule="auto"/>
        <w:jc w:val="both"/>
        <w:rPr>
          <w:rFonts w:ascii="Times New Roman" w:hAnsi="Times New Roman" w:cs="Times New Roman"/>
        </w:rPr>
      </w:pPr>
      <w:proofErr w:type="gramStart"/>
      <w:r w:rsidRPr="002249C0">
        <w:rPr>
          <w:rFonts w:ascii="Times New Roman" w:hAnsi="Times New Roman" w:cs="Times New Roman"/>
        </w:rPr>
        <w:t>In light of</w:t>
      </w:r>
      <w:proofErr w:type="gramEnd"/>
      <w:r w:rsidRPr="002249C0">
        <w:rPr>
          <w:rFonts w:ascii="Times New Roman" w:hAnsi="Times New Roman" w:cs="Times New Roman"/>
        </w:rPr>
        <w:t xml:space="preserve"> these developments, it is </w:t>
      </w:r>
      <w:r w:rsidR="00FF142C">
        <w:rPr>
          <w:rFonts w:ascii="Times New Roman" w:hAnsi="Times New Roman" w:cs="Times New Roman"/>
        </w:rPr>
        <w:t>the TLRI’s</w:t>
      </w:r>
      <w:r w:rsidRPr="002249C0">
        <w:rPr>
          <w:rFonts w:ascii="Times New Roman" w:hAnsi="Times New Roman" w:cs="Times New Roman"/>
        </w:rPr>
        <w:t xml:space="preserve"> view that a system-wide goal of the reduction, and eventual elimination, of the use of restrictive practices should be established. This would be consistent with the Bill’s overall emphasis on the realisation of the full suite of human rights of people with disability.</w:t>
      </w:r>
    </w:p>
    <w:p w14:paraId="4AA6D094" w14:textId="77777777" w:rsidR="00301376" w:rsidRPr="002249C0" w:rsidRDefault="00301376" w:rsidP="00723C12">
      <w:pPr>
        <w:spacing w:after="160" w:line="259" w:lineRule="auto"/>
        <w:jc w:val="both"/>
        <w:rPr>
          <w:rFonts w:ascii="Times New Roman" w:hAnsi="Times New Roman" w:cs="Times New Roman"/>
        </w:rPr>
      </w:pPr>
      <w:r w:rsidRPr="002249C0">
        <w:rPr>
          <w:rFonts w:ascii="Times New Roman" w:hAnsi="Times New Roman" w:cs="Times New Roman"/>
        </w:rPr>
        <w:t>Developments in other jurisdictions and sectors provide guidance on how the present Bill could more comprehensively promote such reduction and elimination of the use of restrictive practices in Tasmania.</w:t>
      </w:r>
      <w:r>
        <w:rPr>
          <w:rFonts w:ascii="Times New Roman" w:hAnsi="Times New Roman" w:cs="Times New Roman"/>
        </w:rPr>
        <w:t xml:space="preserve"> </w:t>
      </w:r>
      <w:r w:rsidRPr="002249C0">
        <w:rPr>
          <w:rFonts w:ascii="Times New Roman" w:hAnsi="Times New Roman" w:cs="Times New Roman"/>
        </w:rPr>
        <w:t>For example, the Royal Commission into Victoria’s Mental Health System:</w:t>
      </w:r>
    </w:p>
    <w:p w14:paraId="7C9C8A44" w14:textId="77777777" w:rsidR="00301376" w:rsidRPr="002249C0" w:rsidRDefault="00301376" w:rsidP="00723C12">
      <w:pPr>
        <w:pStyle w:val="ListParagraph"/>
        <w:numPr>
          <w:ilvl w:val="0"/>
          <w:numId w:val="18"/>
        </w:numPr>
        <w:tabs>
          <w:tab w:val="clear" w:pos="567"/>
        </w:tabs>
        <w:spacing w:after="160" w:line="259" w:lineRule="auto"/>
        <w:contextualSpacing w:val="0"/>
        <w:jc w:val="both"/>
        <w:rPr>
          <w:rFonts w:ascii="Times New Roman" w:hAnsi="Times New Roman" w:cs="Times New Roman"/>
        </w:rPr>
      </w:pPr>
      <w:r w:rsidRPr="002249C0">
        <w:rPr>
          <w:rFonts w:ascii="Times New Roman" w:hAnsi="Times New Roman" w:cs="Times New Roman"/>
        </w:rPr>
        <w:t xml:space="preserve">characterised the reduction and elimination of seclusion and restraint as non-negotiable goals due to the human rights implications of these practices and their incompatibility with safe and </w:t>
      </w:r>
      <w:proofErr w:type="gramStart"/>
      <w:r w:rsidRPr="002249C0">
        <w:rPr>
          <w:rFonts w:ascii="Times New Roman" w:hAnsi="Times New Roman" w:cs="Times New Roman"/>
        </w:rPr>
        <w:t>high quality</w:t>
      </w:r>
      <w:proofErr w:type="gramEnd"/>
      <w:r w:rsidRPr="002249C0">
        <w:rPr>
          <w:rFonts w:ascii="Times New Roman" w:hAnsi="Times New Roman" w:cs="Times New Roman"/>
        </w:rPr>
        <w:t xml:space="preserve"> services for both consumers and staff;</w:t>
      </w:r>
      <w:r w:rsidRPr="002249C0">
        <w:rPr>
          <w:rFonts w:ascii="Times New Roman" w:hAnsi="Times New Roman" w:cs="Times New Roman"/>
          <w:vertAlign w:val="superscript"/>
        </w:rPr>
        <w:footnoteReference w:id="8"/>
      </w:r>
      <w:r w:rsidRPr="002249C0">
        <w:rPr>
          <w:rFonts w:ascii="Times New Roman" w:hAnsi="Times New Roman" w:cs="Times New Roman"/>
        </w:rPr>
        <w:t xml:space="preserve"> and </w:t>
      </w:r>
    </w:p>
    <w:p w14:paraId="1C713E01" w14:textId="77777777" w:rsidR="00301376" w:rsidRPr="002249C0" w:rsidRDefault="00301376" w:rsidP="00723C12">
      <w:pPr>
        <w:pStyle w:val="ListParagraph"/>
        <w:numPr>
          <w:ilvl w:val="0"/>
          <w:numId w:val="18"/>
        </w:numPr>
        <w:tabs>
          <w:tab w:val="clear" w:pos="567"/>
        </w:tabs>
        <w:spacing w:after="160" w:line="259" w:lineRule="auto"/>
        <w:contextualSpacing w:val="0"/>
        <w:jc w:val="both"/>
        <w:rPr>
          <w:rFonts w:ascii="Times New Roman" w:hAnsi="Times New Roman" w:cs="Times New Roman"/>
        </w:rPr>
      </w:pPr>
      <w:r w:rsidRPr="002249C0">
        <w:rPr>
          <w:rFonts w:ascii="Times New Roman" w:hAnsi="Times New Roman" w:cs="Times New Roman"/>
        </w:rPr>
        <w:t>set a 10-year timeframe for elimination and proposed specific reduction targets for the intervening years.</w:t>
      </w:r>
      <w:r w:rsidRPr="002249C0">
        <w:rPr>
          <w:rFonts w:ascii="Times New Roman" w:hAnsi="Times New Roman" w:cs="Times New Roman"/>
          <w:vertAlign w:val="superscript"/>
        </w:rPr>
        <w:footnoteReference w:id="9"/>
      </w:r>
      <w:r w:rsidRPr="002249C0">
        <w:rPr>
          <w:rFonts w:ascii="Times New Roman" w:hAnsi="Times New Roman" w:cs="Times New Roman"/>
        </w:rPr>
        <w:t xml:space="preserve"> </w:t>
      </w:r>
    </w:p>
    <w:p w14:paraId="3F646409" w14:textId="4104F12C" w:rsidR="00301376" w:rsidRPr="002249C0" w:rsidRDefault="00674CF7" w:rsidP="00723C12">
      <w:pPr>
        <w:spacing w:after="160" w:line="259" w:lineRule="auto"/>
        <w:jc w:val="both"/>
        <w:rPr>
          <w:rFonts w:ascii="Times New Roman" w:hAnsi="Times New Roman" w:cs="Times New Roman"/>
        </w:rPr>
      </w:pPr>
      <w:r>
        <w:rPr>
          <w:rFonts w:ascii="Times New Roman" w:hAnsi="Times New Roman" w:cs="Times New Roman"/>
        </w:rPr>
        <w:lastRenderedPageBreak/>
        <w:t>T</w:t>
      </w:r>
      <w:r w:rsidR="00301376" w:rsidRPr="002249C0">
        <w:rPr>
          <w:rFonts w:ascii="Times New Roman" w:hAnsi="Times New Roman" w:cs="Times New Roman"/>
        </w:rPr>
        <w:t xml:space="preserve">he </w:t>
      </w:r>
      <w:r w:rsidR="00301376" w:rsidRPr="002249C0">
        <w:rPr>
          <w:rFonts w:ascii="Times New Roman" w:hAnsi="Times New Roman" w:cs="Times New Roman"/>
          <w:i/>
          <w:iCs/>
        </w:rPr>
        <w:t xml:space="preserve">Mental Health and Wellbeing Act 2022 </w:t>
      </w:r>
      <w:r w:rsidR="00301376" w:rsidRPr="002249C0">
        <w:rPr>
          <w:rFonts w:ascii="Times New Roman" w:hAnsi="Times New Roman" w:cs="Times New Roman"/>
        </w:rPr>
        <w:t xml:space="preserve">(Vic) (‘the Act’), which was developed </w:t>
      </w:r>
      <w:proofErr w:type="gramStart"/>
      <w:r w:rsidR="00301376" w:rsidRPr="002249C0">
        <w:rPr>
          <w:rFonts w:ascii="Times New Roman" w:hAnsi="Times New Roman" w:cs="Times New Roman"/>
        </w:rPr>
        <w:t>in order to</w:t>
      </w:r>
      <w:proofErr w:type="gramEnd"/>
      <w:r w:rsidR="00301376" w:rsidRPr="002249C0">
        <w:rPr>
          <w:rFonts w:ascii="Times New Roman" w:hAnsi="Times New Roman" w:cs="Times New Roman"/>
        </w:rPr>
        <w:t xml:space="preserve"> implement the Royal Commission’s recommendations and came into force in 1 September 2023, specifies:</w:t>
      </w:r>
    </w:p>
    <w:p w14:paraId="095E858A" w14:textId="77777777" w:rsidR="00301376" w:rsidRDefault="00301376" w:rsidP="00723C12">
      <w:pPr>
        <w:pStyle w:val="ListParagraph"/>
        <w:numPr>
          <w:ilvl w:val="0"/>
          <w:numId w:val="19"/>
        </w:numPr>
        <w:tabs>
          <w:tab w:val="clear" w:pos="567"/>
        </w:tabs>
        <w:spacing w:after="160" w:line="259" w:lineRule="auto"/>
        <w:contextualSpacing w:val="0"/>
        <w:jc w:val="both"/>
        <w:rPr>
          <w:rFonts w:ascii="Times New Roman" w:hAnsi="Times New Roman" w:cs="Times New Roman"/>
        </w:rPr>
      </w:pPr>
      <w:r w:rsidRPr="002249C0">
        <w:rPr>
          <w:rFonts w:ascii="Times New Roman" w:hAnsi="Times New Roman" w:cs="Times New Roman"/>
        </w:rPr>
        <w:t>that an objective of the Act is to provide for mental health services that, among other things, ‘enable a reduction in the use of seclusion and restraint with the aim of eliminating its use within 10 years’;</w:t>
      </w:r>
      <w:r w:rsidRPr="002249C0">
        <w:rPr>
          <w:rStyle w:val="FootnoteReference"/>
          <w:rFonts w:ascii="Times New Roman" w:hAnsi="Times New Roman" w:cs="Times New Roman"/>
        </w:rPr>
        <w:footnoteReference w:id="10"/>
      </w:r>
    </w:p>
    <w:p w14:paraId="0A35B190" w14:textId="77777777" w:rsidR="00301376" w:rsidRDefault="00301376" w:rsidP="00723C12">
      <w:pPr>
        <w:pStyle w:val="ListParagraph"/>
        <w:numPr>
          <w:ilvl w:val="0"/>
          <w:numId w:val="19"/>
        </w:numPr>
        <w:tabs>
          <w:tab w:val="clear" w:pos="567"/>
        </w:tabs>
        <w:spacing w:after="160" w:line="259" w:lineRule="auto"/>
        <w:contextualSpacing w:val="0"/>
        <w:jc w:val="both"/>
        <w:rPr>
          <w:rFonts w:ascii="Times New Roman" w:hAnsi="Times New Roman" w:cs="Times New Roman"/>
        </w:rPr>
      </w:pPr>
      <w:r w:rsidRPr="002249C0">
        <w:rPr>
          <w:rFonts w:ascii="Times New Roman" w:hAnsi="Times New Roman" w:cs="Times New Roman"/>
        </w:rPr>
        <w:t>that service providers subject to the Act should aim to reduce and eventually eliminate the use of restrictive practices;</w:t>
      </w:r>
      <w:r w:rsidRPr="002249C0">
        <w:rPr>
          <w:rStyle w:val="FootnoteReference"/>
          <w:rFonts w:ascii="Times New Roman" w:hAnsi="Times New Roman" w:cs="Times New Roman"/>
        </w:rPr>
        <w:footnoteReference w:id="11"/>
      </w:r>
      <w:r w:rsidRPr="002249C0">
        <w:rPr>
          <w:rFonts w:ascii="Times New Roman" w:hAnsi="Times New Roman" w:cs="Times New Roman"/>
        </w:rPr>
        <w:t xml:space="preserve"> and</w:t>
      </w:r>
    </w:p>
    <w:p w14:paraId="48E99E27" w14:textId="77777777" w:rsidR="00301376" w:rsidRPr="002249C0" w:rsidRDefault="00301376" w:rsidP="00723C12">
      <w:pPr>
        <w:pStyle w:val="ListParagraph"/>
        <w:numPr>
          <w:ilvl w:val="0"/>
          <w:numId w:val="19"/>
        </w:numPr>
        <w:tabs>
          <w:tab w:val="clear" w:pos="567"/>
        </w:tabs>
        <w:spacing w:after="160" w:line="259" w:lineRule="auto"/>
        <w:contextualSpacing w:val="0"/>
        <w:jc w:val="both"/>
        <w:rPr>
          <w:rFonts w:ascii="Times New Roman" w:hAnsi="Times New Roman" w:cs="Times New Roman"/>
        </w:rPr>
      </w:pPr>
      <w:r w:rsidRPr="002249C0">
        <w:rPr>
          <w:rFonts w:ascii="Times New Roman" w:hAnsi="Times New Roman" w:cs="Times New Roman"/>
        </w:rPr>
        <w:t>that the functions of both the Health Secretary and the Chief Officer for Mental Health and Wellbeing include: ‘to set targets to reduce and ultimately eliminate the use of restrictive interventions in the provision of mental health and wellbeing services’ and ‘to develop, monitor and report on appropriate measures to progressively reduce and ultimately eliminate the use of restrictive interventions’ in these services.</w:t>
      </w:r>
      <w:r w:rsidRPr="002249C0">
        <w:rPr>
          <w:rStyle w:val="FootnoteReference"/>
          <w:rFonts w:ascii="Times New Roman" w:hAnsi="Times New Roman" w:cs="Times New Roman"/>
        </w:rPr>
        <w:footnoteReference w:id="12"/>
      </w:r>
    </w:p>
    <w:p w14:paraId="33B42F82" w14:textId="6845E9A5" w:rsidR="00AC4F78" w:rsidRDefault="00AC4F78" w:rsidP="00723C12">
      <w:pPr>
        <w:spacing w:after="160" w:line="259" w:lineRule="auto"/>
        <w:jc w:val="both"/>
        <w:rPr>
          <w:rFonts w:ascii="Times New Roman" w:hAnsi="Times New Roman" w:cs="Times New Roman"/>
        </w:rPr>
      </w:pPr>
      <w:r>
        <w:rPr>
          <w:rFonts w:ascii="Times New Roman" w:hAnsi="Times New Roman" w:cs="Times New Roman"/>
        </w:rPr>
        <w:t>The TLRI recommends that:</w:t>
      </w:r>
    </w:p>
    <w:p w14:paraId="47D88133" w14:textId="6AA4AB72" w:rsidR="00AC4F78" w:rsidRDefault="00AC4F78" w:rsidP="00454A9B">
      <w:pPr>
        <w:pStyle w:val="ListParagraph"/>
        <w:numPr>
          <w:ilvl w:val="0"/>
          <w:numId w:val="28"/>
        </w:numPr>
        <w:spacing w:after="160" w:line="259" w:lineRule="auto"/>
        <w:contextualSpacing w:val="0"/>
        <w:jc w:val="both"/>
        <w:rPr>
          <w:rFonts w:ascii="Times New Roman" w:hAnsi="Times New Roman" w:cs="Times New Roman"/>
        </w:rPr>
      </w:pPr>
      <w:r w:rsidRPr="00AC4F78">
        <w:rPr>
          <w:rFonts w:ascii="Times New Roman" w:hAnsi="Times New Roman" w:cs="Times New Roman"/>
        </w:rPr>
        <w:t xml:space="preserve">in order for the aspirations towards reduction and elimination of restrictive practices expressed in the Bill (and in other national statements) to be realised, the Bill’s implementation should be supported by a clear timeframe and deadline for elimination and ambitious interim targets – which are subject to monitoring and reporting requirements – to ensure the goal is </w:t>
      </w:r>
      <w:proofErr w:type="gramStart"/>
      <w:r w:rsidRPr="00AC4F78">
        <w:rPr>
          <w:rFonts w:ascii="Times New Roman" w:hAnsi="Times New Roman" w:cs="Times New Roman"/>
        </w:rPr>
        <w:t>achieved</w:t>
      </w:r>
      <w:r>
        <w:rPr>
          <w:rFonts w:ascii="Times New Roman" w:hAnsi="Times New Roman" w:cs="Times New Roman"/>
        </w:rPr>
        <w:t>;</w:t>
      </w:r>
      <w:proofErr w:type="gramEnd"/>
    </w:p>
    <w:p w14:paraId="1965FA41" w14:textId="78EB944E" w:rsidR="00AC4F78" w:rsidRPr="00AC4F78" w:rsidRDefault="00AC4F78" w:rsidP="00454A9B">
      <w:pPr>
        <w:pStyle w:val="ListParagraph"/>
        <w:numPr>
          <w:ilvl w:val="0"/>
          <w:numId w:val="28"/>
        </w:numPr>
        <w:spacing w:after="160" w:line="259" w:lineRule="auto"/>
        <w:contextualSpacing w:val="0"/>
        <w:jc w:val="both"/>
        <w:rPr>
          <w:rFonts w:ascii="Times New Roman" w:hAnsi="Times New Roman" w:cs="Times New Roman"/>
        </w:rPr>
      </w:pPr>
      <w:r>
        <w:rPr>
          <w:rFonts w:ascii="Times New Roman" w:hAnsi="Times New Roman" w:cs="Times New Roman"/>
        </w:rPr>
        <w:t>t</w:t>
      </w:r>
      <w:r w:rsidRPr="00AC4F78">
        <w:rPr>
          <w:rFonts w:ascii="Times New Roman" w:hAnsi="Times New Roman" w:cs="Times New Roman"/>
        </w:rPr>
        <w:t xml:space="preserve">he inclusion principles in cl 8 should be amended to include reference to: </w:t>
      </w:r>
    </w:p>
    <w:p w14:paraId="783E4D20" w14:textId="77777777" w:rsidR="00AC4F78" w:rsidRDefault="00AC4F78" w:rsidP="000567E5">
      <w:pPr>
        <w:pStyle w:val="ListParagraph"/>
        <w:numPr>
          <w:ilvl w:val="1"/>
          <w:numId w:val="28"/>
        </w:numPr>
        <w:tabs>
          <w:tab w:val="clear" w:pos="567"/>
          <w:tab w:val="clear" w:pos="1134"/>
          <w:tab w:val="clear" w:pos="1701"/>
        </w:tabs>
        <w:spacing w:after="160" w:line="259" w:lineRule="auto"/>
        <w:ind w:left="709"/>
        <w:contextualSpacing w:val="0"/>
        <w:jc w:val="both"/>
        <w:rPr>
          <w:rFonts w:ascii="Times New Roman" w:hAnsi="Times New Roman" w:cs="Times New Roman"/>
        </w:rPr>
      </w:pPr>
      <w:r w:rsidRPr="002249C0">
        <w:rPr>
          <w:rFonts w:ascii="Times New Roman" w:hAnsi="Times New Roman" w:cs="Times New Roman"/>
        </w:rPr>
        <w:t xml:space="preserve">the goals of reduction and elimination of restrictive practices </w:t>
      </w:r>
      <w:r>
        <w:rPr>
          <w:rFonts w:ascii="Times New Roman" w:hAnsi="Times New Roman" w:cs="Times New Roman"/>
        </w:rPr>
        <w:t xml:space="preserve">currently </w:t>
      </w:r>
      <w:r w:rsidRPr="002249C0">
        <w:rPr>
          <w:rFonts w:ascii="Times New Roman" w:hAnsi="Times New Roman" w:cs="Times New Roman"/>
        </w:rPr>
        <w:t>mentioned in Part 7; and</w:t>
      </w:r>
    </w:p>
    <w:p w14:paraId="0921C9B4" w14:textId="183BEA78" w:rsidR="00AC4F78" w:rsidRDefault="00AC4F78" w:rsidP="000567E5">
      <w:pPr>
        <w:pStyle w:val="ListParagraph"/>
        <w:numPr>
          <w:ilvl w:val="1"/>
          <w:numId w:val="28"/>
        </w:numPr>
        <w:tabs>
          <w:tab w:val="clear" w:pos="567"/>
          <w:tab w:val="clear" w:pos="1134"/>
          <w:tab w:val="clear" w:pos="1701"/>
        </w:tabs>
        <w:spacing w:after="160" w:line="259" w:lineRule="auto"/>
        <w:ind w:left="709"/>
        <w:contextualSpacing w:val="0"/>
        <w:jc w:val="both"/>
        <w:rPr>
          <w:rFonts w:ascii="Times New Roman" w:hAnsi="Times New Roman" w:cs="Times New Roman"/>
        </w:rPr>
      </w:pPr>
      <w:r w:rsidRPr="002249C0">
        <w:rPr>
          <w:rFonts w:ascii="Times New Roman" w:hAnsi="Times New Roman" w:cs="Times New Roman"/>
        </w:rPr>
        <w:t xml:space="preserve">the harmful nature of restrictive practices and their incompatibility with the human rights of people with </w:t>
      </w:r>
      <w:proofErr w:type="gramStart"/>
      <w:r w:rsidRPr="002249C0">
        <w:rPr>
          <w:rFonts w:ascii="Times New Roman" w:hAnsi="Times New Roman" w:cs="Times New Roman"/>
        </w:rPr>
        <w:t>disability</w:t>
      </w:r>
      <w:r w:rsidR="00D27BAB">
        <w:rPr>
          <w:rFonts w:ascii="Times New Roman" w:hAnsi="Times New Roman" w:cs="Times New Roman"/>
        </w:rPr>
        <w:t>;</w:t>
      </w:r>
      <w:proofErr w:type="gramEnd"/>
    </w:p>
    <w:p w14:paraId="44B3E4DA" w14:textId="11BF5664" w:rsidR="00AC4F78" w:rsidRPr="00AC4F78" w:rsidRDefault="00AC4F78" w:rsidP="00454A9B">
      <w:pPr>
        <w:pStyle w:val="ListParagraph"/>
        <w:numPr>
          <w:ilvl w:val="0"/>
          <w:numId w:val="28"/>
        </w:numPr>
        <w:spacing w:after="160" w:line="259" w:lineRule="auto"/>
        <w:contextualSpacing w:val="0"/>
        <w:jc w:val="both"/>
        <w:rPr>
          <w:rFonts w:ascii="Times New Roman" w:hAnsi="Times New Roman" w:cs="Times New Roman"/>
        </w:rPr>
      </w:pPr>
      <w:r>
        <w:rPr>
          <w:rFonts w:ascii="Times New Roman" w:hAnsi="Times New Roman" w:cs="Times New Roman"/>
        </w:rPr>
        <w:t xml:space="preserve">provision </w:t>
      </w:r>
      <w:r w:rsidRPr="00AC4F78">
        <w:rPr>
          <w:rFonts w:ascii="Times New Roman" w:hAnsi="Times New Roman" w:cs="Times New Roman"/>
        </w:rPr>
        <w:t xml:space="preserve">be made for the Bill to be reviewed and amended </w:t>
      </w:r>
      <w:proofErr w:type="gramStart"/>
      <w:r w:rsidRPr="00AC4F78">
        <w:rPr>
          <w:rFonts w:ascii="Times New Roman" w:hAnsi="Times New Roman" w:cs="Times New Roman"/>
        </w:rPr>
        <w:t>in light of</w:t>
      </w:r>
      <w:proofErr w:type="gramEnd"/>
      <w:r w:rsidRPr="00AC4F78">
        <w:rPr>
          <w:rFonts w:ascii="Times New Roman" w:hAnsi="Times New Roman" w:cs="Times New Roman"/>
        </w:rPr>
        <w:t xml:space="preserve"> future recommendations of the Disability Royal Commission on the reduction and elimination of restrictive practices.</w:t>
      </w:r>
    </w:p>
    <w:p w14:paraId="7411FC44" w14:textId="77777777" w:rsidR="00301376" w:rsidRPr="00D25749" w:rsidRDefault="00301376" w:rsidP="00723C12">
      <w:pPr>
        <w:pStyle w:val="Heading1"/>
        <w:spacing w:before="0" w:after="160" w:line="259" w:lineRule="auto"/>
        <w:jc w:val="both"/>
        <w:rPr>
          <w:rFonts w:ascii="Times New Roman" w:hAnsi="Times New Roman" w:cs="Times New Roman"/>
          <w:b/>
          <w:bCs/>
          <w:color w:val="auto"/>
          <w:sz w:val="24"/>
          <w:szCs w:val="24"/>
        </w:rPr>
      </w:pPr>
      <w:r w:rsidRPr="00D25749">
        <w:rPr>
          <w:rFonts w:ascii="Times New Roman" w:hAnsi="Times New Roman" w:cs="Times New Roman"/>
          <w:b/>
          <w:bCs/>
          <w:color w:val="auto"/>
          <w:sz w:val="24"/>
          <w:szCs w:val="24"/>
        </w:rPr>
        <w:t>Regulation should be gender-</w:t>
      </w:r>
      <w:proofErr w:type="gramStart"/>
      <w:r w:rsidRPr="00D25749">
        <w:rPr>
          <w:rFonts w:ascii="Times New Roman" w:hAnsi="Times New Roman" w:cs="Times New Roman"/>
          <w:b/>
          <w:bCs/>
          <w:color w:val="auto"/>
          <w:sz w:val="24"/>
          <w:szCs w:val="24"/>
        </w:rPr>
        <w:t>sensitive</w:t>
      </w:r>
      <w:proofErr w:type="gramEnd"/>
    </w:p>
    <w:p w14:paraId="7107A29A" w14:textId="15F28CE1" w:rsidR="00301376" w:rsidRPr="002249C0" w:rsidRDefault="00AC4F78" w:rsidP="00723C12">
      <w:pPr>
        <w:spacing w:after="160" w:line="259" w:lineRule="auto"/>
        <w:jc w:val="both"/>
        <w:rPr>
          <w:rFonts w:ascii="Times New Roman" w:hAnsi="Times New Roman" w:cs="Times New Roman"/>
        </w:rPr>
      </w:pPr>
      <w:r>
        <w:rPr>
          <w:rFonts w:ascii="Times New Roman" w:hAnsi="Times New Roman" w:cs="Times New Roman"/>
        </w:rPr>
        <w:t xml:space="preserve">It is the TLRI’s view that </w:t>
      </w:r>
      <w:r w:rsidR="00301376" w:rsidRPr="002249C0">
        <w:rPr>
          <w:rFonts w:ascii="Times New Roman" w:hAnsi="Times New Roman" w:cs="Times New Roman"/>
        </w:rPr>
        <w:t>the regulation of the use of restrictive practices needs to be gender-sensitive – that is, gender must be recognised as a relevant factor in decisions about the use of restrictive practices and the implementation of alternatives.</w:t>
      </w:r>
    </w:p>
    <w:p w14:paraId="11EBF77C" w14:textId="57EB66ED" w:rsidR="00301376" w:rsidRPr="002249C0" w:rsidRDefault="00301376" w:rsidP="00723C12">
      <w:pPr>
        <w:spacing w:after="160" w:line="259" w:lineRule="auto"/>
        <w:jc w:val="both"/>
        <w:rPr>
          <w:rFonts w:ascii="Times New Roman" w:hAnsi="Times New Roman" w:cs="Times New Roman"/>
        </w:rPr>
      </w:pPr>
      <w:r w:rsidRPr="002249C0">
        <w:rPr>
          <w:rFonts w:ascii="Times New Roman" w:hAnsi="Times New Roman" w:cs="Times New Roman"/>
        </w:rPr>
        <w:t xml:space="preserve">The possibility that </w:t>
      </w:r>
      <w:proofErr w:type="gramStart"/>
      <w:r w:rsidRPr="002249C0">
        <w:rPr>
          <w:rFonts w:ascii="Times New Roman" w:hAnsi="Times New Roman" w:cs="Times New Roman"/>
        </w:rPr>
        <w:t>gender</w:t>
      </w:r>
      <w:proofErr w:type="gramEnd"/>
      <w:r w:rsidRPr="002249C0">
        <w:rPr>
          <w:rFonts w:ascii="Times New Roman" w:hAnsi="Times New Roman" w:cs="Times New Roman"/>
        </w:rPr>
        <w:t xml:space="preserve"> matters in the provision of disability services, and service users’ experiences of those services, is not comprehensively addressed in the design and regulation of disability services systems, including in relation to the use and regulation of restrictive practices. This is despite research literature on the use of restrictive practices in disability and mental health settings indicating that:</w:t>
      </w:r>
    </w:p>
    <w:p w14:paraId="248214D5" w14:textId="4D9EB74A" w:rsidR="00301376" w:rsidRDefault="00301376" w:rsidP="00723C12">
      <w:pPr>
        <w:pStyle w:val="ListParagraph"/>
        <w:numPr>
          <w:ilvl w:val="0"/>
          <w:numId w:val="17"/>
        </w:numPr>
        <w:tabs>
          <w:tab w:val="clear" w:pos="567"/>
        </w:tabs>
        <w:spacing w:after="160" w:line="259" w:lineRule="auto"/>
        <w:ind w:left="709" w:hanging="283"/>
        <w:contextualSpacing w:val="0"/>
        <w:jc w:val="both"/>
        <w:rPr>
          <w:rFonts w:ascii="Times New Roman" w:hAnsi="Times New Roman" w:cs="Times New Roman"/>
        </w:rPr>
      </w:pPr>
      <w:r w:rsidRPr="002249C0">
        <w:rPr>
          <w:rFonts w:ascii="Times New Roman" w:hAnsi="Times New Roman" w:cs="Times New Roman"/>
          <w:lang w:eastAsia="en-AU"/>
        </w:rPr>
        <w:lastRenderedPageBreak/>
        <w:t xml:space="preserve">restrictive practices risk retraumatising women and girls who have previously been </w:t>
      </w:r>
      <w:r w:rsidRPr="00AC4F78">
        <w:rPr>
          <w:rFonts w:ascii="Times New Roman" w:hAnsi="Times New Roman" w:cs="Times New Roman"/>
          <w:lang w:eastAsia="en-AU"/>
        </w:rPr>
        <w:t>subject to trauma, including abuse and sexual violence;</w:t>
      </w:r>
      <w:bookmarkStart w:id="2" w:name="_Ref144897274"/>
      <w:r w:rsidRPr="00AC4F78">
        <w:rPr>
          <w:rFonts w:ascii="Times New Roman" w:hAnsi="Times New Roman" w:cs="Times New Roman"/>
          <w:vertAlign w:val="superscript"/>
          <w:lang w:eastAsia="en-AU"/>
        </w:rPr>
        <w:footnoteReference w:id="13"/>
      </w:r>
      <w:bookmarkEnd w:id="2"/>
    </w:p>
    <w:p w14:paraId="2D65FF7B" w14:textId="77777777" w:rsidR="00301376" w:rsidRDefault="00301376" w:rsidP="00723C12">
      <w:pPr>
        <w:pStyle w:val="ListParagraph"/>
        <w:numPr>
          <w:ilvl w:val="0"/>
          <w:numId w:val="17"/>
        </w:numPr>
        <w:tabs>
          <w:tab w:val="clear" w:pos="567"/>
        </w:tabs>
        <w:spacing w:after="160" w:line="259" w:lineRule="auto"/>
        <w:ind w:left="709" w:hanging="283"/>
        <w:contextualSpacing w:val="0"/>
        <w:jc w:val="both"/>
        <w:rPr>
          <w:rFonts w:ascii="Times New Roman" w:hAnsi="Times New Roman" w:cs="Times New Roman"/>
        </w:rPr>
      </w:pPr>
      <w:r w:rsidRPr="00AC4F78">
        <w:rPr>
          <w:rStyle w:val="cf01"/>
          <w:rFonts w:ascii="Times New Roman" w:hAnsi="Times New Roman" w:cs="Times New Roman"/>
          <w:sz w:val="24"/>
          <w:szCs w:val="24"/>
        </w:rPr>
        <w:t xml:space="preserve">women’s and girls’ </w:t>
      </w:r>
      <w:proofErr w:type="gramStart"/>
      <w:r w:rsidRPr="00AC4F78">
        <w:rPr>
          <w:rStyle w:val="cf01"/>
          <w:rFonts w:ascii="Times New Roman" w:hAnsi="Times New Roman" w:cs="Times New Roman"/>
          <w:sz w:val="24"/>
          <w:szCs w:val="24"/>
        </w:rPr>
        <w:t>needs</w:t>
      </w:r>
      <w:proofErr w:type="gramEnd"/>
      <w:r w:rsidRPr="00AC4F78">
        <w:rPr>
          <w:rStyle w:val="cf01"/>
          <w:rFonts w:ascii="Times New Roman" w:hAnsi="Times New Roman" w:cs="Times New Roman"/>
          <w:sz w:val="24"/>
          <w:szCs w:val="24"/>
        </w:rPr>
        <w:t xml:space="preserve"> and experiences may vary according to multiple, potentially intersecting, dimensions of difference including sexual orientation, ethnicity, language, religion, class, socioeconomic status, gender identity, disability or age, and </w:t>
      </w:r>
      <w:r w:rsidRPr="00AC4F78">
        <w:rPr>
          <w:rFonts w:ascii="Times New Roman" w:hAnsi="Times New Roman" w:cs="Times New Roman"/>
        </w:rPr>
        <w:t>there is a particularly high prevalence of experiences of violence or trauma among women with disabilities, Aboriginal and Torres Strait Islander women, women from migrant and refugee backgrounds, and people who identify as LGBTI;</w:t>
      </w:r>
      <w:r w:rsidRPr="00AC4F78">
        <w:rPr>
          <w:rFonts w:ascii="Times New Roman" w:hAnsi="Times New Roman" w:cs="Times New Roman"/>
          <w:vertAlign w:val="superscript"/>
        </w:rPr>
        <w:footnoteReference w:id="14"/>
      </w:r>
    </w:p>
    <w:p w14:paraId="3D06CBD4" w14:textId="77777777" w:rsidR="00301376" w:rsidRDefault="00301376" w:rsidP="00723C12">
      <w:pPr>
        <w:pStyle w:val="ListParagraph"/>
        <w:numPr>
          <w:ilvl w:val="0"/>
          <w:numId w:val="17"/>
        </w:numPr>
        <w:tabs>
          <w:tab w:val="clear" w:pos="567"/>
        </w:tabs>
        <w:spacing w:after="160" w:line="259" w:lineRule="auto"/>
        <w:ind w:left="709" w:hanging="283"/>
        <w:contextualSpacing w:val="0"/>
        <w:jc w:val="both"/>
        <w:rPr>
          <w:rFonts w:ascii="Times New Roman" w:hAnsi="Times New Roman" w:cs="Times New Roman"/>
        </w:rPr>
      </w:pPr>
      <w:r w:rsidRPr="00AC4F78">
        <w:rPr>
          <w:rFonts w:ascii="Times New Roman" w:hAnsi="Times New Roman" w:cs="Times New Roman"/>
        </w:rPr>
        <w:t>service users are at considerable risk of experiencing or witnessing violence or abuse, including at the hands of staff, in disability services and mental health inpatient settings;</w:t>
      </w:r>
      <w:r w:rsidRPr="00AC4F78">
        <w:rPr>
          <w:rStyle w:val="FootnoteReference"/>
          <w:rFonts w:ascii="Times New Roman" w:hAnsi="Times New Roman" w:cs="Times New Roman"/>
        </w:rPr>
        <w:footnoteReference w:id="15"/>
      </w:r>
    </w:p>
    <w:p w14:paraId="48C65C0E" w14:textId="77777777" w:rsidR="00301376" w:rsidRDefault="00301376" w:rsidP="00723C12">
      <w:pPr>
        <w:pStyle w:val="ListParagraph"/>
        <w:numPr>
          <w:ilvl w:val="0"/>
          <w:numId w:val="17"/>
        </w:numPr>
        <w:tabs>
          <w:tab w:val="clear" w:pos="567"/>
        </w:tabs>
        <w:spacing w:after="160" w:line="259" w:lineRule="auto"/>
        <w:ind w:left="709" w:hanging="283"/>
        <w:contextualSpacing w:val="0"/>
        <w:jc w:val="both"/>
        <w:rPr>
          <w:rFonts w:ascii="Times New Roman" w:hAnsi="Times New Roman" w:cs="Times New Roman"/>
          <w:lang w:eastAsia="en-AU"/>
        </w:rPr>
      </w:pPr>
      <w:r w:rsidRPr="00AC4F78">
        <w:rPr>
          <w:rFonts w:ascii="Times New Roman" w:hAnsi="Times New Roman" w:cs="Times New Roman"/>
        </w:rPr>
        <w:t>women’s experiences of trauma and powerlessness can be exacerbated by gendered power asymmetries when male staff are involved in the application of restrictive practices;</w:t>
      </w:r>
      <w:r w:rsidRPr="00AC4F78">
        <w:rPr>
          <w:rFonts w:ascii="Times New Roman" w:hAnsi="Times New Roman" w:cs="Times New Roman"/>
          <w:vertAlign w:val="superscript"/>
        </w:rPr>
        <w:footnoteReference w:id="16"/>
      </w:r>
    </w:p>
    <w:p w14:paraId="7CC66F55" w14:textId="5F2EDD5B" w:rsidR="00301376" w:rsidRDefault="00301376" w:rsidP="00723C12">
      <w:pPr>
        <w:pStyle w:val="ListParagraph"/>
        <w:numPr>
          <w:ilvl w:val="0"/>
          <w:numId w:val="17"/>
        </w:numPr>
        <w:tabs>
          <w:tab w:val="clear" w:pos="567"/>
        </w:tabs>
        <w:spacing w:after="160" w:line="259" w:lineRule="auto"/>
        <w:ind w:left="709" w:hanging="283"/>
        <w:contextualSpacing w:val="0"/>
        <w:jc w:val="both"/>
        <w:rPr>
          <w:rFonts w:ascii="Times New Roman" w:hAnsi="Times New Roman" w:cs="Times New Roman"/>
        </w:rPr>
      </w:pPr>
      <w:r w:rsidRPr="00AC4F78">
        <w:rPr>
          <w:rFonts w:ascii="Times New Roman" w:hAnsi="Times New Roman" w:cs="Times New Roman"/>
        </w:rPr>
        <w:t>gendered expectations and stereotypes may influence staff decisions about restrictive interventions. For example, several UK studies about restrictive practices use on women with disability have suggested that staff have expectations</w:t>
      </w:r>
      <w:r w:rsidRPr="002249C0">
        <w:rPr>
          <w:rFonts w:ascii="Times New Roman" w:hAnsi="Times New Roman" w:cs="Times New Roman"/>
        </w:rPr>
        <w:t xml:space="preserve"> about appropriate emotional expression and behaviour for women, and views about the motivations behind women’s behaviour (such as views that women are ‘either manipulative or attention-seeking’</w:t>
      </w:r>
      <w:bookmarkStart w:id="3" w:name="_Ref144894634"/>
      <w:r w:rsidRPr="002249C0">
        <w:rPr>
          <w:rStyle w:val="FootnoteReference"/>
          <w:rFonts w:ascii="Times New Roman" w:hAnsi="Times New Roman" w:cs="Times New Roman"/>
        </w:rPr>
        <w:footnoteReference w:id="17"/>
      </w:r>
      <w:bookmarkEnd w:id="3"/>
      <w:r w:rsidRPr="002249C0">
        <w:rPr>
          <w:rFonts w:ascii="Times New Roman" w:hAnsi="Times New Roman" w:cs="Times New Roman"/>
        </w:rPr>
        <w:t>), which can influence decisions about the use of restraint;</w:t>
      </w:r>
      <w:r w:rsidRPr="002249C0">
        <w:rPr>
          <w:rFonts w:ascii="Times New Roman" w:hAnsi="Times New Roman" w:cs="Times New Roman"/>
          <w:vertAlign w:val="superscript"/>
        </w:rPr>
        <w:footnoteReference w:id="18"/>
      </w:r>
    </w:p>
    <w:p w14:paraId="63A9FF72" w14:textId="77777777" w:rsidR="00301376" w:rsidRDefault="00301376" w:rsidP="00723C12">
      <w:pPr>
        <w:pStyle w:val="ListParagraph"/>
        <w:numPr>
          <w:ilvl w:val="0"/>
          <w:numId w:val="17"/>
        </w:numPr>
        <w:tabs>
          <w:tab w:val="clear" w:pos="567"/>
        </w:tabs>
        <w:spacing w:after="160" w:line="259" w:lineRule="auto"/>
        <w:ind w:left="709" w:hanging="283"/>
        <w:contextualSpacing w:val="0"/>
        <w:jc w:val="both"/>
        <w:rPr>
          <w:rFonts w:ascii="Times New Roman" w:hAnsi="Times New Roman" w:cs="Times New Roman"/>
        </w:rPr>
      </w:pPr>
      <w:r w:rsidRPr="002249C0">
        <w:rPr>
          <w:rFonts w:ascii="Times New Roman" w:hAnsi="Times New Roman" w:cs="Times New Roman"/>
          <w:lang w:eastAsia="en-AU"/>
        </w:rPr>
        <w:lastRenderedPageBreak/>
        <w:t>‘relational’ approaches to service provision, which emphasise good and trusting relationships, recognition and management of distress, and knowledge and understanding of service users, may be especially important in avoiding the use of restrictive practices on women and providing safe and therapeutic services for them;</w:t>
      </w:r>
      <w:r w:rsidRPr="002249C0">
        <w:rPr>
          <w:rFonts w:ascii="Times New Roman" w:hAnsi="Times New Roman" w:cs="Times New Roman"/>
          <w:vertAlign w:val="superscript"/>
          <w:lang w:eastAsia="en-AU"/>
        </w:rPr>
        <w:footnoteReference w:id="19"/>
      </w:r>
    </w:p>
    <w:p w14:paraId="0BB9A417" w14:textId="77777777" w:rsidR="00301376" w:rsidRPr="002249C0" w:rsidRDefault="00301376" w:rsidP="00723C12">
      <w:pPr>
        <w:pStyle w:val="ListParagraph"/>
        <w:numPr>
          <w:ilvl w:val="0"/>
          <w:numId w:val="17"/>
        </w:numPr>
        <w:tabs>
          <w:tab w:val="clear" w:pos="567"/>
        </w:tabs>
        <w:spacing w:after="160" w:line="259" w:lineRule="auto"/>
        <w:ind w:left="709" w:hanging="283"/>
        <w:contextualSpacing w:val="0"/>
        <w:jc w:val="both"/>
        <w:rPr>
          <w:rFonts w:ascii="Times New Roman" w:hAnsi="Times New Roman" w:cs="Times New Roman"/>
        </w:rPr>
      </w:pPr>
      <w:r w:rsidRPr="002249C0">
        <w:rPr>
          <w:rFonts w:ascii="Times New Roman" w:hAnsi="Times New Roman" w:cs="Times New Roman"/>
          <w:lang w:eastAsia="en-AU"/>
        </w:rPr>
        <w:t>there is a need for more research on the gender-specific needs and experiences of people with disability, including women and girls and trans and gender-diverse people, in the implementation of effective alternatives to restrictive practices.</w:t>
      </w:r>
      <w:r w:rsidRPr="002249C0">
        <w:rPr>
          <w:rStyle w:val="FootnoteReference"/>
          <w:rFonts w:ascii="Times New Roman" w:hAnsi="Times New Roman" w:cs="Times New Roman"/>
          <w:lang w:eastAsia="en-AU"/>
        </w:rPr>
        <w:footnoteReference w:id="20"/>
      </w:r>
    </w:p>
    <w:p w14:paraId="7477D0E2" w14:textId="43319956" w:rsidR="00301376" w:rsidRPr="002249C0" w:rsidRDefault="002B154B" w:rsidP="00723C12">
      <w:pPr>
        <w:spacing w:after="160" w:line="259" w:lineRule="auto"/>
        <w:jc w:val="both"/>
        <w:rPr>
          <w:rFonts w:ascii="Times New Roman" w:hAnsi="Times New Roman" w:cs="Times New Roman"/>
        </w:rPr>
      </w:pPr>
      <w:r>
        <w:rPr>
          <w:rFonts w:ascii="Times New Roman" w:hAnsi="Times New Roman" w:cs="Times New Roman"/>
        </w:rPr>
        <w:t>The TLRI supports</w:t>
      </w:r>
      <w:r w:rsidR="00301376" w:rsidRPr="002249C0">
        <w:rPr>
          <w:rFonts w:ascii="Times New Roman" w:hAnsi="Times New Roman" w:cs="Times New Roman"/>
        </w:rPr>
        <w:t xml:space="preserve"> the statement in the Bill’s ‘inclusion principles’ that acts or things done under the legislation are to be done, as far as practicable, in accordance with the principle that ‘the cultural or linguistic diversity (including Aboriginality), age, gender, sexual orientation and religious beliefs, of people with disability are to be taken into account’.</w:t>
      </w:r>
      <w:r w:rsidR="00301376" w:rsidRPr="002249C0">
        <w:rPr>
          <w:rStyle w:val="FootnoteReference"/>
          <w:rFonts w:ascii="Times New Roman" w:hAnsi="Times New Roman" w:cs="Times New Roman"/>
        </w:rPr>
        <w:footnoteReference w:id="21"/>
      </w:r>
      <w:r w:rsidR="007F78DF">
        <w:rPr>
          <w:rFonts w:ascii="Times New Roman" w:hAnsi="Times New Roman" w:cs="Times New Roman"/>
        </w:rPr>
        <w:t xml:space="preserve"> A</w:t>
      </w:r>
      <w:r w:rsidR="00301376" w:rsidRPr="002249C0">
        <w:rPr>
          <w:rFonts w:ascii="Times New Roman" w:hAnsi="Times New Roman" w:cs="Times New Roman"/>
        </w:rPr>
        <w:t xml:space="preserve"> similar diversity principle is found in the new</w:t>
      </w:r>
      <w:r w:rsidR="00301376" w:rsidRPr="002249C0">
        <w:rPr>
          <w:rFonts w:ascii="Times New Roman" w:hAnsi="Times New Roman" w:cs="Times New Roman"/>
          <w:i/>
          <w:iCs/>
        </w:rPr>
        <w:t xml:space="preserve"> Mental Health and Wellbeing Act 2022 </w:t>
      </w:r>
      <w:r w:rsidR="00301376" w:rsidRPr="002249C0">
        <w:rPr>
          <w:rFonts w:ascii="Times New Roman" w:hAnsi="Times New Roman" w:cs="Times New Roman"/>
        </w:rPr>
        <w:t>(Vic) but is accompanied by a separate ‘gender safety principle’ that identifies safety-specific issues such as those raised in the research summarised above. It states, at s 26, that:</w:t>
      </w:r>
    </w:p>
    <w:p w14:paraId="06D7F689" w14:textId="77777777" w:rsidR="00301376" w:rsidRPr="002249C0" w:rsidRDefault="00301376" w:rsidP="00723C12">
      <w:pPr>
        <w:spacing w:after="160" w:line="259" w:lineRule="auto"/>
        <w:ind w:left="720"/>
        <w:jc w:val="both"/>
        <w:rPr>
          <w:rFonts w:ascii="Times New Roman" w:hAnsi="Times New Roman" w:cs="Times New Roman"/>
          <w:i/>
          <w:iCs/>
        </w:rPr>
      </w:pPr>
      <w:r w:rsidRPr="002249C0">
        <w:rPr>
          <w:rFonts w:ascii="Times New Roman" w:hAnsi="Times New Roman" w:cs="Times New Roman"/>
          <w:i/>
          <w:iCs/>
        </w:rPr>
        <w:t>People receiving mental health and wellbeing services may have specific safety needs or concerns based on their gender. Consideration is therefore to be given to these needs and concerns and access is to be provided to services that—</w:t>
      </w:r>
    </w:p>
    <w:p w14:paraId="261994AD" w14:textId="77777777" w:rsidR="00301376" w:rsidRPr="002249C0" w:rsidRDefault="00301376" w:rsidP="00723C12">
      <w:pPr>
        <w:spacing w:after="160" w:line="259" w:lineRule="auto"/>
        <w:ind w:left="720" w:firstLine="720"/>
        <w:jc w:val="both"/>
        <w:rPr>
          <w:rFonts w:ascii="Times New Roman" w:hAnsi="Times New Roman" w:cs="Times New Roman"/>
          <w:i/>
          <w:iCs/>
        </w:rPr>
      </w:pPr>
      <w:r w:rsidRPr="002249C0">
        <w:rPr>
          <w:rFonts w:ascii="Times New Roman" w:hAnsi="Times New Roman" w:cs="Times New Roman"/>
          <w:i/>
          <w:iCs/>
        </w:rPr>
        <w:t>(a) are safe; and</w:t>
      </w:r>
    </w:p>
    <w:p w14:paraId="3E697F73" w14:textId="77777777" w:rsidR="00301376" w:rsidRPr="002249C0" w:rsidRDefault="00301376" w:rsidP="00723C12">
      <w:pPr>
        <w:spacing w:after="160" w:line="259" w:lineRule="auto"/>
        <w:ind w:left="1440"/>
        <w:jc w:val="both"/>
        <w:rPr>
          <w:rFonts w:ascii="Times New Roman" w:hAnsi="Times New Roman" w:cs="Times New Roman"/>
          <w:i/>
          <w:iCs/>
        </w:rPr>
      </w:pPr>
      <w:r w:rsidRPr="002249C0">
        <w:rPr>
          <w:rFonts w:ascii="Times New Roman" w:hAnsi="Times New Roman" w:cs="Times New Roman"/>
          <w:i/>
          <w:iCs/>
        </w:rPr>
        <w:t>(b) are responsive to any current experience of family violence and trauma or any history of family violence and trauma; and</w:t>
      </w:r>
    </w:p>
    <w:p w14:paraId="704B2701" w14:textId="77777777" w:rsidR="00301376" w:rsidRPr="002249C0" w:rsidRDefault="00301376" w:rsidP="00723C12">
      <w:pPr>
        <w:spacing w:after="160" w:line="259" w:lineRule="auto"/>
        <w:ind w:left="1440"/>
        <w:jc w:val="both"/>
        <w:rPr>
          <w:rFonts w:ascii="Times New Roman" w:hAnsi="Times New Roman" w:cs="Times New Roman"/>
          <w:i/>
          <w:iCs/>
        </w:rPr>
      </w:pPr>
      <w:r w:rsidRPr="002249C0">
        <w:rPr>
          <w:rFonts w:ascii="Times New Roman" w:hAnsi="Times New Roman" w:cs="Times New Roman"/>
          <w:i/>
          <w:iCs/>
        </w:rPr>
        <w:t xml:space="preserve">(c) recognise and respond to the ways gender dynamics may affect service delivery, </w:t>
      </w:r>
      <w:proofErr w:type="gramStart"/>
      <w:r w:rsidRPr="002249C0">
        <w:rPr>
          <w:rFonts w:ascii="Times New Roman" w:hAnsi="Times New Roman" w:cs="Times New Roman"/>
          <w:i/>
          <w:iCs/>
        </w:rPr>
        <w:t>treatment</w:t>
      </w:r>
      <w:proofErr w:type="gramEnd"/>
      <w:r w:rsidRPr="002249C0">
        <w:rPr>
          <w:rFonts w:ascii="Times New Roman" w:hAnsi="Times New Roman" w:cs="Times New Roman"/>
          <w:i/>
          <w:iCs/>
        </w:rPr>
        <w:t xml:space="preserve"> and recovery; and</w:t>
      </w:r>
      <w:r w:rsidRPr="002249C0">
        <w:rPr>
          <w:rFonts w:ascii="Times New Roman" w:hAnsi="Times New Roman" w:cs="Times New Roman"/>
          <w:i/>
          <w:iCs/>
          <w:highlight w:val="yellow"/>
        </w:rPr>
        <w:t xml:space="preserve"> </w:t>
      </w:r>
    </w:p>
    <w:p w14:paraId="0E245577" w14:textId="77777777" w:rsidR="00301376" w:rsidRDefault="00301376" w:rsidP="00723C12">
      <w:pPr>
        <w:spacing w:after="160" w:line="259" w:lineRule="auto"/>
        <w:ind w:left="1440"/>
        <w:jc w:val="both"/>
        <w:rPr>
          <w:rFonts w:ascii="Times New Roman" w:hAnsi="Times New Roman" w:cs="Times New Roman"/>
          <w:i/>
          <w:iCs/>
        </w:rPr>
      </w:pPr>
      <w:r w:rsidRPr="002249C0">
        <w:rPr>
          <w:rFonts w:ascii="Times New Roman" w:hAnsi="Times New Roman" w:cs="Times New Roman"/>
          <w:i/>
          <w:iCs/>
        </w:rPr>
        <w:t>(d) recognise and respond to the ways in which gender intersects with other types of discrimination and disadvantage.</w:t>
      </w:r>
    </w:p>
    <w:p w14:paraId="22EF72B3" w14:textId="7AC38BEC" w:rsidR="00301376" w:rsidRPr="007D34F8" w:rsidRDefault="00301376" w:rsidP="00723C12">
      <w:pPr>
        <w:spacing w:after="160" w:line="259" w:lineRule="auto"/>
        <w:jc w:val="both"/>
        <w:rPr>
          <w:rFonts w:ascii="Times New Roman" w:hAnsi="Times New Roman" w:cs="Times New Roman"/>
        </w:rPr>
      </w:pPr>
      <w:r w:rsidRPr="007D34F8">
        <w:rPr>
          <w:rFonts w:ascii="Times New Roman" w:hAnsi="Times New Roman" w:cs="Times New Roman"/>
        </w:rPr>
        <w:t>While such legislative principles have symbolic significance,</w:t>
      </w:r>
      <w:r w:rsidRPr="007D34F8">
        <w:rPr>
          <w:rStyle w:val="FootnoteReference"/>
          <w:rFonts w:ascii="Times New Roman" w:hAnsi="Times New Roman" w:cs="Times New Roman"/>
        </w:rPr>
        <w:footnoteReference w:id="22"/>
      </w:r>
      <w:r w:rsidRPr="007D34F8">
        <w:rPr>
          <w:rFonts w:ascii="Times New Roman" w:hAnsi="Times New Roman" w:cs="Times New Roman"/>
        </w:rPr>
        <w:t xml:space="preserve"> </w:t>
      </w:r>
      <w:r w:rsidR="00D36670" w:rsidRPr="007D34F8">
        <w:rPr>
          <w:rFonts w:ascii="Times New Roman" w:hAnsi="Times New Roman" w:cs="Times New Roman"/>
        </w:rPr>
        <w:t>the TLRI observes</w:t>
      </w:r>
      <w:r w:rsidRPr="007D34F8">
        <w:rPr>
          <w:rFonts w:ascii="Times New Roman" w:hAnsi="Times New Roman" w:cs="Times New Roman"/>
        </w:rPr>
        <w:t xml:space="preserve"> Prof Penelope Weller’s view that principles constitute only ‘a weak response to Australia’s human rights obligations’ unless they are consistent with the powers found elsewhere in legislation.</w:t>
      </w:r>
      <w:bookmarkStart w:id="4" w:name="_Ref144909290"/>
      <w:r w:rsidRPr="007D34F8">
        <w:rPr>
          <w:rStyle w:val="FootnoteReference"/>
          <w:rFonts w:ascii="Times New Roman" w:hAnsi="Times New Roman" w:cs="Times New Roman"/>
        </w:rPr>
        <w:footnoteReference w:id="23"/>
      </w:r>
      <w:bookmarkEnd w:id="4"/>
    </w:p>
    <w:p w14:paraId="613D1BDC" w14:textId="2CD4BA5B" w:rsidR="00DE1225" w:rsidRPr="007D34F8" w:rsidRDefault="00DE1225" w:rsidP="00723C12">
      <w:pPr>
        <w:spacing w:after="160" w:line="259" w:lineRule="auto"/>
        <w:jc w:val="both"/>
        <w:rPr>
          <w:rFonts w:ascii="Times New Roman" w:hAnsi="Times New Roman" w:cs="Times New Roman"/>
        </w:rPr>
      </w:pPr>
      <w:r w:rsidRPr="007D34F8">
        <w:rPr>
          <w:rFonts w:ascii="Times New Roman" w:hAnsi="Times New Roman" w:cs="Times New Roman"/>
        </w:rPr>
        <w:t>On this basis, the TLRI recommends that:</w:t>
      </w:r>
    </w:p>
    <w:p w14:paraId="522DB58E" w14:textId="12247CEF" w:rsidR="00DE1225" w:rsidRDefault="00DE1225" w:rsidP="0072709F">
      <w:pPr>
        <w:pStyle w:val="ListParagraph"/>
        <w:numPr>
          <w:ilvl w:val="0"/>
          <w:numId w:val="29"/>
        </w:numPr>
        <w:spacing w:after="160" w:line="259" w:lineRule="auto"/>
        <w:contextualSpacing w:val="0"/>
        <w:jc w:val="both"/>
        <w:rPr>
          <w:rFonts w:ascii="Times New Roman" w:hAnsi="Times New Roman" w:cs="Times New Roman"/>
        </w:rPr>
      </w:pPr>
      <w:r w:rsidRPr="00DE1225">
        <w:rPr>
          <w:rFonts w:ascii="Times New Roman" w:hAnsi="Times New Roman" w:cs="Times New Roman"/>
          <w:lang w:eastAsia="en-AU"/>
        </w:rPr>
        <w:t>T</w:t>
      </w:r>
      <w:r w:rsidRPr="00DE1225">
        <w:rPr>
          <w:rFonts w:ascii="Times New Roman" w:hAnsi="Times New Roman" w:cs="Times New Roman"/>
        </w:rPr>
        <w:t>he Bill should</w:t>
      </w:r>
      <w:r w:rsidR="006E03CD">
        <w:rPr>
          <w:rFonts w:ascii="Times New Roman" w:hAnsi="Times New Roman" w:cs="Times New Roman"/>
        </w:rPr>
        <w:t xml:space="preserve"> be amended to</w:t>
      </w:r>
      <w:r w:rsidR="00B5621E">
        <w:rPr>
          <w:rFonts w:ascii="Times New Roman" w:hAnsi="Times New Roman" w:cs="Times New Roman"/>
        </w:rPr>
        <w:t xml:space="preserve"> </w:t>
      </w:r>
      <w:r w:rsidRPr="00B5621E">
        <w:rPr>
          <w:rFonts w:ascii="Times New Roman" w:hAnsi="Times New Roman" w:cs="Times New Roman"/>
        </w:rPr>
        <w:t xml:space="preserve">include a ‘gender safety principle’ that acknowledges, and requires consideration of, safety needs and concerns based on gender, including those relating to trauma and trauma history, gender dynamics that affect service delivery, and intersectional discrimination and </w:t>
      </w:r>
      <w:proofErr w:type="gramStart"/>
      <w:r w:rsidRPr="00B5621E">
        <w:rPr>
          <w:rFonts w:ascii="Times New Roman" w:hAnsi="Times New Roman" w:cs="Times New Roman"/>
        </w:rPr>
        <w:t>disadvantage</w:t>
      </w:r>
      <w:r w:rsidR="00B5621E">
        <w:rPr>
          <w:rFonts w:ascii="Times New Roman" w:hAnsi="Times New Roman" w:cs="Times New Roman"/>
        </w:rPr>
        <w:t>;</w:t>
      </w:r>
      <w:proofErr w:type="gramEnd"/>
    </w:p>
    <w:p w14:paraId="2C4D5A86" w14:textId="0FB4384E" w:rsidR="00DE1225" w:rsidRDefault="00B5621E" w:rsidP="0072709F">
      <w:pPr>
        <w:pStyle w:val="ListParagraph"/>
        <w:numPr>
          <w:ilvl w:val="0"/>
          <w:numId w:val="29"/>
        </w:numPr>
        <w:spacing w:after="160" w:line="259" w:lineRule="auto"/>
        <w:contextualSpacing w:val="0"/>
        <w:jc w:val="both"/>
        <w:rPr>
          <w:rFonts w:ascii="Times New Roman" w:hAnsi="Times New Roman" w:cs="Times New Roman"/>
        </w:rPr>
      </w:pPr>
      <w:r>
        <w:rPr>
          <w:rFonts w:ascii="Times New Roman" w:hAnsi="Times New Roman" w:cs="Times New Roman"/>
        </w:rPr>
        <w:lastRenderedPageBreak/>
        <w:t>The Bill should</w:t>
      </w:r>
      <w:r w:rsidR="006E03CD">
        <w:rPr>
          <w:rFonts w:ascii="Times New Roman" w:hAnsi="Times New Roman" w:cs="Times New Roman"/>
        </w:rPr>
        <w:t xml:space="preserve"> be amended to</w:t>
      </w:r>
      <w:r>
        <w:rPr>
          <w:rFonts w:ascii="Times New Roman" w:hAnsi="Times New Roman" w:cs="Times New Roman"/>
        </w:rPr>
        <w:t xml:space="preserve"> </w:t>
      </w:r>
      <w:r w:rsidR="00DE1225" w:rsidRPr="00B5621E">
        <w:rPr>
          <w:rFonts w:ascii="Times New Roman" w:hAnsi="Times New Roman" w:cs="Times New Roman"/>
        </w:rPr>
        <w:t>require that individuals’ gender and trauma history be taken into consideration in planning and authorisation processes around restrictive practices set out in Part 7.</w:t>
      </w:r>
      <w:r w:rsidR="00DE1225" w:rsidRPr="005225C6">
        <w:rPr>
          <w:vertAlign w:val="superscript"/>
          <w:lang w:eastAsia="en-AU"/>
        </w:rPr>
        <w:footnoteReference w:id="24"/>
      </w:r>
      <w:r w:rsidR="00DE1225" w:rsidRPr="00B5621E">
        <w:rPr>
          <w:rFonts w:ascii="Times New Roman" w:hAnsi="Times New Roman" w:cs="Times New Roman"/>
        </w:rPr>
        <w:t xml:space="preserve"> These processes should also involve consultation about, and consideration of, the gender of staff involved in applying any restrictive practices. </w:t>
      </w:r>
      <w:r w:rsidR="008F56D4">
        <w:rPr>
          <w:rFonts w:ascii="Times New Roman" w:hAnsi="Times New Roman" w:cs="Times New Roman"/>
        </w:rPr>
        <w:t xml:space="preserve">The TLRI notes that similar </w:t>
      </w:r>
      <w:r w:rsidR="00DE1225" w:rsidRPr="00B5621E">
        <w:rPr>
          <w:rFonts w:ascii="Times New Roman" w:hAnsi="Times New Roman" w:cs="Times New Roman"/>
          <w:lang w:eastAsia="en-AU"/>
        </w:rPr>
        <w:t>practices are recommended in the Chief Civil Psychiatrist’s guidelines on restrictive practices use in Tasmanian mental health services.</w:t>
      </w:r>
      <w:r w:rsidR="00DE1225">
        <w:rPr>
          <w:rStyle w:val="FootnoteReference"/>
          <w:rFonts w:ascii="Times New Roman" w:hAnsi="Times New Roman" w:cs="Times New Roman"/>
          <w:lang w:eastAsia="en-AU"/>
        </w:rPr>
        <w:footnoteReference w:id="25"/>
      </w:r>
    </w:p>
    <w:p w14:paraId="0E88F29B" w14:textId="295D7639" w:rsidR="00DE1225" w:rsidRDefault="00B5621E" w:rsidP="0072709F">
      <w:pPr>
        <w:pStyle w:val="ListParagraph"/>
        <w:numPr>
          <w:ilvl w:val="0"/>
          <w:numId w:val="29"/>
        </w:numPr>
        <w:tabs>
          <w:tab w:val="clear" w:pos="567"/>
          <w:tab w:val="clear" w:pos="1134"/>
          <w:tab w:val="clear" w:pos="1701"/>
        </w:tabs>
        <w:spacing w:after="160" w:line="259" w:lineRule="auto"/>
        <w:contextualSpacing w:val="0"/>
        <w:jc w:val="both"/>
        <w:rPr>
          <w:rFonts w:ascii="Times New Roman" w:hAnsi="Times New Roman" w:cs="Times New Roman"/>
        </w:rPr>
      </w:pPr>
      <w:r>
        <w:rPr>
          <w:rFonts w:ascii="Times New Roman" w:hAnsi="Times New Roman" w:cs="Times New Roman"/>
        </w:rPr>
        <w:t xml:space="preserve">The Bill should </w:t>
      </w:r>
      <w:r w:rsidR="00CB5B55">
        <w:rPr>
          <w:rFonts w:ascii="Times New Roman" w:hAnsi="Times New Roman" w:cs="Times New Roman"/>
        </w:rPr>
        <w:t xml:space="preserve">be amended to </w:t>
      </w:r>
      <w:r w:rsidR="00DE1225" w:rsidRPr="00DE1225">
        <w:rPr>
          <w:rFonts w:ascii="Times New Roman" w:hAnsi="Times New Roman" w:cs="Times New Roman"/>
        </w:rPr>
        <w:t>require the Senior Practitioner to apply an intersectional gender lens in all activities under Part 7 of the Bill</w:t>
      </w:r>
      <w:r w:rsidR="003D1208">
        <w:rPr>
          <w:rFonts w:ascii="Times New Roman" w:hAnsi="Times New Roman" w:cs="Times New Roman"/>
        </w:rPr>
        <w:t>.</w:t>
      </w:r>
    </w:p>
    <w:p w14:paraId="297F3A07" w14:textId="4297EFCF" w:rsidR="00DE1225" w:rsidRDefault="00B5621E" w:rsidP="0072709F">
      <w:pPr>
        <w:pStyle w:val="ListParagraph"/>
        <w:numPr>
          <w:ilvl w:val="0"/>
          <w:numId w:val="29"/>
        </w:numPr>
        <w:spacing w:after="160" w:line="259" w:lineRule="auto"/>
        <w:contextualSpacing w:val="0"/>
        <w:jc w:val="both"/>
        <w:rPr>
          <w:rFonts w:ascii="Times New Roman" w:hAnsi="Times New Roman" w:cs="Times New Roman"/>
        </w:rPr>
      </w:pPr>
      <w:r>
        <w:rPr>
          <w:rFonts w:ascii="Times New Roman" w:hAnsi="Times New Roman" w:cs="Times New Roman"/>
        </w:rPr>
        <w:t xml:space="preserve">The Bill should </w:t>
      </w:r>
      <w:r w:rsidR="00C62104">
        <w:rPr>
          <w:rFonts w:ascii="Times New Roman" w:hAnsi="Times New Roman" w:cs="Times New Roman"/>
        </w:rPr>
        <w:t xml:space="preserve">be amended to </w:t>
      </w:r>
      <w:r w:rsidR="00DE1225" w:rsidRPr="00B5621E">
        <w:rPr>
          <w:rFonts w:ascii="Times New Roman" w:hAnsi="Times New Roman" w:cs="Times New Roman"/>
        </w:rPr>
        <w:t>require that data reporting, collection, monitoring and reporting on restrictive practices (provided for</w:t>
      </w:r>
      <w:r w:rsidR="00C76EA0">
        <w:rPr>
          <w:rFonts w:ascii="Times New Roman" w:hAnsi="Times New Roman" w:cs="Times New Roman"/>
        </w:rPr>
        <w:t xml:space="preserve"> in</w:t>
      </w:r>
      <w:r w:rsidR="00DE1225" w:rsidRPr="00B5621E">
        <w:rPr>
          <w:rFonts w:ascii="Times New Roman" w:hAnsi="Times New Roman" w:cs="Times New Roman"/>
        </w:rPr>
        <w:t xml:space="preserve"> several places in the Bill) should involve the disaggregation of data according to gender and other demographic characteristics. Such data is essential for understanding the experiences and needs of women and gender diverse consumers, among others, and will be valuable in assessing whether individual and systemic reduction and elimination efforts are adequately tailored to these groups</w:t>
      </w:r>
      <w:r w:rsidR="003D1208">
        <w:rPr>
          <w:rFonts w:ascii="Times New Roman" w:hAnsi="Times New Roman" w:cs="Times New Roman"/>
        </w:rPr>
        <w:t>.</w:t>
      </w:r>
    </w:p>
    <w:p w14:paraId="26D7A4E5" w14:textId="7CF9B823" w:rsidR="00DE1225" w:rsidRPr="00B5621E" w:rsidRDefault="00B5621E" w:rsidP="0072709F">
      <w:pPr>
        <w:pStyle w:val="ListParagraph"/>
        <w:numPr>
          <w:ilvl w:val="0"/>
          <w:numId w:val="29"/>
        </w:numPr>
        <w:spacing w:after="160" w:line="259" w:lineRule="auto"/>
        <w:contextualSpacing w:val="0"/>
        <w:jc w:val="both"/>
        <w:rPr>
          <w:rFonts w:ascii="Times New Roman" w:hAnsi="Times New Roman" w:cs="Times New Roman"/>
        </w:rPr>
      </w:pPr>
      <w:r>
        <w:rPr>
          <w:rFonts w:ascii="Times New Roman" w:hAnsi="Times New Roman" w:cs="Times New Roman"/>
        </w:rPr>
        <w:t>The Bill should</w:t>
      </w:r>
      <w:r w:rsidR="0006583B">
        <w:rPr>
          <w:rFonts w:ascii="Times New Roman" w:hAnsi="Times New Roman" w:cs="Times New Roman"/>
        </w:rPr>
        <w:t xml:space="preserve"> be amended to</w:t>
      </w:r>
      <w:r>
        <w:rPr>
          <w:rFonts w:ascii="Times New Roman" w:hAnsi="Times New Roman" w:cs="Times New Roman"/>
        </w:rPr>
        <w:t xml:space="preserve"> </w:t>
      </w:r>
      <w:r w:rsidR="00DE1225" w:rsidRPr="00B5621E">
        <w:rPr>
          <w:rFonts w:ascii="Times New Roman" w:hAnsi="Times New Roman" w:cs="Times New Roman"/>
        </w:rPr>
        <w:t xml:space="preserve">ensure that </w:t>
      </w:r>
      <w:r w:rsidR="0006583B">
        <w:rPr>
          <w:rFonts w:ascii="Times New Roman" w:hAnsi="Times New Roman" w:cs="Times New Roman"/>
        </w:rPr>
        <w:t xml:space="preserve">a </w:t>
      </w:r>
      <w:r w:rsidR="00DE1225" w:rsidRPr="00B5621E">
        <w:rPr>
          <w:rFonts w:ascii="Times New Roman" w:hAnsi="Times New Roman" w:cs="Times New Roman"/>
        </w:rPr>
        <w:t xml:space="preserve">diversity of people with disability are represented on the Disability Inclusion Advisory Council, in keeping with the inclusion principle </w:t>
      </w:r>
      <w:r w:rsidR="003666CF">
        <w:rPr>
          <w:rFonts w:ascii="Times New Roman" w:hAnsi="Times New Roman" w:cs="Times New Roman"/>
        </w:rPr>
        <w:t xml:space="preserve">in cl 8 </w:t>
      </w:r>
      <w:r w:rsidR="00DE1225" w:rsidRPr="00B5621E">
        <w:rPr>
          <w:rFonts w:ascii="Times New Roman" w:hAnsi="Times New Roman" w:cs="Times New Roman"/>
        </w:rPr>
        <w:t>that refers to ‘the cultural or linguistic diversity (including Aboriginality), age, gender, sexual orientation and religious beliefs’ of people with disability.</w:t>
      </w:r>
    </w:p>
    <w:p w14:paraId="06561CDD" w14:textId="2CF30550" w:rsidR="00DE1225" w:rsidRPr="002A40D2" w:rsidRDefault="007D34F8" w:rsidP="00CF1167">
      <w:pPr>
        <w:pStyle w:val="ListParagraph"/>
        <w:numPr>
          <w:ilvl w:val="0"/>
          <w:numId w:val="30"/>
        </w:numPr>
        <w:spacing w:after="160" w:line="259" w:lineRule="auto"/>
        <w:contextualSpacing w:val="0"/>
        <w:jc w:val="both"/>
        <w:rPr>
          <w:rFonts w:ascii="Times New Roman" w:hAnsi="Times New Roman" w:cs="Times New Roman"/>
        </w:rPr>
      </w:pPr>
      <w:r>
        <w:rPr>
          <w:rFonts w:ascii="Times New Roman" w:hAnsi="Times New Roman" w:cs="Times New Roman"/>
        </w:rPr>
        <w:t>T</w:t>
      </w:r>
      <w:r w:rsidR="00DE1225" w:rsidRPr="00DE1225">
        <w:rPr>
          <w:rFonts w:ascii="Times New Roman" w:hAnsi="Times New Roman" w:cs="Times New Roman"/>
        </w:rPr>
        <w:t xml:space="preserve">he Bill, or guidelines and action to implement the Bill (as appropriate), should make </w:t>
      </w:r>
      <w:r w:rsidR="00DE1225" w:rsidRPr="002A40D2">
        <w:rPr>
          <w:rFonts w:ascii="Times New Roman" w:hAnsi="Times New Roman" w:cs="Times New Roman"/>
        </w:rPr>
        <w:t>provision for processes, such as training and resourcing, to equip disability services to:</w:t>
      </w:r>
    </w:p>
    <w:p w14:paraId="309E0734" w14:textId="31FCD4FF" w:rsidR="00DE1225" w:rsidRPr="002A40D2" w:rsidRDefault="00DE1225" w:rsidP="00CF1167">
      <w:pPr>
        <w:pStyle w:val="WMHAbodytext"/>
        <w:spacing w:after="160" w:line="259" w:lineRule="auto"/>
        <w:rPr>
          <w:rFonts w:ascii="Times New Roman" w:hAnsi="Times New Roman" w:cs="Times New Roman"/>
        </w:rPr>
      </w:pPr>
      <w:r w:rsidRPr="002A40D2">
        <w:rPr>
          <w:rFonts w:ascii="Times New Roman" w:hAnsi="Times New Roman" w:cs="Times New Roman"/>
        </w:rPr>
        <w:t xml:space="preserve">address the influence of gendered expectations and stereotypes on staff decisions about using restrictive </w:t>
      </w:r>
      <w:proofErr w:type="gramStart"/>
      <w:r w:rsidRPr="002A40D2">
        <w:rPr>
          <w:rFonts w:ascii="Times New Roman" w:hAnsi="Times New Roman" w:cs="Times New Roman"/>
        </w:rPr>
        <w:t>practices;</w:t>
      </w:r>
      <w:proofErr w:type="gramEnd"/>
    </w:p>
    <w:p w14:paraId="39872338" w14:textId="27CDF74B" w:rsidR="00DE1225" w:rsidRPr="002A40D2" w:rsidRDefault="00DE1225" w:rsidP="00CF1167">
      <w:pPr>
        <w:pStyle w:val="WMHAbodytext"/>
        <w:spacing w:after="160" w:line="259" w:lineRule="auto"/>
        <w:rPr>
          <w:rFonts w:ascii="Times New Roman" w:hAnsi="Times New Roman" w:cs="Times New Roman"/>
          <w:lang w:eastAsia="en-AU"/>
        </w:rPr>
      </w:pPr>
      <w:r w:rsidRPr="002A40D2">
        <w:rPr>
          <w:rFonts w:ascii="Times New Roman" w:hAnsi="Times New Roman" w:cs="Times New Roman"/>
        </w:rPr>
        <w:t>understand the significance of the gender of people with disability and staff in relation to restrictive practices use and avoidance; and</w:t>
      </w:r>
    </w:p>
    <w:p w14:paraId="569318AF" w14:textId="66C4FEE3" w:rsidR="00DE1225" w:rsidRPr="002A40D2" w:rsidRDefault="00DE1225" w:rsidP="00262B92">
      <w:pPr>
        <w:pStyle w:val="WMHAbodytext"/>
        <w:keepNext/>
        <w:keepLines/>
        <w:spacing w:after="160" w:line="259" w:lineRule="auto"/>
        <w:rPr>
          <w:rFonts w:ascii="Times New Roman" w:hAnsi="Times New Roman" w:cs="Times New Roman"/>
          <w:sz w:val="22"/>
          <w:szCs w:val="22"/>
        </w:rPr>
      </w:pPr>
      <w:r w:rsidRPr="002A40D2">
        <w:rPr>
          <w:rFonts w:ascii="Times New Roman" w:hAnsi="Times New Roman" w:cs="Times New Roman"/>
        </w:rPr>
        <w:lastRenderedPageBreak/>
        <w:t>implement evidence-based alternatives to restrictive practices that are gender-sensitive, trauma-</w:t>
      </w:r>
      <w:proofErr w:type="gramStart"/>
      <w:r w:rsidRPr="002A40D2">
        <w:rPr>
          <w:rFonts w:ascii="Times New Roman" w:hAnsi="Times New Roman" w:cs="Times New Roman"/>
        </w:rPr>
        <w:t>informed</w:t>
      </w:r>
      <w:proofErr w:type="gramEnd"/>
      <w:r w:rsidRPr="002A40D2">
        <w:rPr>
          <w:rFonts w:ascii="Times New Roman" w:hAnsi="Times New Roman" w:cs="Times New Roman"/>
        </w:rPr>
        <w:t xml:space="preserve"> and consistent with contemporary best practice</w:t>
      </w:r>
      <w:r w:rsidR="00B5621E" w:rsidRPr="002A40D2">
        <w:rPr>
          <w:rFonts w:ascii="Times New Roman" w:hAnsi="Times New Roman" w:cs="Times New Roman"/>
        </w:rPr>
        <w:t>.</w:t>
      </w:r>
    </w:p>
    <w:p w14:paraId="7A611E36" w14:textId="341C53CA" w:rsidR="008C426C" w:rsidRPr="002A40D2" w:rsidRDefault="003A7A8C" w:rsidP="00262B92">
      <w:pPr>
        <w:pStyle w:val="NormalWeb"/>
        <w:keepNext/>
        <w:keepLines/>
        <w:spacing w:before="0" w:beforeAutospacing="0" w:after="160" w:afterAutospacing="0" w:line="259" w:lineRule="auto"/>
        <w:jc w:val="both"/>
      </w:pPr>
      <w:r w:rsidRPr="002A40D2">
        <w:t>Kind regards,</w:t>
      </w:r>
    </w:p>
    <w:p w14:paraId="25A984BD" w14:textId="09B042BF" w:rsidR="004768E1" w:rsidRDefault="00F90975" w:rsidP="00262B92">
      <w:pPr>
        <w:keepNext/>
        <w:keepLines/>
        <w:spacing w:after="160" w:line="259" w:lineRule="auto"/>
        <w:jc w:val="both"/>
        <w:rPr>
          <w:rFonts w:ascii="Times New Roman" w:hAnsi="Times New Roman" w:cs="Times New Roman"/>
        </w:rPr>
      </w:pPr>
      <w:r w:rsidRPr="00F90975">
        <w:rPr>
          <w:rFonts w:ascii="Times New Roman" w:hAnsi="Times New Roman" w:cs="Times New Roman"/>
          <w:noProof/>
        </w:rPr>
        <w:drawing>
          <wp:inline distT="0" distB="0" distL="0" distR="0" wp14:anchorId="49FD3E67" wp14:editId="6F146843">
            <wp:extent cx="1580379" cy="385458"/>
            <wp:effectExtent l="0" t="0" r="1270" b="0"/>
            <wp:docPr id="1003543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43973" name=""/>
                    <pic:cNvPicPr/>
                  </pic:nvPicPr>
                  <pic:blipFill>
                    <a:blip r:embed="rId9"/>
                    <a:stretch>
                      <a:fillRect/>
                    </a:stretch>
                  </pic:blipFill>
                  <pic:spPr>
                    <a:xfrm>
                      <a:off x="0" y="0"/>
                      <a:ext cx="1619550" cy="395012"/>
                    </a:xfrm>
                    <a:prstGeom prst="rect">
                      <a:avLst/>
                    </a:prstGeom>
                  </pic:spPr>
                </pic:pic>
              </a:graphicData>
            </a:graphic>
          </wp:inline>
        </w:drawing>
      </w:r>
    </w:p>
    <w:p w14:paraId="2FB1DF6F" w14:textId="26746E97" w:rsidR="005E44A0" w:rsidRDefault="005E44A0" w:rsidP="00262B92">
      <w:pPr>
        <w:keepNext/>
        <w:keepLines/>
        <w:spacing w:after="160" w:line="259" w:lineRule="auto"/>
        <w:jc w:val="both"/>
        <w:rPr>
          <w:rFonts w:ascii="Times New Roman" w:hAnsi="Times New Roman" w:cs="Times New Roman"/>
        </w:rPr>
      </w:pPr>
      <w:r>
        <w:rPr>
          <w:rFonts w:ascii="Times New Roman" w:hAnsi="Times New Roman" w:cs="Times New Roman"/>
        </w:rPr>
        <w:t>Prof. Jeremy Prichard</w:t>
      </w:r>
    </w:p>
    <w:p w14:paraId="6FF01A90" w14:textId="1D59F15C" w:rsidR="005E44A0" w:rsidRDefault="005E44A0" w:rsidP="00262B92">
      <w:pPr>
        <w:keepNext/>
        <w:keepLines/>
        <w:spacing w:after="160" w:line="259" w:lineRule="auto"/>
        <w:jc w:val="both"/>
        <w:rPr>
          <w:rFonts w:ascii="Times New Roman" w:hAnsi="Times New Roman" w:cs="Times New Roman"/>
        </w:rPr>
      </w:pPr>
      <w:r>
        <w:rPr>
          <w:rFonts w:ascii="Times New Roman" w:hAnsi="Times New Roman" w:cs="Times New Roman"/>
        </w:rPr>
        <w:t>Director</w:t>
      </w:r>
    </w:p>
    <w:p w14:paraId="1162C249" w14:textId="77777777" w:rsidR="000F7A10" w:rsidRPr="000E04AF" w:rsidRDefault="000F7A10" w:rsidP="00723C12">
      <w:pPr>
        <w:spacing w:after="160" w:line="259" w:lineRule="auto"/>
        <w:jc w:val="both"/>
        <w:rPr>
          <w:rFonts w:ascii="Times New Roman" w:hAnsi="Times New Roman" w:cs="Times New Roman"/>
        </w:rPr>
      </w:pPr>
    </w:p>
    <w:sectPr w:rsidR="000F7A10" w:rsidRPr="000E04A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DA7DA" w14:textId="77777777" w:rsidR="00D16CD5" w:rsidRDefault="00D16CD5" w:rsidP="00277E98">
      <w:r>
        <w:separator/>
      </w:r>
    </w:p>
  </w:endnote>
  <w:endnote w:type="continuationSeparator" w:id="0">
    <w:p w14:paraId="670D7CE1" w14:textId="77777777" w:rsidR="00D16CD5" w:rsidRDefault="00D16CD5" w:rsidP="00277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5498510"/>
      <w:docPartObj>
        <w:docPartGallery w:val="Page Numbers (Bottom of Page)"/>
        <w:docPartUnique/>
      </w:docPartObj>
    </w:sdtPr>
    <w:sdtContent>
      <w:p w14:paraId="5253F8F9" w14:textId="170F20BE" w:rsidR="009F09F3" w:rsidRDefault="009F09F3" w:rsidP="00D21C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F1215F" w14:textId="77777777" w:rsidR="00277E98" w:rsidRDefault="00277E98" w:rsidP="009F09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2148930"/>
      <w:docPartObj>
        <w:docPartGallery w:val="Page Numbers (Bottom of Page)"/>
        <w:docPartUnique/>
      </w:docPartObj>
    </w:sdtPr>
    <w:sdtContent>
      <w:p w14:paraId="7DE7E6B4" w14:textId="26F602DC" w:rsidR="009F09F3" w:rsidRDefault="009F09F3" w:rsidP="00D21C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C4FE79B" w14:textId="77777777" w:rsidR="00277E98" w:rsidRDefault="00277E98" w:rsidP="009F09F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F1DAA" w14:textId="77777777" w:rsidR="00277E98" w:rsidRDefault="00277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0907C" w14:textId="77777777" w:rsidR="00D16CD5" w:rsidRDefault="00D16CD5" w:rsidP="00277E98">
      <w:r>
        <w:separator/>
      </w:r>
    </w:p>
  </w:footnote>
  <w:footnote w:type="continuationSeparator" w:id="0">
    <w:p w14:paraId="609194D2" w14:textId="77777777" w:rsidR="00D16CD5" w:rsidRDefault="00D16CD5" w:rsidP="00277E98">
      <w:r>
        <w:continuationSeparator/>
      </w:r>
    </w:p>
  </w:footnote>
  <w:footnote w:id="1">
    <w:p w14:paraId="2A3EF16A" w14:textId="77777777" w:rsidR="00984D54" w:rsidRPr="00651130" w:rsidRDefault="00984D54" w:rsidP="00984D54">
      <w:pPr>
        <w:pStyle w:val="FootnoteText"/>
        <w:rPr>
          <w:rFonts w:ascii="Times New Roman" w:hAnsi="Times New Roman" w:cs="Times New Roman"/>
        </w:rPr>
      </w:pPr>
      <w:r w:rsidRPr="00651130">
        <w:rPr>
          <w:rStyle w:val="FootnoteReference"/>
          <w:rFonts w:ascii="Times New Roman" w:hAnsi="Times New Roman" w:cs="Times New Roman"/>
        </w:rPr>
        <w:footnoteRef/>
      </w:r>
      <w:r w:rsidRPr="00651130">
        <w:rPr>
          <w:rFonts w:ascii="Times New Roman" w:hAnsi="Times New Roman" w:cs="Times New Roman"/>
        </w:rPr>
        <w:t xml:space="preserve"> </w:t>
      </w:r>
      <w:r w:rsidRPr="00651130">
        <w:rPr>
          <w:rFonts w:ascii="Times New Roman" w:hAnsi="Times New Roman" w:cs="Times New Roman"/>
          <w:lang w:val="en-GB"/>
        </w:rPr>
        <w:t xml:space="preserve">Yvette Maker, ‘Beyond Restraint: Gender-Sensitive Regulation of the Control of Women’s Behaviour in Australian Mental Health and Disability Services’ in Bernadette McSherry and Yvette Maker (eds), </w:t>
      </w:r>
      <w:r w:rsidRPr="00651130">
        <w:rPr>
          <w:rFonts w:ascii="Times New Roman" w:hAnsi="Times New Roman" w:cs="Times New Roman"/>
          <w:i/>
          <w:iCs/>
          <w:lang w:val="en-GB"/>
        </w:rPr>
        <w:t>Restrictive Practices in Health Care and Disability Settings: Legal, Policy and Practical Responses</w:t>
      </w:r>
      <w:r w:rsidRPr="00651130">
        <w:rPr>
          <w:rFonts w:ascii="Times New Roman" w:hAnsi="Times New Roman" w:cs="Times New Roman"/>
          <w:lang w:val="en-GB"/>
        </w:rPr>
        <w:t xml:space="preserve"> (Routledge, 2021) 91 (‘Beyond Restraint’);</w:t>
      </w:r>
      <w:r w:rsidRPr="00651130">
        <w:rPr>
          <w:rFonts w:ascii="Times New Roman" w:hAnsi="Times New Roman" w:cs="Times New Roman"/>
        </w:rPr>
        <w:t xml:space="preserve"> Yvette Maker, ‘Ending Seclusion and Restraint Use in Victoria’s Mental Health Services: The Implications for Women of the Royal Commission’s Recommendations’ (2022) 47(2) </w:t>
      </w:r>
      <w:r w:rsidRPr="00651130">
        <w:rPr>
          <w:rFonts w:ascii="Times New Roman" w:hAnsi="Times New Roman" w:cs="Times New Roman"/>
          <w:i/>
          <w:iCs/>
        </w:rPr>
        <w:t>Alternative Law Journal</w:t>
      </w:r>
      <w:r w:rsidRPr="00651130">
        <w:rPr>
          <w:rFonts w:ascii="Times New Roman" w:hAnsi="Times New Roman" w:cs="Times New Roman"/>
        </w:rPr>
        <w:t xml:space="preserve"> 150 (‘Ending Seclusion and Restraint Use in Victoria’s Mental Health Services’); Bernadette McSherry and Yvette Maker, </w:t>
      </w:r>
      <w:r w:rsidRPr="00651130">
        <w:rPr>
          <w:rFonts w:ascii="Times New Roman" w:hAnsi="Times New Roman" w:cs="Times New Roman"/>
          <w:i/>
          <w:iCs/>
        </w:rPr>
        <w:t>Restrictive Practices in Health Care and Disability Settings: Legal, Policy and Practical Responses</w:t>
      </w:r>
      <w:r w:rsidRPr="00651130">
        <w:rPr>
          <w:rFonts w:ascii="Times New Roman" w:hAnsi="Times New Roman" w:cs="Times New Roman"/>
        </w:rPr>
        <w:t xml:space="preserve"> (Routledge, 2021); Yvette Maker and Bernadette McSherry, ‘Regulating Restraint Use in Mental Health and Aged Care Settings: Lessons from the Oakden Scandal’ (2019) 44(1) </w:t>
      </w:r>
      <w:r w:rsidRPr="00651130">
        <w:rPr>
          <w:rFonts w:ascii="Times New Roman" w:hAnsi="Times New Roman" w:cs="Times New Roman"/>
          <w:i/>
          <w:iCs/>
        </w:rPr>
        <w:t>Alternative Law Journal</w:t>
      </w:r>
      <w:r w:rsidRPr="00651130">
        <w:rPr>
          <w:rFonts w:ascii="Times New Roman" w:hAnsi="Times New Roman" w:cs="Times New Roman"/>
        </w:rPr>
        <w:t xml:space="preserve"> 29. </w:t>
      </w:r>
    </w:p>
  </w:footnote>
  <w:footnote w:id="2">
    <w:p w14:paraId="2A060A5F" w14:textId="597F08BE" w:rsidR="00990E41" w:rsidRPr="00651130" w:rsidRDefault="00990E41" w:rsidP="00990E41">
      <w:pPr>
        <w:pStyle w:val="FootnoteText"/>
        <w:rPr>
          <w:rFonts w:ascii="Times New Roman" w:hAnsi="Times New Roman" w:cs="Times New Roman"/>
        </w:rPr>
      </w:pPr>
      <w:r w:rsidRPr="00651130">
        <w:rPr>
          <w:rStyle w:val="FootnoteReference"/>
          <w:rFonts w:ascii="Times New Roman" w:hAnsi="Times New Roman" w:cs="Times New Roman"/>
        </w:rPr>
        <w:footnoteRef/>
      </w:r>
      <w:r w:rsidRPr="00651130">
        <w:rPr>
          <w:rFonts w:ascii="Times New Roman" w:hAnsi="Times New Roman" w:cs="Times New Roman"/>
        </w:rPr>
        <w:t xml:space="preserve"> For example, Disability Reform Council, National Framework for Reducing and Eliminating the Use of Restrictive Practices in the Disability Service Sector (Commonwealth Department of Social Services, 2014)</w:t>
      </w:r>
      <w:hyperlink r:id="rId1" w:history="1">
        <w:r w:rsidR="007A069B" w:rsidRPr="00651130">
          <w:rPr>
            <w:rStyle w:val="Hyperlink"/>
            <w:rFonts w:ascii="Times New Roman" w:hAnsi="Times New Roman" w:cs="Times New Roman"/>
          </w:rPr>
          <w:t>https://www.dss.gov.au/sites/default/files/documents/04_2014/national_fraemwork_restricitive_practices_0.pdf</w:t>
        </w:r>
      </w:hyperlink>
      <w:r w:rsidRPr="00651130">
        <w:rPr>
          <w:rFonts w:ascii="Times New Roman" w:hAnsi="Times New Roman" w:cs="Times New Roman"/>
        </w:rPr>
        <w:t xml:space="preserve">; Department of Social Services, </w:t>
      </w:r>
      <w:r w:rsidRPr="00651130">
        <w:rPr>
          <w:rFonts w:ascii="Times New Roman" w:hAnsi="Times New Roman" w:cs="Times New Roman"/>
          <w:i/>
          <w:iCs/>
        </w:rPr>
        <w:t xml:space="preserve">NDIS Quality and Safeguarding Framework </w:t>
      </w:r>
      <w:r w:rsidRPr="00651130">
        <w:rPr>
          <w:rFonts w:ascii="Times New Roman" w:hAnsi="Times New Roman" w:cs="Times New Roman"/>
        </w:rPr>
        <w:t>(Australian Government, 2016);  Restrictive Practice Working Group, National Principles to Support the Goal of Eliminating Mechanical and Physical Restraint in Mental Health Services (Australian Health Ministers’ Advisory Council, 15 December 2016); Royal Commission into Aged Care Quality and Safety,</w:t>
      </w:r>
      <w:r w:rsidRPr="00651130">
        <w:rPr>
          <w:rFonts w:ascii="Times New Roman" w:hAnsi="Times New Roman" w:cs="Times New Roman"/>
          <w:i/>
          <w:iCs/>
        </w:rPr>
        <w:t xml:space="preserve"> Neglect </w:t>
      </w:r>
      <w:r w:rsidRPr="00651130">
        <w:rPr>
          <w:rFonts w:ascii="Times New Roman" w:hAnsi="Times New Roman" w:cs="Times New Roman"/>
        </w:rPr>
        <w:t xml:space="preserve">(Interim Report, 2019) </w:t>
      </w:r>
      <w:proofErr w:type="spellStart"/>
      <w:r w:rsidRPr="00651130">
        <w:rPr>
          <w:rFonts w:ascii="Times New Roman" w:hAnsi="Times New Roman" w:cs="Times New Roman"/>
        </w:rPr>
        <w:t>ch</w:t>
      </w:r>
      <w:proofErr w:type="spellEnd"/>
      <w:r w:rsidRPr="00651130">
        <w:rPr>
          <w:rFonts w:ascii="Times New Roman" w:hAnsi="Times New Roman" w:cs="Times New Roman"/>
        </w:rPr>
        <w:t xml:space="preserve"> 8; Royal Commission into Aged Care Quality and Safety, </w:t>
      </w:r>
      <w:r w:rsidRPr="00651130">
        <w:rPr>
          <w:rFonts w:ascii="Times New Roman" w:hAnsi="Times New Roman" w:cs="Times New Roman"/>
          <w:i/>
          <w:iCs/>
        </w:rPr>
        <w:t>Care, Dignity and Respect</w:t>
      </w:r>
      <w:r w:rsidRPr="00651130">
        <w:rPr>
          <w:rFonts w:ascii="Times New Roman" w:hAnsi="Times New Roman" w:cs="Times New Roman"/>
        </w:rPr>
        <w:t xml:space="preserve"> (Final Report, 2021) vol 2, 91-183; The Royal Australian and New Zealand College of Psychiatrists, </w:t>
      </w:r>
      <w:r w:rsidRPr="00651130">
        <w:rPr>
          <w:rFonts w:ascii="Times New Roman" w:hAnsi="Times New Roman" w:cs="Times New Roman"/>
          <w:i/>
          <w:iCs/>
        </w:rPr>
        <w:t>Minimising and, Where Possible, Eliminating the Use of Seclusion and Restraint</w:t>
      </w:r>
      <w:r w:rsidRPr="00651130">
        <w:rPr>
          <w:rFonts w:ascii="Times New Roman" w:hAnsi="Times New Roman" w:cs="Times New Roman"/>
        </w:rPr>
        <w:t xml:space="preserve"> (Position Statement, 2021); Claire Spivakovsky, Linda Steele and Dinesh </w:t>
      </w:r>
      <w:proofErr w:type="spellStart"/>
      <w:r w:rsidRPr="00651130">
        <w:rPr>
          <w:rFonts w:ascii="Times New Roman" w:hAnsi="Times New Roman" w:cs="Times New Roman"/>
        </w:rPr>
        <w:t>Wadiwel</w:t>
      </w:r>
      <w:proofErr w:type="spellEnd"/>
      <w:r w:rsidRPr="00651130">
        <w:rPr>
          <w:rFonts w:ascii="Times New Roman" w:hAnsi="Times New Roman" w:cs="Times New Roman"/>
        </w:rPr>
        <w:t xml:space="preserve">, </w:t>
      </w:r>
      <w:r w:rsidRPr="00651130">
        <w:rPr>
          <w:rFonts w:ascii="Times New Roman" w:hAnsi="Times New Roman" w:cs="Times New Roman"/>
          <w:i/>
          <w:iCs/>
        </w:rPr>
        <w:t xml:space="preserve">Restrictive Practices: A Pathway to Elimination </w:t>
      </w:r>
      <w:r w:rsidRPr="00651130">
        <w:rPr>
          <w:rFonts w:ascii="Times New Roman" w:hAnsi="Times New Roman" w:cs="Times New Roman"/>
        </w:rPr>
        <w:t xml:space="preserve">(Research Report, Royal Commission into Violence, Abuse, Neglect and Exploitation of People with Disability, July 2023); see also Bernadette McSherry and Yvette Maker, ‘Restrictive Practices: Options and Opportunities’ in B McSherry and Y Maker, </w:t>
      </w:r>
      <w:r w:rsidRPr="00651130">
        <w:rPr>
          <w:rFonts w:ascii="Times New Roman" w:hAnsi="Times New Roman" w:cs="Times New Roman"/>
          <w:i/>
          <w:iCs/>
        </w:rPr>
        <w:t xml:space="preserve">Restrictive Practices in Health Care and Disability Settings: Legal, Policy and Practical Responses </w:t>
      </w:r>
      <w:r w:rsidRPr="00651130">
        <w:rPr>
          <w:rFonts w:ascii="Times New Roman" w:hAnsi="Times New Roman" w:cs="Times New Roman"/>
        </w:rPr>
        <w:t>(Routledge, 2021) 3.</w:t>
      </w:r>
    </w:p>
  </w:footnote>
  <w:footnote w:id="3">
    <w:p w14:paraId="0891AD06" w14:textId="77777777" w:rsidR="00301376" w:rsidRPr="00651130" w:rsidRDefault="00301376" w:rsidP="00301376">
      <w:pPr>
        <w:pStyle w:val="FootnoteText"/>
        <w:rPr>
          <w:rFonts w:ascii="Times New Roman" w:hAnsi="Times New Roman" w:cs="Times New Roman"/>
        </w:rPr>
      </w:pPr>
      <w:r w:rsidRPr="00651130">
        <w:rPr>
          <w:rStyle w:val="FootnoteReference"/>
          <w:rFonts w:ascii="Times New Roman" w:hAnsi="Times New Roman" w:cs="Times New Roman"/>
        </w:rPr>
        <w:footnoteRef/>
      </w:r>
      <w:r w:rsidRPr="00651130">
        <w:rPr>
          <w:rFonts w:ascii="Times New Roman" w:hAnsi="Times New Roman" w:cs="Times New Roman"/>
        </w:rPr>
        <w:t xml:space="preserve"> cl 49(1)(c), (f).</w:t>
      </w:r>
    </w:p>
  </w:footnote>
  <w:footnote w:id="4">
    <w:p w14:paraId="57A786E3" w14:textId="5BC41CEA" w:rsidR="00301376" w:rsidRPr="00651130" w:rsidRDefault="00301376" w:rsidP="00301376">
      <w:pPr>
        <w:pStyle w:val="FootnoteText"/>
        <w:rPr>
          <w:rFonts w:ascii="Times New Roman" w:hAnsi="Times New Roman" w:cs="Times New Roman"/>
        </w:rPr>
      </w:pPr>
      <w:r w:rsidRPr="00651130">
        <w:rPr>
          <w:rStyle w:val="FootnoteReference"/>
          <w:rFonts w:ascii="Times New Roman" w:hAnsi="Times New Roman" w:cs="Times New Roman"/>
        </w:rPr>
        <w:footnoteRef/>
      </w:r>
      <w:r w:rsidRPr="00651130">
        <w:rPr>
          <w:rFonts w:ascii="Times New Roman" w:hAnsi="Times New Roman" w:cs="Times New Roman"/>
        </w:rPr>
        <w:t xml:space="preserve"> Spivakovsky et al (n </w:t>
      </w:r>
      <w:r w:rsidRPr="00651130">
        <w:rPr>
          <w:rFonts w:ascii="Times New Roman" w:hAnsi="Times New Roman" w:cs="Times New Roman"/>
        </w:rPr>
        <w:fldChar w:fldCharType="begin"/>
      </w:r>
      <w:r w:rsidRPr="00651130">
        <w:rPr>
          <w:rFonts w:ascii="Times New Roman" w:hAnsi="Times New Roman" w:cs="Times New Roman"/>
        </w:rPr>
        <w:instrText xml:space="preserve"> NOTEREF _Ref144889654 \h  \* MERGEFORMAT </w:instrText>
      </w:r>
      <w:r w:rsidRPr="00651130">
        <w:rPr>
          <w:rFonts w:ascii="Times New Roman" w:hAnsi="Times New Roman" w:cs="Times New Roman"/>
        </w:rPr>
      </w:r>
      <w:r w:rsidRPr="00651130">
        <w:rPr>
          <w:rFonts w:ascii="Times New Roman" w:hAnsi="Times New Roman" w:cs="Times New Roman"/>
        </w:rPr>
        <w:fldChar w:fldCharType="separate"/>
      </w:r>
      <w:r w:rsidR="00BE6A87">
        <w:rPr>
          <w:rFonts w:ascii="Times New Roman" w:hAnsi="Times New Roman" w:cs="Times New Roman"/>
        </w:rPr>
        <w:t>2</w:t>
      </w:r>
      <w:r w:rsidRPr="00651130">
        <w:rPr>
          <w:rFonts w:ascii="Times New Roman" w:hAnsi="Times New Roman" w:cs="Times New Roman"/>
        </w:rPr>
        <w:fldChar w:fldCharType="end"/>
      </w:r>
      <w:r w:rsidRPr="00651130">
        <w:rPr>
          <w:rFonts w:ascii="Times New Roman" w:hAnsi="Times New Roman" w:cs="Times New Roman"/>
        </w:rPr>
        <w:t>) 231.</w:t>
      </w:r>
    </w:p>
  </w:footnote>
  <w:footnote w:id="5">
    <w:p w14:paraId="50EE85C9" w14:textId="77777777" w:rsidR="00301376" w:rsidRPr="00651130" w:rsidRDefault="00301376" w:rsidP="00301376">
      <w:pPr>
        <w:pStyle w:val="FootnoteText"/>
        <w:rPr>
          <w:rFonts w:ascii="Times New Roman" w:hAnsi="Times New Roman" w:cs="Times New Roman"/>
        </w:rPr>
      </w:pPr>
      <w:r w:rsidRPr="00651130">
        <w:rPr>
          <w:rStyle w:val="FootnoteReference"/>
          <w:rFonts w:ascii="Times New Roman" w:hAnsi="Times New Roman" w:cs="Times New Roman"/>
        </w:rPr>
        <w:footnoteRef/>
      </w:r>
      <w:r w:rsidRPr="00651130">
        <w:rPr>
          <w:rFonts w:ascii="Times New Roman" w:hAnsi="Times New Roman" w:cs="Times New Roman"/>
        </w:rPr>
        <w:t xml:space="preserve"> Ibid </w:t>
      </w:r>
      <w:proofErr w:type="spellStart"/>
      <w:r w:rsidRPr="00651130">
        <w:rPr>
          <w:rFonts w:ascii="Times New Roman" w:hAnsi="Times New Roman" w:cs="Times New Roman"/>
        </w:rPr>
        <w:t>ch</w:t>
      </w:r>
      <w:proofErr w:type="spellEnd"/>
      <w:r w:rsidRPr="00651130">
        <w:rPr>
          <w:rFonts w:ascii="Times New Roman" w:hAnsi="Times New Roman" w:cs="Times New Roman"/>
        </w:rPr>
        <w:t xml:space="preserve"> 5.</w:t>
      </w:r>
    </w:p>
  </w:footnote>
  <w:footnote w:id="6">
    <w:p w14:paraId="698F4942" w14:textId="51BDD717" w:rsidR="00301376" w:rsidRPr="00651130" w:rsidRDefault="00301376" w:rsidP="00301376">
      <w:pPr>
        <w:pStyle w:val="FootnoteText"/>
        <w:rPr>
          <w:rFonts w:ascii="Times New Roman" w:hAnsi="Times New Roman" w:cs="Times New Roman"/>
        </w:rPr>
      </w:pPr>
      <w:r w:rsidRPr="00651130">
        <w:rPr>
          <w:rStyle w:val="FootnoteReference"/>
          <w:rFonts w:ascii="Times New Roman" w:hAnsi="Times New Roman" w:cs="Times New Roman"/>
        </w:rPr>
        <w:footnoteRef/>
      </w:r>
      <w:r w:rsidRPr="00651130">
        <w:rPr>
          <w:rFonts w:ascii="Times New Roman" w:hAnsi="Times New Roman" w:cs="Times New Roman"/>
        </w:rPr>
        <w:t xml:space="preserve"> Human Rights Council, </w:t>
      </w:r>
      <w:r w:rsidRPr="00651130">
        <w:rPr>
          <w:rFonts w:ascii="Times New Roman" w:hAnsi="Times New Roman" w:cs="Times New Roman"/>
          <w:i/>
          <w:iCs/>
        </w:rPr>
        <w:t>Report of the Special Rapporteur on Torture and other Cruel, Inhuman or Degrading Treatment or Punishment</w:t>
      </w:r>
      <w:r w:rsidRPr="00651130">
        <w:rPr>
          <w:rFonts w:ascii="Times New Roman" w:hAnsi="Times New Roman" w:cs="Times New Roman"/>
        </w:rPr>
        <w:t xml:space="preserve">, Juan E Mendez, 22nd </w:t>
      </w:r>
      <w:proofErr w:type="spellStart"/>
      <w:r w:rsidRPr="00651130">
        <w:rPr>
          <w:rFonts w:ascii="Times New Roman" w:hAnsi="Times New Roman" w:cs="Times New Roman"/>
        </w:rPr>
        <w:t>sess</w:t>
      </w:r>
      <w:proofErr w:type="spellEnd"/>
      <w:r w:rsidRPr="00651130">
        <w:rPr>
          <w:rFonts w:ascii="Times New Roman" w:hAnsi="Times New Roman" w:cs="Times New Roman"/>
        </w:rPr>
        <w:t xml:space="preserve">, UN Doc A/HRC/22/53 (1 February 2013) para 63; CRPD Committee, Guidelines on Article 14 of the Convention on the Rights of Persons with Disabilities, 14th </w:t>
      </w:r>
      <w:proofErr w:type="spellStart"/>
      <w:r w:rsidRPr="00651130">
        <w:rPr>
          <w:rFonts w:ascii="Times New Roman" w:hAnsi="Times New Roman" w:cs="Times New Roman"/>
        </w:rPr>
        <w:t>sess</w:t>
      </w:r>
      <w:proofErr w:type="spellEnd"/>
      <w:r w:rsidRPr="00651130">
        <w:rPr>
          <w:rFonts w:ascii="Times New Roman" w:hAnsi="Times New Roman" w:cs="Times New Roman"/>
        </w:rPr>
        <w:t xml:space="preserve">, September 2015, para 12 https://www.ohchr.org/Documents/HRBodies/CRPD/.../GuidelinesOnArticle14.doc; Human Rights Council, Report of the Special Rapporteur on the Right of Everyone to the Enjoyment of the Highest Attainable Standard of Physical and Mental Health, 35th </w:t>
      </w:r>
      <w:proofErr w:type="spellStart"/>
      <w:r w:rsidRPr="00651130">
        <w:rPr>
          <w:rFonts w:ascii="Times New Roman" w:hAnsi="Times New Roman" w:cs="Times New Roman"/>
        </w:rPr>
        <w:t>sess</w:t>
      </w:r>
      <w:proofErr w:type="spellEnd"/>
      <w:r w:rsidRPr="00651130">
        <w:rPr>
          <w:rFonts w:ascii="Times New Roman" w:hAnsi="Times New Roman" w:cs="Times New Roman"/>
        </w:rPr>
        <w:t xml:space="preserve">, UN Doc A/HRC/35/21 (28 January 2017) paras 65, 95; Spivakovsky et al (n </w:t>
      </w:r>
      <w:r w:rsidRPr="00651130">
        <w:rPr>
          <w:rFonts w:ascii="Times New Roman" w:hAnsi="Times New Roman" w:cs="Times New Roman"/>
        </w:rPr>
        <w:fldChar w:fldCharType="begin"/>
      </w:r>
      <w:r w:rsidRPr="00651130">
        <w:rPr>
          <w:rFonts w:ascii="Times New Roman" w:hAnsi="Times New Roman" w:cs="Times New Roman"/>
        </w:rPr>
        <w:instrText xml:space="preserve"> NOTEREF _Ref144889654 \h  \* MERGEFORMAT </w:instrText>
      </w:r>
      <w:r w:rsidRPr="00651130">
        <w:rPr>
          <w:rFonts w:ascii="Times New Roman" w:hAnsi="Times New Roman" w:cs="Times New Roman"/>
        </w:rPr>
      </w:r>
      <w:r w:rsidRPr="00651130">
        <w:rPr>
          <w:rFonts w:ascii="Times New Roman" w:hAnsi="Times New Roman" w:cs="Times New Roman"/>
        </w:rPr>
        <w:fldChar w:fldCharType="separate"/>
      </w:r>
      <w:r w:rsidR="00BE6A87">
        <w:rPr>
          <w:rFonts w:ascii="Times New Roman" w:hAnsi="Times New Roman" w:cs="Times New Roman"/>
        </w:rPr>
        <w:t>2</w:t>
      </w:r>
      <w:r w:rsidRPr="00651130">
        <w:rPr>
          <w:rFonts w:ascii="Times New Roman" w:hAnsi="Times New Roman" w:cs="Times New Roman"/>
        </w:rPr>
        <w:fldChar w:fldCharType="end"/>
      </w:r>
      <w:r w:rsidRPr="00651130">
        <w:rPr>
          <w:rFonts w:ascii="Times New Roman" w:hAnsi="Times New Roman" w:cs="Times New Roman"/>
        </w:rPr>
        <w:t>).</w:t>
      </w:r>
    </w:p>
  </w:footnote>
  <w:footnote w:id="7">
    <w:p w14:paraId="38FA4FA1" w14:textId="1AD9F1C9" w:rsidR="00301376" w:rsidRPr="00651130" w:rsidRDefault="00301376" w:rsidP="00301376">
      <w:pPr>
        <w:pStyle w:val="FootnoteText"/>
        <w:rPr>
          <w:rFonts w:ascii="Times New Roman" w:hAnsi="Times New Roman" w:cs="Times New Roman"/>
        </w:rPr>
      </w:pPr>
      <w:r w:rsidRPr="00651130">
        <w:rPr>
          <w:rStyle w:val="FootnoteReference"/>
          <w:rFonts w:ascii="Times New Roman" w:hAnsi="Times New Roman" w:cs="Times New Roman"/>
        </w:rPr>
        <w:footnoteRef/>
      </w:r>
      <w:r w:rsidRPr="00651130">
        <w:rPr>
          <w:rFonts w:ascii="Times New Roman" w:hAnsi="Times New Roman" w:cs="Times New Roman"/>
        </w:rPr>
        <w:t xml:space="preserve"> Spivakovsky et al (n </w:t>
      </w:r>
      <w:r w:rsidRPr="00651130">
        <w:rPr>
          <w:rFonts w:ascii="Times New Roman" w:hAnsi="Times New Roman" w:cs="Times New Roman"/>
        </w:rPr>
        <w:fldChar w:fldCharType="begin"/>
      </w:r>
      <w:r w:rsidRPr="00651130">
        <w:rPr>
          <w:rFonts w:ascii="Times New Roman" w:hAnsi="Times New Roman" w:cs="Times New Roman"/>
        </w:rPr>
        <w:instrText xml:space="preserve"> NOTEREF _Ref144889654 \h  \* MERGEFORMAT </w:instrText>
      </w:r>
      <w:r w:rsidRPr="00651130">
        <w:rPr>
          <w:rFonts w:ascii="Times New Roman" w:hAnsi="Times New Roman" w:cs="Times New Roman"/>
        </w:rPr>
      </w:r>
      <w:r w:rsidRPr="00651130">
        <w:rPr>
          <w:rFonts w:ascii="Times New Roman" w:hAnsi="Times New Roman" w:cs="Times New Roman"/>
        </w:rPr>
        <w:fldChar w:fldCharType="separate"/>
      </w:r>
      <w:r w:rsidR="00BE6A87">
        <w:rPr>
          <w:rFonts w:ascii="Times New Roman" w:hAnsi="Times New Roman" w:cs="Times New Roman"/>
        </w:rPr>
        <w:t>2</w:t>
      </w:r>
      <w:r w:rsidRPr="00651130">
        <w:rPr>
          <w:rFonts w:ascii="Times New Roman" w:hAnsi="Times New Roman" w:cs="Times New Roman"/>
        </w:rPr>
        <w:fldChar w:fldCharType="end"/>
      </w:r>
      <w:r w:rsidRPr="00651130">
        <w:rPr>
          <w:rFonts w:ascii="Times New Roman" w:hAnsi="Times New Roman" w:cs="Times New Roman"/>
        </w:rPr>
        <w:t xml:space="preserve">) 241 (and see </w:t>
      </w:r>
      <w:proofErr w:type="spellStart"/>
      <w:r w:rsidR="00B81EC2">
        <w:rPr>
          <w:rFonts w:ascii="Times New Roman" w:hAnsi="Times New Roman" w:cs="Times New Roman"/>
        </w:rPr>
        <w:t>c</w:t>
      </w:r>
      <w:r w:rsidRPr="00651130">
        <w:rPr>
          <w:rFonts w:ascii="Times New Roman" w:hAnsi="Times New Roman" w:cs="Times New Roman"/>
        </w:rPr>
        <w:t>h</w:t>
      </w:r>
      <w:proofErr w:type="spellEnd"/>
      <w:r w:rsidRPr="00651130">
        <w:rPr>
          <w:rFonts w:ascii="Times New Roman" w:hAnsi="Times New Roman" w:cs="Times New Roman"/>
        </w:rPr>
        <w:t xml:space="preserve"> 6 generally).</w:t>
      </w:r>
    </w:p>
  </w:footnote>
  <w:footnote w:id="8">
    <w:p w14:paraId="75CDA77B" w14:textId="77777777" w:rsidR="00301376" w:rsidRPr="00651130" w:rsidRDefault="00301376" w:rsidP="00301376">
      <w:pPr>
        <w:pStyle w:val="FootnoteText"/>
        <w:rPr>
          <w:rFonts w:ascii="Times New Roman" w:hAnsi="Times New Roman" w:cs="Times New Roman"/>
        </w:rPr>
      </w:pPr>
      <w:r w:rsidRPr="00651130">
        <w:rPr>
          <w:rStyle w:val="FootnoteReference"/>
          <w:rFonts w:ascii="Times New Roman" w:hAnsi="Times New Roman" w:cs="Times New Roman"/>
        </w:rPr>
        <w:footnoteRef/>
      </w:r>
      <w:r w:rsidRPr="00651130">
        <w:rPr>
          <w:rFonts w:ascii="Times New Roman" w:hAnsi="Times New Roman" w:cs="Times New Roman"/>
        </w:rPr>
        <w:t xml:space="preserve"> </w:t>
      </w:r>
      <w:r w:rsidRPr="00651130">
        <w:rPr>
          <w:rFonts w:ascii="Times New Roman" w:hAnsi="Times New Roman" w:cs="Times New Roman"/>
          <w:i/>
          <w:iCs/>
        </w:rPr>
        <w:t>Royal Commission into Victoria’s Mental Health System</w:t>
      </w:r>
      <w:r w:rsidRPr="00651130">
        <w:rPr>
          <w:rFonts w:ascii="Times New Roman" w:hAnsi="Times New Roman" w:cs="Times New Roman"/>
        </w:rPr>
        <w:t xml:space="preserve"> (Final Report, February 2021) vol. 4, 300.</w:t>
      </w:r>
    </w:p>
  </w:footnote>
  <w:footnote w:id="9">
    <w:p w14:paraId="6D9F0B46" w14:textId="348B1CF0" w:rsidR="00301376" w:rsidRPr="00651130" w:rsidRDefault="00301376" w:rsidP="00301376">
      <w:pPr>
        <w:pStyle w:val="FootnoteText"/>
        <w:rPr>
          <w:rFonts w:ascii="Times New Roman" w:hAnsi="Times New Roman" w:cs="Times New Roman"/>
        </w:rPr>
      </w:pPr>
      <w:r w:rsidRPr="00651130">
        <w:rPr>
          <w:rStyle w:val="FootnoteReference"/>
          <w:rFonts w:ascii="Times New Roman" w:hAnsi="Times New Roman" w:cs="Times New Roman"/>
        </w:rPr>
        <w:footnoteRef/>
      </w:r>
      <w:r w:rsidRPr="00651130">
        <w:rPr>
          <w:rFonts w:ascii="Times New Roman" w:hAnsi="Times New Roman" w:cs="Times New Roman"/>
        </w:rPr>
        <w:t xml:space="preserve"> Ibid, 344-5.</w:t>
      </w:r>
    </w:p>
  </w:footnote>
  <w:footnote w:id="10">
    <w:p w14:paraId="0980645C" w14:textId="77777777" w:rsidR="00301376" w:rsidRPr="00651130" w:rsidRDefault="00301376" w:rsidP="00301376">
      <w:pPr>
        <w:pStyle w:val="FootnoteText"/>
        <w:rPr>
          <w:rFonts w:ascii="Times New Roman" w:hAnsi="Times New Roman" w:cs="Times New Roman"/>
        </w:rPr>
      </w:pPr>
      <w:r w:rsidRPr="00651130">
        <w:rPr>
          <w:rStyle w:val="FootnoteReference"/>
          <w:rFonts w:ascii="Times New Roman" w:hAnsi="Times New Roman" w:cs="Times New Roman"/>
        </w:rPr>
        <w:footnoteRef/>
      </w:r>
      <w:r w:rsidRPr="00651130">
        <w:rPr>
          <w:rFonts w:ascii="Times New Roman" w:hAnsi="Times New Roman" w:cs="Times New Roman"/>
        </w:rPr>
        <w:t xml:space="preserve"> s 12(c)(ix)(B).</w:t>
      </w:r>
    </w:p>
  </w:footnote>
  <w:footnote w:id="11">
    <w:p w14:paraId="1D96CE81" w14:textId="77777777" w:rsidR="00301376" w:rsidRPr="00651130" w:rsidRDefault="00301376" w:rsidP="00301376">
      <w:pPr>
        <w:pStyle w:val="FootnoteText"/>
        <w:rPr>
          <w:rFonts w:ascii="Times New Roman" w:hAnsi="Times New Roman" w:cs="Times New Roman"/>
        </w:rPr>
      </w:pPr>
      <w:r w:rsidRPr="00651130">
        <w:rPr>
          <w:rStyle w:val="FootnoteReference"/>
          <w:rFonts w:ascii="Times New Roman" w:hAnsi="Times New Roman" w:cs="Times New Roman"/>
        </w:rPr>
        <w:footnoteRef/>
      </w:r>
      <w:r w:rsidRPr="00651130">
        <w:rPr>
          <w:rFonts w:ascii="Times New Roman" w:hAnsi="Times New Roman" w:cs="Times New Roman"/>
        </w:rPr>
        <w:t xml:space="preserve"> s 125.</w:t>
      </w:r>
    </w:p>
  </w:footnote>
  <w:footnote w:id="12">
    <w:p w14:paraId="3D7CDD5E" w14:textId="77777777" w:rsidR="00301376" w:rsidRPr="00651130" w:rsidRDefault="00301376" w:rsidP="00301376">
      <w:pPr>
        <w:pStyle w:val="FootnoteText"/>
        <w:rPr>
          <w:rFonts w:ascii="Times New Roman" w:hAnsi="Times New Roman" w:cs="Times New Roman"/>
        </w:rPr>
      </w:pPr>
      <w:r w:rsidRPr="00651130">
        <w:rPr>
          <w:rStyle w:val="FootnoteReference"/>
          <w:rFonts w:ascii="Times New Roman" w:hAnsi="Times New Roman" w:cs="Times New Roman"/>
        </w:rPr>
        <w:footnoteRef/>
      </w:r>
      <w:r w:rsidRPr="00651130">
        <w:rPr>
          <w:rFonts w:ascii="Times New Roman" w:hAnsi="Times New Roman" w:cs="Times New Roman"/>
        </w:rPr>
        <w:t xml:space="preserve"> ss 254(h)–(</w:t>
      </w:r>
      <w:proofErr w:type="spellStart"/>
      <w:r w:rsidRPr="00651130">
        <w:rPr>
          <w:rFonts w:ascii="Times New Roman" w:hAnsi="Times New Roman" w:cs="Times New Roman"/>
        </w:rPr>
        <w:t>i</w:t>
      </w:r>
      <w:proofErr w:type="spellEnd"/>
      <w:r w:rsidRPr="00651130">
        <w:rPr>
          <w:rFonts w:ascii="Times New Roman" w:hAnsi="Times New Roman" w:cs="Times New Roman"/>
        </w:rPr>
        <w:t>), 261(1)(g)–(h).</w:t>
      </w:r>
    </w:p>
  </w:footnote>
  <w:footnote w:id="13">
    <w:p w14:paraId="7A4522F5" w14:textId="77777777" w:rsidR="00301376" w:rsidRPr="00651130" w:rsidRDefault="00301376" w:rsidP="00301376">
      <w:pPr>
        <w:pStyle w:val="FootnoteText"/>
        <w:rPr>
          <w:rFonts w:ascii="Times New Roman" w:hAnsi="Times New Roman" w:cs="Times New Roman"/>
        </w:rPr>
      </w:pPr>
      <w:r w:rsidRPr="00651130">
        <w:rPr>
          <w:rStyle w:val="FootnoteReference"/>
          <w:rFonts w:ascii="Times New Roman" w:hAnsi="Times New Roman" w:cs="Times New Roman"/>
        </w:rPr>
        <w:footnoteRef/>
      </w:r>
      <w:r w:rsidRPr="00651130">
        <w:rPr>
          <w:rFonts w:ascii="Times New Roman" w:hAnsi="Times New Roman" w:cs="Times New Roman"/>
        </w:rPr>
        <w:t xml:space="preserve"> For example, Rebecca Fish and Eloise Culshaw, ‘The Last Resort?: Staff and Client Perspectives on Physical Intervention’ (2005) 9(2) </w:t>
      </w:r>
      <w:r w:rsidRPr="00651130">
        <w:rPr>
          <w:rFonts w:ascii="Times New Roman" w:hAnsi="Times New Roman" w:cs="Times New Roman"/>
          <w:i/>
          <w:iCs/>
        </w:rPr>
        <w:t>Journal of Intellectual Disabilities</w:t>
      </w:r>
      <w:r w:rsidRPr="00651130">
        <w:rPr>
          <w:rFonts w:ascii="Times New Roman" w:hAnsi="Times New Roman" w:cs="Times New Roman"/>
        </w:rPr>
        <w:t xml:space="preserve"> 93; Rebecca Fish and Chris Hatton, ‘Gendered Experiences of Physical Restraint on Locked Wards for Women’ (2017) 32(6) </w:t>
      </w:r>
      <w:r w:rsidRPr="00651130">
        <w:rPr>
          <w:rFonts w:ascii="Times New Roman" w:hAnsi="Times New Roman" w:cs="Times New Roman"/>
          <w:i/>
          <w:iCs/>
        </w:rPr>
        <w:t xml:space="preserve">Disability &amp; Society </w:t>
      </w:r>
      <w:r w:rsidRPr="00651130">
        <w:rPr>
          <w:rFonts w:ascii="Times New Roman" w:hAnsi="Times New Roman" w:cs="Times New Roman"/>
        </w:rPr>
        <w:t xml:space="preserve">790; Ruth Gallop et al, ‘The Experience of Hospitalization and Restraint of Women Who Have a History of Childhood Sexual Abuse’ (1999) 20(4) </w:t>
      </w:r>
      <w:r w:rsidRPr="00651130">
        <w:rPr>
          <w:rFonts w:ascii="Times New Roman" w:hAnsi="Times New Roman" w:cs="Times New Roman"/>
          <w:i/>
          <w:iCs/>
        </w:rPr>
        <w:t xml:space="preserve">Health Care for Women International </w:t>
      </w:r>
      <w:r w:rsidRPr="00651130">
        <w:rPr>
          <w:rFonts w:ascii="Times New Roman" w:hAnsi="Times New Roman" w:cs="Times New Roman"/>
        </w:rPr>
        <w:t xml:space="preserve">401; Mary E Johnson, ‘Being Restrained: A Study of Power and Powerlessness’ (1998) 19(3) </w:t>
      </w:r>
      <w:r w:rsidRPr="00651130">
        <w:rPr>
          <w:rFonts w:ascii="Times New Roman" w:hAnsi="Times New Roman" w:cs="Times New Roman"/>
          <w:i/>
          <w:iCs/>
        </w:rPr>
        <w:t>Issues in Mental Health Nursing</w:t>
      </w:r>
      <w:r w:rsidRPr="00651130">
        <w:rPr>
          <w:rFonts w:ascii="Times New Roman" w:hAnsi="Times New Roman" w:cs="Times New Roman"/>
        </w:rPr>
        <w:t xml:space="preserve"> 191.</w:t>
      </w:r>
    </w:p>
  </w:footnote>
  <w:footnote w:id="14">
    <w:p w14:paraId="495AF99B" w14:textId="77777777" w:rsidR="00301376" w:rsidRPr="00651130" w:rsidRDefault="00301376" w:rsidP="00301376">
      <w:pPr>
        <w:pStyle w:val="pf0"/>
        <w:spacing w:before="0" w:beforeAutospacing="0" w:after="0" w:afterAutospacing="0"/>
        <w:rPr>
          <w:sz w:val="20"/>
          <w:szCs w:val="20"/>
        </w:rPr>
      </w:pPr>
      <w:r w:rsidRPr="00651130">
        <w:rPr>
          <w:rStyle w:val="FootnoteReference"/>
          <w:sz w:val="20"/>
          <w:szCs w:val="20"/>
        </w:rPr>
        <w:footnoteRef/>
      </w:r>
      <w:r w:rsidRPr="00651130">
        <w:rPr>
          <w:sz w:val="20"/>
          <w:szCs w:val="20"/>
        </w:rPr>
        <w:t xml:space="preserve"> Leanne Dowse et al, ‘Mind the Gap: The Extent of Violence against Women with Disabilities in Australia’ (2016) 51(3) </w:t>
      </w:r>
      <w:r w:rsidRPr="00651130">
        <w:rPr>
          <w:i/>
          <w:iCs/>
          <w:sz w:val="20"/>
          <w:szCs w:val="20"/>
        </w:rPr>
        <w:t>Australian Journal of Social Issues</w:t>
      </w:r>
      <w:r w:rsidRPr="00651130">
        <w:rPr>
          <w:sz w:val="20"/>
          <w:szCs w:val="20"/>
        </w:rPr>
        <w:t xml:space="preserve"> 341; Senate Community Affairs References Committee (Australia), </w:t>
      </w:r>
      <w:r w:rsidRPr="00651130">
        <w:rPr>
          <w:i/>
          <w:iCs/>
          <w:sz w:val="20"/>
          <w:szCs w:val="20"/>
        </w:rPr>
        <w:t xml:space="preserve">Violence, Abuse and Neglect against People with Disability in Institutional and Residential Settings, Including the Gender and Age Related Dimensions, and the Particular Situation of Aboriginal and Torres Strait Islander People with Disability, and Culturally and Linguistically Diverse People with Disability </w:t>
      </w:r>
      <w:r w:rsidRPr="00651130">
        <w:rPr>
          <w:sz w:val="20"/>
          <w:szCs w:val="20"/>
        </w:rPr>
        <w:t xml:space="preserve">(Report, November 2015); </w:t>
      </w:r>
      <w:r w:rsidRPr="00651130">
        <w:rPr>
          <w:rStyle w:val="cf01"/>
          <w:rFonts w:ascii="Times New Roman" w:hAnsi="Times New Roman" w:cs="Times New Roman"/>
          <w:sz w:val="20"/>
          <w:szCs w:val="20"/>
        </w:rPr>
        <w:t xml:space="preserve">Stephanie </w:t>
      </w:r>
      <w:proofErr w:type="spellStart"/>
      <w:r w:rsidRPr="00651130">
        <w:rPr>
          <w:rStyle w:val="cf01"/>
          <w:rFonts w:ascii="Times New Roman" w:hAnsi="Times New Roman" w:cs="Times New Roman"/>
          <w:sz w:val="20"/>
          <w:szCs w:val="20"/>
        </w:rPr>
        <w:t>Ortoleva</w:t>
      </w:r>
      <w:proofErr w:type="spellEnd"/>
      <w:r w:rsidRPr="00651130">
        <w:rPr>
          <w:rStyle w:val="cf01"/>
          <w:rFonts w:ascii="Times New Roman" w:hAnsi="Times New Roman" w:cs="Times New Roman"/>
          <w:sz w:val="20"/>
          <w:szCs w:val="20"/>
        </w:rPr>
        <w:t xml:space="preserve"> and Hope Lewis, </w:t>
      </w:r>
      <w:r w:rsidRPr="00651130">
        <w:rPr>
          <w:rStyle w:val="cf11"/>
          <w:rFonts w:ascii="Times New Roman" w:eastAsiaTheme="majorEastAsia" w:hAnsi="Times New Roman" w:cs="Times New Roman"/>
          <w:sz w:val="20"/>
          <w:szCs w:val="20"/>
        </w:rPr>
        <w:t>Forgotten Sisters: A Report on Violence against Women with Disabilities: An Overview of Its Nature, Scope, Causes and Consequences</w:t>
      </w:r>
      <w:r w:rsidRPr="00651130">
        <w:rPr>
          <w:rStyle w:val="cf01"/>
          <w:rFonts w:ascii="Times New Roman" w:hAnsi="Times New Roman" w:cs="Times New Roman"/>
          <w:sz w:val="20"/>
          <w:szCs w:val="20"/>
        </w:rPr>
        <w:t xml:space="preserve"> </w:t>
      </w:r>
      <w:r w:rsidRPr="00651130">
        <w:rPr>
          <w:rStyle w:val="cf11"/>
          <w:rFonts w:ascii="Times New Roman" w:eastAsiaTheme="majorEastAsia" w:hAnsi="Times New Roman" w:cs="Times New Roman"/>
          <w:sz w:val="20"/>
          <w:szCs w:val="20"/>
        </w:rPr>
        <w:t xml:space="preserve">(No 04-2012, Northeastern University School of Law, 2012) 228; </w:t>
      </w:r>
      <w:r w:rsidRPr="00651130">
        <w:rPr>
          <w:rStyle w:val="cf01"/>
          <w:rFonts w:ascii="Times New Roman" w:hAnsi="Times New Roman" w:cs="Times New Roman"/>
          <w:sz w:val="20"/>
          <w:szCs w:val="20"/>
        </w:rPr>
        <w:t xml:space="preserve">Phillip French, Julie </w:t>
      </w:r>
      <w:proofErr w:type="spellStart"/>
      <w:r w:rsidRPr="00651130">
        <w:rPr>
          <w:rStyle w:val="cf01"/>
          <w:rFonts w:ascii="Times New Roman" w:hAnsi="Times New Roman" w:cs="Times New Roman"/>
          <w:sz w:val="20"/>
          <w:szCs w:val="20"/>
        </w:rPr>
        <w:t>Dardel</w:t>
      </w:r>
      <w:proofErr w:type="spellEnd"/>
      <w:r w:rsidRPr="00651130">
        <w:rPr>
          <w:rStyle w:val="cf01"/>
          <w:rFonts w:ascii="Times New Roman" w:hAnsi="Times New Roman" w:cs="Times New Roman"/>
          <w:sz w:val="20"/>
          <w:szCs w:val="20"/>
        </w:rPr>
        <w:t xml:space="preserve"> and Sonya Price-Kelly, </w:t>
      </w:r>
      <w:r w:rsidRPr="00651130">
        <w:rPr>
          <w:rStyle w:val="cf11"/>
          <w:rFonts w:ascii="Times New Roman" w:hAnsi="Times New Roman" w:cs="Times New Roman"/>
          <w:sz w:val="20"/>
          <w:szCs w:val="20"/>
        </w:rPr>
        <w:t>Towards a National Policy Agenda about Abuse, Neglect &amp; Exploitation of Persons with Cognitive Impairment</w:t>
      </w:r>
      <w:r w:rsidRPr="00651130">
        <w:rPr>
          <w:rStyle w:val="cf01"/>
          <w:rFonts w:ascii="Times New Roman" w:hAnsi="Times New Roman" w:cs="Times New Roman"/>
          <w:sz w:val="20"/>
          <w:szCs w:val="20"/>
        </w:rPr>
        <w:t xml:space="preserve"> </w:t>
      </w:r>
      <w:r w:rsidRPr="00651130">
        <w:rPr>
          <w:rStyle w:val="cf11"/>
          <w:rFonts w:ascii="Times New Roman" w:hAnsi="Times New Roman" w:cs="Times New Roman"/>
          <w:sz w:val="20"/>
          <w:szCs w:val="20"/>
        </w:rPr>
        <w:t>(People with Disability Australia, 2009) 158.</w:t>
      </w:r>
      <w:r w:rsidRPr="00651130">
        <w:rPr>
          <w:sz w:val="20"/>
          <w:szCs w:val="20"/>
        </w:rPr>
        <w:t xml:space="preserve"> </w:t>
      </w:r>
    </w:p>
  </w:footnote>
  <w:footnote w:id="15">
    <w:p w14:paraId="422678AA" w14:textId="77777777" w:rsidR="00301376" w:rsidRPr="00651130" w:rsidRDefault="00301376" w:rsidP="00301376">
      <w:pPr>
        <w:pStyle w:val="FootnoteText"/>
        <w:rPr>
          <w:rFonts w:ascii="Times New Roman" w:hAnsi="Times New Roman" w:cs="Times New Roman"/>
        </w:rPr>
      </w:pPr>
      <w:r w:rsidRPr="00651130">
        <w:rPr>
          <w:rStyle w:val="FootnoteReference"/>
          <w:rFonts w:ascii="Times New Roman" w:hAnsi="Times New Roman" w:cs="Times New Roman"/>
        </w:rPr>
        <w:footnoteRef/>
      </w:r>
      <w:r w:rsidRPr="00651130">
        <w:rPr>
          <w:rFonts w:ascii="Times New Roman" w:hAnsi="Times New Roman" w:cs="Times New Roman"/>
        </w:rPr>
        <w:t xml:space="preserve"> Ravi K Thiara, Gill Hague and Audrey Mullender, ‘Losing out on Both Counts: Disabled Women and Domestic Violence’ (2011) 26(6) </w:t>
      </w:r>
      <w:r w:rsidRPr="00651130">
        <w:rPr>
          <w:rFonts w:ascii="Times New Roman" w:hAnsi="Times New Roman" w:cs="Times New Roman"/>
          <w:i/>
          <w:iCs/>
        </w:rPr>
        <w:t>Disability &amp; Society</w:t>
      </w:r>
      <w:r w:rsidRPr="00651130">
        <w:rPr>
          <w:rFonts w:ascii="Times New Roman" w:hAnsi="Times New Roman" w:cs="Times New Roman"/>
        </w:rPr>
        <w:t xml:space="preserve"> 757; Parliament and Victoria Family and Community Development Committee, </w:t>
      </w:r>
      <w:r w:rsidRPr="00651130">
        <w:rPr>
          <w:rFonts w:ascii="Times New Roman" w:hAnsi="Times New Roman" w:cs="Times New Roman"/>
          <w:i/>
          <w:iCs/>
        </w:rPr>
        <w:t>Inquiry into Abuse in Disability Services: Final Report</w:t>
      </w:r>
      <w:r w:rsidRPr="00651130">
        <w:rPr>
          <w:rFonts w:ascii="Times New Roman" w:hAnsi="Times New Roman" w:cs="Times New Roman"/>
        </w:rPr>
        <w:t xml:space="preserve"> (Final Report, May 2016); Fiona Judd, Sue </w:t>
      </w:r>
      <w:proofErr w:type="gramStart"/>
      <w:r w:rsidRPr="00651130">
        <w:rPr>
          <w:rFonts w:ascii="Times New Roman" w:hAnsi="Times New Roman" w:cs="Times New Roman"/>
        </w:rPr>
        <w:t>Armstrong</w:t>
      </w:r>
      <w:proofErr w:type="gramEnd"/>
      <w:r w:rsidRPr="00651130">
        <w:rPr>
          <w:rFonts w:ascii="Times New Roman" w:hAnsi="Times New Roman" w:cs="Times New Roman"/>
        </w:rPr>
        <w:t xml:space="preserve"> and Jayashri Kulkarni, ‘Gender-Sensitive Mental Health Care’ (2009) 17(2) </w:t>
      </w:r>
      <w:r w:rsidRPr="00651130">
        <w:rPr>
          <w:rFonts w:ascii="Times New Roman" w:hAnsi="Times New Roman" w:cs="Times New Roman"/>
          <w:i/>
          <w:iCs/>
        </w:rPr>
        <w:t>Australasian Psychiatry</w:t>
      </w:r>
      <w:r w:rsidRPr="00651130">
        <w:rPr>
          <w:rFonts w:ascii="Times New Roman" w:hAnsi="Times New Roman" w:cs="Times New Roman"/>
        </w:rPr>
        <w:t xml:space="preserve"> 105.</w:t>
      </w:r>
    </w:p>
  </w:footnote>
  <w:footnote w:id="16">
    <w:p w14:paraId="58EFE4ED" w14:textId="0FDF5B21" w:rsidR="00301376" w:rsidRPr="00651130" w:rsidRDefault="00301376" w:rsidP="00301376">
      <w:pPr>
        <w:pStyle w:val="FootnoteText"/>
        <w:rPr>
          <w:rFonts w:ascii="Times New Roman" w:hAnsi="Times New Roman" w:cs="Times New Roman"/>
        </w:rPr>
      </w:pPr>
      <w:r w:rsidRPr="00651130">
        <w:rPr>
          <w:rStyle w:val="FootnoteReference"/>
          <w:rFonts w:ascii="Times New Roman" w:hAnsi="Times New Roman" w:cs="Times New Roman"/>
        </w:rPr>
        <w:footnoteRef/>
      </w:r>
      <w:r w:rsidRPr="00651130">
        <w:rPr>
          <w:rFonts w:ascii="Times New Roman" w:hAnsi="Times New Roman" w:cs="Times New Roman"/>
        </w:rPr>
        <w:t xml:space="preserve"> Fish and Culshaw (n </w:t>
      </w:r>
      <w:r w:rsidRPr="00651130">
        <w:rPr>
          <w:rFonts w:ascii="Times New Roman" w:hAnsi="Times New Roman" w:cs="Times New Roman"/>
        </w:rPr>
        <w:fldChar w:fldCharType="begin"/>
      </w:r>
      <w:r w:rsidRPr="00651130">
        <w:rPr>
          <w:rFonts w:ascii="Times New Roman" w:hAnsi="Times New Roman" w:cs="Times New Roman"/>
        </w:rPr>
        <w:instrText xml:space="preserve"> NOTEREF _Ref144897274 \h  \* MERGEFORMAT </w:instrText>
      </w:r>
      <w:r w:rsidRPr="00651130">
        <w:rPr>
          <w:rFonts w:ascii="Times New Roman" w:hAnsi="Times New Roman" w:cs="Times New Roman"/>
        </w:rPr>
      </w:r>
      <w:r w:rsidRPr="00651130">
        <w:rPr>
          <w:rFonts w:ascii="Times New Roman" w:hAnsi="Times New Roman" w:cs="Times New Roman"/>
        </w:rPr>
        <w:fldChar w:fldCharType="separate"/>
      </w:r>
      <w:r w:rsidR="00BE6A87">
        <w:rPr>
          <w:rFonts w:ascii="Times New Roman" w:hAnsi="Times New Roman" w:cs="Times New Roman"/>
        </w:rPr>
        <w:t>13</w:t>
      </w:r>
      <w:r w:rsidRPr="00651130">
        <w:rPr>
          <w:rFonts w:ascii="Times New Roman" w:hAnsi="Times New Roman" w:cs="Times New Roman"/>
        </w:rPr>
        <w:fldChar w:fldCharType="end"/>
      </w:r>
      <w:r w:rsidRPr="00651130">
        <w:rPr>
          <w:rFonts w:ascii="Times New Roman" w:hAnsi="Times New Roman" w:cs="Times New Roman"/>
        </w:rPr>
        <w:t xml:space="preserve">); Fish and Hatton (n </w:t>
      </w:r>
      <w:r w:rsidRPr="00651130">
        <w:rPr>
          <w:rFonts w:ascii="Times New Roman" w:hAnsi="Times New Roman" w:cs="Times New Roman"/>
        </w:rPr>
        <w:fldChar w:fldCharType="begin"/>
      </w:r>
      <w:r w:rsidRPr="00651130">
        <w:rPr>
          <w:rFonts w:ascii="Times New Roman" w:hAnsi="Times New Roman" w:cs="Times New Roman"/>
        </w:rPr>
        <w:instrText xml:space="preserve"> NOTEREF _Ref144897274 \h  \* MERGEFORMAT </w:instrText>
      </w:r>
      <w:r w:rsidRPr="00651130">
        <w:rPr>
          <w:rFonts w:ascii="Times New Roman" w:hAnsi="Times New Roman" w:cs="Times New Roman"/>
        </w:rPr>
      </w:r>
      <w:r w:rsidRPr="00651130">
        <w:rPr>
          <w:rFonts w:ascii="Times New Roman" w:hAnsi="Times New Roman" w:cs="Times New Roman"/>
        </w:rPr>
        <w:fldChar w:fldCharType="separate"/>
      </w:r>
      <w:r w:rsidR="00BE6A87">
        <w:rPr>
          <w:rFonts w:ascii="Times New Roman" w:hAnsi="Times New Roman" w:cs="Times New Roman"/>
        </w:rPr>
        <w:t>13</w:t>
      </w:r>
      <w:r w:rsidRPr="00651130">
        <w:rPr>
          <w:rFonts w:ascii="Times New Roman" w:hAnsi="Times New Roman" w:cs="Times New Roman"/>
        </w:rPr>
        <w:fldChar w:fldCharType="end"/>
      </w:r>
      <w:r w:rsidRPr="00651130">
        <w:rPr>
          <w:rFonts w:ascii="Times New Roman" w:hAnsi="Times New Roman" w:cs="Times New Roman"/>
        </w:rPr>
        <w:t xml:space="preserve">); Gallop et al (n </w:t>
      </w:r>
      <w:r w:rsidRPr="00651130">
        <w:rPr>
          <w:rFonts w:ascii="Times New Roman" w:hAnsi="Times New Roman" w:cs="Times New Roman"/>
        </w:rPr>
        <w:fldChar w:fldCharType="begin"/>
      </w:r>
      <w:r w:rsidRPr="00651130">
        <w:rPr>
          <w:rFonts w:ascii="Times New Roman" w:hAnsi="Times New Roman" w:cs="Times New Roman"/>
        </w:rPr>
        <w:instrText xml:space="preserve"> NOTEREF _Ref144897274 \h  \* MERGEFORMAT </w:instrText>
      </w:r>
      <w:r w:rsidRPr="00651130">
        <w:rPr>
          <w:rFonts w:ascii="Times New Roman" w:hAnsi="Times New Roman" w:cs="Times New Roman"/>
        </w:rPr>
      </w:r>
      <w:r w:rsidRPr="00651130">
        <w:rPr>
          <w:rFonts w:ascii="Times New Roman" w:hAnsi="Times New Roman" w:cs="Times New Roman"/>
        </w:rPr>
        <w:fldChar w:fldCharType="separate"/>
      </w:r>
      <w:r w:rsidR="00BE6A87">
        <w:rPr>
          <w:rFonts w:ascii="Times New Roman" w:hAnsi="Times New Roman" w:cs="Times New Roman"/>
        </w:rPr>
        <w:t>13</w:t>
      </w:r>
      <w:r w:rsidRPr="00651130">
        <w:rPr>
          <w:rFonts w:ascii="Times New Roman" w:hAnsi="Times New Roman" w:cs="Times New Roman"/>
        </w:rPr>
        <w:fldChar w:fldCharType="end"/>
      </w:r>
      <w:r w:rsidRPr="00651130">
        <w:rPr>
          <w:rFonts w:ascii="Times New Roman" w:hAnsi="Times New Roman" w:cs="Times New Roman"/>
        </w:rPr>
        <w:t xml:space="preserve">); Gwen Bonner et al, ‘Trauma for All: A Pilot Study of the Subjective Experience of Physical Restraint for Mental Health Inpatients and Staff in the UK’ (2002) 9(4) </w:t>
      </w:r>
      <w:r w:rsidRPr="00651130">
        <w:rPr>
          <w:rFonts w:ascii="Times New Roman" w:hAnsi="Times New Roman" w:cs="Times New Roman"/>
          <w:i/>
          <w:iCs/>
        </w:rPr>
        <w:t>Journal of Psychiatric and Mental Health Nursing</w:t>
      </w:r>
      <w:r w:rsidRPr="00651130">
        <w:rPr>
          <w:rFonts w:ascii="Times New Roman" w:hAnsi="Times New Roman" w:cs="Times New Roman"/>
        </w:rPr>
        <w:t xml:space="preserve"> 465.</w:t>
      </w:r>
    </w:p>
  </w:footnote>
  <w:footnote w:id="17">
    <w:p w14:paraId="062E49C5" w14:textId="77777777" w:rsidR="00301376" w:rsidRPr="00651130" w:rsidRDefault="00301376" w:rsidP="00301376">
      <w:pPr>
        <w:pStyle w:val="FootnoteText"/>
        <w:rPr>
          <w:rFonts w:ascii="Times New Roman" w:hAnsi="Times New Roman" w:cs="Times New Roman"/>
        </w:rPr>
      </w:pPr>
      <w:r w:rsidRPr="00651130">
        <w:rPr>
          <w:rStyle w:val="FootnoteReference"/>
          <w:rFonts w:ascii="Times New Roman" w:hAnsi="Times New Roman" w:cs="Times New Roman"/>
        </w:rPr>
        <w:footnoteRef/>
      </w:r>
      <w:r w:rsidRPr="00651130">
        <w:rPr>
          <w:rFonts w:ascii="Times New Roman" w:hAnsi="Times New Roman" w:cs="Times New Roman"/>
        </w:rPr>
        <w:t xml:space="preserve"> Esther Wilcox, WM </w:t>
      </w:r>
      <w:proofErr w:type="gramStart"/>
      <w:r w:rsidRPr="00651130">
        <w:rPr>
          <w:rFonts w:ascii="Times New Roman" w:hAnsi="Times New Roman" w:cs="Times New Roman"/>
        </w:rPr>
        <w:t>Finlay</w:t>
      </w:r>
      <w:proofErr w:type="gramEnd"/>
      <w:r w:rsidRPr="00651130">
        <w:rPr>
          <w:rFonts w:ascii="Times New Roman" w:hAnsi="Times New Roman" w:cs="Times New Roman"/>
        </w:rPr>
        <w:t xml:space="preserve"> and Jane Edmonds, ‘His Brain Is Totally Different: An Analysis of Care-Staff Explanations of Aggressive Challenging Behaviour and the Impact of Gendered Discourses’ (2006) 45(1) British Journal of Social Psychology 197, 209.</w:t>
      </w:r>
    </w:p>
  </w:footnote>
  <w:footnote w:id="18">
    <w:p w14:paraId="38D0ACBC" w14:textId="4AAADFAA" w:rsidR="00301376" w:rsidRPr="00651130" w:rsidRDefault="00301376" w:rsidP="00301376">
      <w:pPr>
        <w:pStyle w:val="FootnoteText"/>
        <w:rPr>
          <w:rFonts w:ascii="Times New Roman" w:hAnsi="Times New Roman" w:cs="Times New Roman"/>
        </w:rPr>
      </w:pPr>
      <w:r w:rsidRPr="00651130">
        <w:rPr>
          <w:rStyle w:val="FootnoteReference"/>
          <w:rFonts w:ascii="Times New Roman" w:hAnsi="Times New Roman" w:cs="Times New Roman"/>
        </w:rPr>
        <w:footnoteRef/>
      </w:r>
      <w:r w:rsidRPr="00651130">
        <w:rPr>
          <w:rFonts w:ascii="Times New Roman" w:hAnsi="Times New Roman" w:cs="Times New Roman"/>
        </w:rPr>
        <w:t xml:space="preserve"> Wilcox et al (n </w:t>
      </w:r>
      <w:r w:rsidRPr="00651130">
        <w:rPr>
          <w:rFonts w:ascii="Times New Roman" w:hAnsi="Times New Roman" w:cs="Times New Roman"/>
        </w:rPr>
        <w:fldChar w:fldCharType="begin"/>
      </w:r>
      <w:r w:rsidRPr="00651130">
        <w:rPr>
          <w:rFonts w:ascii="Times New Roman" w:hAnsi="Times New Roman" w:cs="Times New Roman"/>
        </w:rPr>
        <w:instrText xml:space="preserve"> NOTEREF _Ref144894634 \h  \* MERGEFORMAT </w:instrText>
      </w:r>
      <w:r w:rsidRPr="00651130">
        <w:rPr>
          <w:rFonts w:ascii="Times New Roman" w:hAnsi="Times New Roman" w:cs="Times New Roman"/>
        </w:rPr>
      </w:r>
      <w:r w:rsidRPr="00651130">
        <w:rPr>
          <w:rFonts w:ascii="Times New Roman" w:hAnsi="Times New Roman" w:cs="Times New Roman"/>
        </w:rPr>
        <w:fldChar w:fldCharType="separate"/>
      </w:r>
      <w:r w:rsidR="00BE6A87">
        <w:rPr>
          <w:rFonts w:ascii="Times New Roman" w:hAnsi="Times New Roman" w:cs="Times New Roman"/>
        </w:rPr>
        <w:t>17</w:t>
      </w:r>
      <w:r w:rsidRPr="00651130">
        <w:rPr>
          <w:rFonts w:ascii="Times New Roman" w:hAnsi="Times New Roman" w:cs="Times New Roman"/>
        </w:rPr>
        <w:fldChar w:fldCharType="end"/>
      </w:r>
      <w:r w:rsidRPr="00651130">
        <w:rPr>
          <w:rFonts w:ascii="Times New Roman" w:hAnsi="Times New Roman" w:cs="Times New Roman"/>
        </w:rPr>
        <w:t xml:space="preserve">); Fish and Hatton (n </w:t>
      </w:r>
      <w:r w:rsidRPr="00651130">
        <w:rPr>
          <w:rFonts w:ascii="Times New Roman" w:hAnsi="Times New Roman" w:cs="Times New Roman"/>
        </w:rPr>
        <w:fldChar w:fldCharType="begin"/>
      </w:r>
      <w:r w:rsidRPr="00651130">
        <w:rPr>
          <w:rFonts w:ascii="Times New Roman" w:hAnsi="Times New Roman" w:cs="Times New Roman"/>
        </w:rPr>
        <w:instrText xml:space="preserve"> NOTEREF _Ref144897274 \h  \* MERGEFORMAT </w:instrText>
      </w:r>
      <w:r w:rsidRPr="00651130">
        <w:rPr>
          <w:rFonts w:ascii="Times New Roman" w:hAnsi="Times New Roman" w:cs="Times New Roman"/>
        </w:rPr>
      </w:r>
      <w:r w:rsidRPr="00651130">
        <w:rPr>
          <w:rFonts w:ascii="Times New Roman" w:hAnsi="Times New Roman" w:cs="Times New Roman"/>
        </w:rPr>
        <w:fldChar w:fldCharType="separate"/>
      </w:r>
      <w:r w:rsidR="00BE6A87">
        <w:rPr>
          <w:rFonts w:ascii="Times New Roman" w:hAnsi="Times New Roman" w:cs="Times New Roman"/>
        </w:rPr>
        <w:t>13</w:t>
      </w:r>
      <w:r w:rsidRPr="00651130">
        <w:rPr>
          <w:rFonts w:ascii="Times New Roman" w:hAnsi="Times New Roman" w:cs="Times New Roman"/>
        </w:rPr>
        <w:fldChar w:fldCharType="end"/>
      </w:r>
      <w:r w:rsidRPr="00651130">
        <w:rPr>
          <w:rFonts w:ascii="Times New Roman" w:hAnsi="Times New Roman" w:cs="Times New Roman"/>
        </w:rPr>
        <w:t xml:space="preserve">); for a review, see </w:t>
      </w:r>
      <w:r w:rsidRPr="00651130">
        <w:rPr>
          <w:rFonts w:ascii="Times New Roman" w:hAnsi="Times New Roman" w:cs="Times New Roman"/>
          <w:lang w:val="en-GB"/>
        </w:rPr>
        <w:t xml:space="preserve">Yvette Maker, ‘Beyond Restraint’ (n </w:t>
      </w:r>
      <w:r w:rsidRPr="00651130">
        <w:rPr>
          <w:rFonts w:ascii="Times New Roman" w:hAnsi="Times New Roman" w:cs="Times New Roman"/>
          <w:lang w:val="en-GB"/>
        </w:rPr>
        <w:fldChar w:fldCharType="begin"/>
      </w:r>
      <w:r w:rsidRPr="00651130">
        <w:rPr>
          <w:rFonts w:ascii="Times New Roman" w:hAnsi="Times New Roman" w:cs="Times New Roman"/>
          <w:lang w:val="en-GB"/>
        </w:rPr>
        <w:instrText xml:space="preserve"> NOTEREF _Ref144909212 \h </w:instrText>
      </w:r>
      <w:r w:rsidR="000E6E4C" w:rsidRPr="00651130">
        <w:rPr>
          <w:rFonts w:ascii="Times New Roman" w:hAnsi="Times New Roman" w:cs="Times New Roman"/>
          <w:lang w:val="en-GB"/>
        </w:rPr>
        <w:instrText xml:space="preserve"> \* MERGEFORMAT </w:instrText>
      </w:r>
      <w:r w:rsidRPr="00651130">
        <w:rPr>
          <w:rFonts w:ascii="Times New Roman" w:hAnsi="Times New Roman" w:cs="Times New Roman"/>
          <w:lang w:val="en-GB"/>
        </w:rPr>
      </w:r>
      <w:r w:rsidRPr="00651130">
        <w:rPr>
          <w:rFonts w:ascii="Times New Roman" w:hAnsi="Times New Roman" w:cs="Times New Roman"/>
          <w:lang w:val="en-GB"/>
        </w:rPr>
        <w:fldChar w:fldCharType="separate"/>
      </w:r>
      <w:r w:rsidR="00BE6A87">
        <w:rPr>
          <w:rFonts w:ascii="Times New Roman" w:hAnsi="Times New Roman" w:cs="Times New Roman"/>
          <w:lang w:val="en-GB"/>
        </w:rPr>
        <w:t>1</w:t>
      </w:r>
      <w:r w:rsidRPr="00651130">
        <w:rPr>
          <w:rFonts w:ascii="Times New Roman" w:hAnsi="Times New Roman" w:cs="Times New Roman"/>
          <w:lang w:val="en-GB"/>
        </w:rPr>
        <w:fldChar w:fldCharType="end"/>
      </w:r>
      <w:r w:rsidRPr="00651130">
        <w:rPr>
          <w:rFonts w:ascii="Times New Roman" w:hAnsi="Times New Roman" w:cs="Times New Roman"/>
          <w:lang w:val="en-GB"/>
        </w:rPr>
        <w:t xml:space="preserve">) </w:t>
      </w:r>
      <w:r w:rsidRPr="00651130">
        <w:rPr>
          <w:rFonts w:ascii="Times New Roman" w:hAnsi="Times New Roman" w:cs="Times New Roman"/>
        </w:rPr>
        <w:t>93-95.</w:t>
      </w:r>
    </w:p>
  </w:footnote>
  <w:footnote w:id="19">
    <w:p w14:paraId="387F7B8B" w14:textId="77777777" w:rsidR="00301376" w:rsidRPr="00651130" w:rsidRDefault="00301376" w:rsidP="00301376">
      <w:pPr>
        <w:pStyle w:val="FootnoteText"/>
        <w:rPr>
          <w:rFonts w:ascii="Times New Roman" w:hAnsi="Times New Roman" w:cs="Times New Roman"/>
        </w:rPr>
      </w:pPr>
      <w:r w:rsidRPr="00651130">
        <w:rPr>
          <w:rStyle w:val="FootnoteReference"/>
          <w:rFonts w:ascii="Times New Roman" w:hAnsi="Times New Roman" w:cs="Times New Roman"/>
        </w:rPr>
        <w:footnoteRef/>
      </w:r>
      <w:r w:rsidRPr="00651130">
        <w:rPr>
          <w:rFonts w:ascii="Times New Roman" w:hAnsi="Times New Roman" w:cs="Times New Roman"/>
        </w:rPr>
        <w:t xml:space="preserve"> For example, Gill Aitken and Kate Noble, ‘Violence and Violation: Women and Secure Settings’ [2001] (68) </w:t>
      </w:r>
      <w:r w:rsidRPr="00651130">
        <w:rPr>
          <w:rFonts w:ascii="Times New Roman" w:hAnsi="Times New Roman" w:cs="Times New Roman"/>
          <w:i/>
          <w:iCs/>
        </w:rPr>
        <w:t>Feminist Review</w:t>
      </w:r>
      <w:r w:rsidRPr="00651130">
        <w:rPr>
          <w:rFonts w:ascii="Times New Roman" w:hAnsi="Times New Roman" w:cs="Times New Roman"/>
        </w:rPr>
        <w:t xml:space="preserve"> 68; CG Long et al, ‘Effective Therapeutic Milieus in Secure Services for Women: The Service User Perspective’ (2012) 21(6) </w:t>
      </w:r>
      <w:r w:rsidRPr="00651130">
        <w:rPr>
          <w:rFonts w:ascii="Times New Roman" w:hAnsi="Times New Roman" w:cs="Times New Roman"/>
          <w:i/>
          <w:iCs/>
        </w:rPr>
        <w:t>Journal of Mental Health</w:t>
      </w:r>
      <w:r w:rsidRPr="00651130">
        <w:rPr>
          <w:rFonts w:ascii="Times New Roman" w:hAnsi="Times New Roman" w:cs="Times New Roman"/>
        </w:rPr>
        <w:t xml:space="preserve"> 567; Georgie Parry-Crooke and Penny Stafford, </w:t>
      </w:r>
      <w:r w:rsidRPr="00651130">
        <w:rPr>
          <w:rFonts w:ascii="Times New Roman" w:hAnsi="Times New Roman" w:cs="Times New Roman"/>
          <w:i/>
          <w:iCs/>
        </w:rPr>
        <w:t>My Life: In Safe Hands</w:t>
      </w:r>
      <w:r w:rsidRPr="00651130">
        <w:rPr>
          <w:rFonts w:ascii="Times New Roman" w:hAnsi="Times New Roman" w:cs="Times New Roman"/>
        </w:rPr>
        <w:t xml:space="preserve"> (Research Report, London Metropolitan University, 2009).</w:t>
      </w:r>
    </w:p>
  </w:footnote>
  <w:footnote w:id="20">
    <w:p w14:paraId="0DB355C5" w14:textId="691EC3F6" w:rsidR="00301376" w:rsidRPr="00651130" w:rsidRDefault="00301376" w:rsidP="00301376">
      <w:pPr>
        <w:pStyle w:val="FootnoteText"/>
        <w:rPr>
          <w:rFonts w:ascii="Times New Roman" w:hAnsi="Times New Roman" w:cs="Times New Roman"/>
        </w:rPr>
      </w:pPr>
      <w:r w:rsidRPr="00651130">
        <w:rPr>
          <w:rStyle w:val="FootnoteReference"/>
          <w:rFonts w:ascii="Times New Roman" w:hAnsi="Times New Roman" w:cs="Times New Roman"/>
        </w:rPr>
        <w:footnoteRef/>
      </w:r>
      <w:r w:rsidRPr="00651130">
        <w:rPr>
          <w:rFonts w:ascii="Times New Roman" w:hAnsi="Times New Roman" w:cs="Times New Roman"/>
        </w:rPr>
        <w:t xml:space="preserve"> See</w:t>
      </w:r>
      <w:r w:rsidRPr="00651130">
        <w:rPr>
          <w:rFonts w:ascii="Times New Roman" w:hAnsi="Times New Roman" w:cs="Times New Roman"/>
          <w:lang w:val="en-GB"/>
        </w:rPr>
        <w:t xml:space="preserve"> Yvette Maker, ‘Beyond Restraint’ (n </w:t>
      </w:r>
      <w:r w:rsidRPr="00651130">
        <w:rPr>
          <w:rFonts w:ascii="Times New Roman" w:hAnsi="Times New Roman" w:cs="Times New Roman"/>
          <w:lang w:val="en-GB"/>
        </w:rPr>
        <w:fldChar w:fldCharType="begin"/>
      </w:r>
      <w:r w:rsidRPr="00651130">
        <w:rPr>
          <w:rFonts w:ascii="Times New Roman" w:hAnsi="Times New Roman" w:cs="Times New Roman"/>
          <w:lang w:val="en-GB"/>
        </w:rPr>
        <w:instrText xml:space="preserve"> NOTEREF _Ref144909212 \h </w:instrText>
      </w:r>
      <w:r w:rsidR="000E6E4C" w:rsidRPr="00651130">
        <w:rPr>
          <w:rFonts w:ascii="Times New Roman" w:hAnsi="Times New Roman" w:cs="Times New Roman"/>
          <w:lang w:val="en-GB"/>
        </w:rPr>
        <w:instrText xml:space="preserve"> \* MERGEFORMAT </w:instrText>
      </w:r>
      <w:r w:rsidRPr="00651130">
        <w:rPr>
          <w:rFonts w:ascii="Times New Roman" w:hAnsi="Times New Roman" w:cs="Times New Roman"/>
          <w:lang w:val="en-GB"/>
        </w:rPr>
      </w:r>
      <w:r w:rsidRPr="00651130">
        <w:rPr>
          <w:rFonts w:ascii="Times New Roman" w:hAnsi="Times New Roman" w:cs="Times New Roman"/>
          <w:lang w:val="en-GB"/>
        </w:rPr>
        <w:fldChar w:fldCharType="separate"/>
      </w:r>
      <w:r w:rsidR="00BE6A87">
        <w:rPr>
          <w:rFonts w:ascii="Times New Roman" w:hAnsi="Times New Roman" w:cs="Times New Roman"/>
          <w:lang w:val="en-GB"/>
        </w:rPr>
        <w:t>1</w:t>
      </w:r>
      <w:r w:rsidRPr="00651130">
        <w:rPr>
          <w:rFonts w:ascii="Times New Roman" w:hAnsi="Times New Roman" w:cs="Times New Roman"/>
          <w:lang w:val="en-GB"/>
        </w:rPr>
        <w:fldChar w:fldCharType="end"/>
      </w:r>
      <w:r w:rsidRPr="00651130">
        <w:rPr>
          <w:rFonts w:ascii="Times New Roman" w:hAnsi="Times New Roman" w:cs="Times New Roman"/>
          <w:lang w:val="en-GB"/>
        </w:rPr>
        <w:t>) 91, 92-3, 111;</w:t>
      </w:r>
      <w:r w:rsidRPr="00651130">
        <w:rPr>
          <w:rFonts w:ascii="Times New Roman" w:hAnsi="Times New Roman" w:cs="Times New Roman"/>
        </w:rPr>
        <w:t xml:space="preserve"> Yvette Maker, ‘Ending Seclusion and Restraint Use in Victoria’s Mental Health Services’ (</w:t>
      </w:r>
      <w:r w:rsidRPr="00651130">
        <w:rPr>
          <w:rFonts w:ascii="Times New Roman" w:hAnsi="Times New Roman" w:cs="Times New Roman"/>
          <w:lang w:val="en-GB"/>
        </w:rPr>
        <w:t xml:space="preserve">n </w:t>
      </w:r>
      <w:r w:rsidRPr="00651130">
        <w:rPr>
          <w:rFonts w:ascii="Times New Roman" w:hAnsi="Times New Roman" w:cs="Times New Roman"/>
          <w:lang w:val="en-GB"/>
        </w:rPr>
        <w:fldChar w:fldCharType="begin"/>
      </w:r>
      <w:r w:rsidRPr="00651130">
        <w:rPr>
          <w:rFonts w:ascii="Times New Roman" w:hAnsi="Times New Roman" w:cs="Times New Roman"/>
          <w:lang w:val="en-GB"/>
        </w:rPr>
        <w:instrText xml:space="preserve"> NOTEREF _Ref144909212 \h </w:instrText>
      </w:r>
      <w:r w:rsidR="000E6E4C" w:rsidRPr="00651130">
        <w:rPr>
          <w:rFonts w:ascii="Times New Roman" w:hAnsi="Times New Roman" w:cs="Times New Roman"/>
          <w:lang w:val="en-GB"/>
        </w:rPr>
        <w:instrText xml:space="preserve"> \* MERGEFORMAT </w:instrText>
      </w:r>
      <w:r w:rsidRPr="00651130">
        <w:rPr>
          <w:rFonts w:ascii="Times New Roman" w:hAnsi="Times New Roman" w:cs="Times New Roman"/>
          <w:lang w:val="en-GB"/>
        </w:rPr>
      </w:r>
      <w:r w:rsidRPr="00651130">
        <w:rPr>
          <w:rFonts w:ascii="Times New Roman" w:hAnsi="Times New Roman" w:cs="Times New Roman"/>
          <w:lang w:val="en-GB"/>
        </w:rPr>
        <w:fldChar w:fldCharType="separate"/>
      </w:r>
      <w:r w:rsidR="00BE6A87">
        <w:rPr>
          <w:rFonts w:ascii="Times New Roman" w:hAnsi="Times New Roman" w:cs="Times New Roman"/>
          <w:lang w:val="en-GB"/>
        </w:rPr>
        <w:t>1</w:t>
      </w:r>
      <w:r w:rsidRPr="00651130">
        <w:rPr>
          <w:rFonts w:ascii="Times New Roman" w:hAnsi="Times New Roman" w:cs="Times New Roman"/>
          <w:lang w:val="en-GB"/>
        </w:rPr>
        <w:fldChar w:fldCharType="end"/>
      </w:r>
      <w:r w:rsidRPr="00651130">
        <w:rPr>
          <w:rFonts w:ascii="Times New Roman" w:hAnsi="Times New Roman" w:cs="Times New Roman"/>
          <w:lang w:val="en-GB"/>
        </w:rPr>
        <w:t xml:space="preserve">) </w:t>
      </w:r>
      <w:proofErr w:type="spellStart"/>
      <w:r w:rsidRPr="00651130">
        <w:rPr>
          <w:rFonts w:ascii="Times New Roman" w:hAnsi="Times New Roman" w:cs="Times New Roman"/>
          <w:lang w:val="en-GB"/>
        </w:rPr>
        <w:t>fn</w:t>
      </w:r>
      <w:proofErr w:type="spellEnd"/>
      <w:r w:rsidRPr="00651130">
        <w:rPr>
          <w:rFonts w:ascii="Times New Roman" w:hAnsi="Times New Roman" w:cs="Times New Roman"/>
          <w:lang w:val="en-GB"/>
        </w:rPr>
        <w:t xml:space="preserve"> 13.</w:t>
      </w:r>
    </w:p>
  </w:footnote>
  <w:footnote w:id="21">
    <w:p w14:paraId="33EE2AFA" w14:textId="77777777" w:rsidR="00301376" w:rsidRPr="00651130" w:rsidRDefault="00301376" w:rsidP="00301376">
      <w:pPr>
        <w:pStyle w:val="FootnoteText"/>
        <w:rPr>
          <w:rFonts w:ascii="Times New Roman" w:hAnsi="Times New Roman" w:cs="Times New Roman"/>
        </w:rPr>
      </w:pPr>
      <w:r w:rsidRPr="00651130">
        <w:rPr>
          <w:rStyle w:val="FootnoteReference"/>
          <w:rFonts w:ascii="Times New Roman" w:hAnsi="Times New Roman" w:cs="Times New Roman"/>
        </w:rPr>
        <w:footnoteRef/>
      </w:r>
      <w:r w:rsidRPr="00651130">
        <w:rPr>
          <w:rFonts w:ascii="Times New Roman" w:hAnsi="Times New Roman" w:cs="Times New Roman"/>
        </w:rPr>
        <w:t xml:space="preserve"> cl 8(2)(d)</w:t>
      </w:r>
    </w:p>
  </w:footnote>
  <w:footnote w:id="22">
    <w:p w14:paraId="52F38C71" w14:textId="1A580E53" w:rsidR="00301376" w:rsidRPr="00651130" w:rsidRDefault="00301376" w:rsidP="00301376">
      <w:pPr>
        <w:pStyle w:val="FootnoteText"/>
        <w:rPr>
          <w:rFonts w:ascii="Times New Roman" w:hAnsi="Times New Roman" w:cs="Times New Roman"/>
        </w:rPr>
      </w:pPr>
      <w:r w:rsidRPr="00651130">
        <w:rPr>
          <w:rStyle w:val="FootnoteReference"/>
          <w:rFonts w:ascii="Times New Roman" w:hAnsi="Times New Roman" w:cs="Times New Roman"/>
        </w:rPr>
        <w:footnoteRef/>
      </w:r>
      <w:r w:rsidRPr="00651130">
        <w:rPr>
          <w:rFonts w:ascii="Times New Roman" w:hAnsi="Times New Roman" w:cs="Times New Roman"/>
        </w:rPr>
        <w:t xml:space="preserve"> </w:t>
      </w:r>
      <w:r w:rsidRPr="00651130">
        <w:rPr>
          <w:rFonts w:ascii="Times New Roman" w:hAnsi="Times New Roman" w:cs="Times New Roman"/>
          <w:lang w:val="en-GB"/>
        </w:rPr>
        <w:t xml:space="preserve">Yvette Maker, ‘Beyond Restraint’ (n </w:t>
      </w:r>
      <w:r w:rsidRPr="00651130">
        <w:rPr>
          <w:rFonts w:ascii="Times New Roman" w:hAnsi="Times New Roman" w:cs="Times New Roman"/>
          <w:lang w:val="en-GB"/>
        </w:rPr>
        <w:fldChar w:fldCharType="begin"/>
      </w:r>
      <w:r w:rsidRPr="00651130">
        <w:rPr>
          <w:rFonts w:ascii="Times New Roman" w:hAnsi="Times New Roman" w:cs="Times New Roman"/>
          <w:lang w:val="en-GB"/>
        </w:rPr>
        <w:instrText xml:space="preserve"> NOTEREF _Ref144909212 \h </w:instrText>
      </w:r>
      <w:r w:rsidR="000E6E4C" w:rsidRPr="00651130">
        <w:rPr>
          <w:rFonts w:ascii="Times New Roman" w:hAnsi="Times New Roman" w:cs="Times New Roman"/>
          <w:lang w:val="en-GB"/>
        </w:rPr>
        <w:instrText xml:space="preserve"> \* MERGEFORMAT </w:instrText>
      </w:r>
      <w:r w:rsidRPr="00651130">
        <w:rPr>
          <w:rFonts w:ascii="Times New Roman" w:hAnsi="Times New Roman" w:cs="Times New Roman"/>
          <w:lang w:val="en-GB"/>
        </w:rPr>
      </w:r>
      <w:r w:rsidRPr="00651130">
        <w:rPr>
          <w:rFonts w:ascii="Times New Roman" w:hAnsi="Times New Roman" w:cs="Times New Roman"/>
          <w:lang w:val="en-GB"/>
        </w:rPr>
        <w:fldChar w:fldCharType="separate"/>
      </w:r>
      <w:r w:rsidR="00BE6A87">
        <w:rPr>
          <w:rFonts w:ascii="Times New Roman" w:hAnsi="Times New Roman" w:cs="Times New Roman"/>
          <w:lang w:val="en-GB"/>
        </w:rPr>
        <w:t>1</w:t>
      </w:r>
      <w:r w:rsidRPr="00651130">
        <w:rPr>
          <w:rFonts w:ascii="Times New Roman" w:hAnsi="Times New Roman" w:cs="Times New Roman"/>
          <w:lang w:val="en-GB"/>
        </w:rPr>
        <w:fldChar w:fldCharType="end"/>
      </w:r>
      <w:r w:rsidRPr="00651130">
        <w:rPr>
          <w:rFonts w:ascii="Times New Roman" w:hAnsi="Times New Roman" w:cs="Times New Roman"/>
          <w:lang w:val="en-GB"/>
        </w:rPr>
        <w:t>) 91.</w:t>
      </w:r>
    </w:p>
  </w:footnote>
  <w:footnote w:id="23">
    <w:p w14:paraId="645F99CC" w14:textId="77777777" w:rsidR="00301376" w:rsidRPr="00651130" w:rsidRDefault="00301376" w:rsidP="00301376">
      <w:pPr>
        <w:pStyle w:val="FootnoteText"/>
        <w:rPr>
          <w:rFonts w:ascii="Times New Roman" w:hAnsi="Times New Roman" w:cs="Times New Roman"/>
        </w:rPr>
      </w:pPr>
      <w:r w:rsidRPr="00651130">
        <w:rPr>
          <w:rStyle w:val="FootnoteReference"/>
          <w:rFonts w:ascii="Times New Roman" w:hAnsi="Times New Roman" w:cs="Times New Roman"/>
        </w:rPr>
        <w:footnoteRef/>
      </w:r>
      <w:r w:rsidRPr="00651130">
        <w:rPr>
          <w:rFonts w:ascii="Times New Roman" w:hAnsi="Times New Roman" w:cs="Times New Roman"/>
        </w:rPr>
        <w:t xml:space="preserve"> </w:t>
      </w:r>
      <w:r w:rsidRPr="00651130">
        <w:rPr>
          <w:rFonts w:ascii="Times New Roman" w:hAnsi="Times New Roman" w:cs="Times New Roman"/>
          <w:lang w:val="en-GB"/>
        </w:rPr>
        <w:t xml:space="preserve">Penelope Weller, ‘The Contradictions of Gender: Women, Men and Violence in Mental Health Research-Policy, </w:t>
      </w:r>
      <w:proofErr w:type="gramStart"/>
      <w:r w:rsidRPr="00651130">
        <w:rPr>
          <w:rFonts w:ascii="Times New Roman" w:hAnsi="Times New Roman" w:cs="Times New Roman"/>
          <w:lang w:val="en-GB"/>
        </w:rPr>
        <w:t>Law</w:t>
      </w:r>
      <w:proofErr w:type="gramEnd"/>
      <w:r w:rsidRPr="00651130">
        <w:rPr>
          <w:rFonts w:ascii="Times New Roman" w:hAnsi="Times New Roman" w:cs="Times New Roman"/>
          <w:lang w:val="en-GB"/>
        </w:rPr>
        <w:t xml:space="preserve"> and Human Rights’ (2016) 25(1) </w:t>
      </w:r>
      <w:r w:rsidRPr="00651130">
        <w:rPr>
          <w:rFonts w:ascii="Times New Roman" w:hAnsi="Times New Roman" w:cs="Times New Roman"/>
          <w:i/>
          <w:iCs/>
          <w:lang w:val="en-GB"/>
        </w:rPr>
        <w:t>Griffith Law Review</w:t>
      </w:r>
      <w:r w:rsidRPr="00651130">
        <w:rPr>
          <w:rFonts w:ascii="Times New Roman" w:hAnsi="Times New Roman" w:cs="Times New Roman"/>
          <w:lang w:val="en-GB"/>
        </w:rPr>
        <w:t xml:space="preserve"> 87,</w:t>
      </w:r>
    </w:p>
  </w:footnote>
  <w:footnote w:id="24">
    <w:p w14:paraId="22CC01F6" w14:textId="52FA1B43" w:rsidR="00DE1225" w:rsidRPr="00651130" w:rsidRDefault="00DE1225" w:rsidP="00DE1225">
      <w:pPr>
        <w:pStyle w:val="FootnoteText"/>
        <w:rPr>
          <w:rFonts w:ascii="Times New Roman" w:hAnsi="Times New Roman" w:cs="Times New Roman"/>
        </w:rPr>
      </w:pPr>
      <w:r w:rsidRPr="00651130">
        <w:rPr>
          <w:rStyle w:val="FootnoteReference"/>
          <w:rFonts w:ascii="Times New Roman" w:hAnsi="Times New Roman" w:cs="Times New Roman"/>
        </w:rPr>
        <w:footnoteRef/>
      </w:r>
      <w:r w:rsidRPr="00651130">
        <w:rPr>
          <w:rFonts w:ascii="Times New Roman" w:hAnsi="Times New Roman" w:cs="Times New Roman"/>
        </w:rPr>
        <w:t xml:space="preserve"> Cathy </w:t>
      </w:r>
      <w:proofErr w:type="spellStart"/>
      <w:r w:rsidRPr="00651130">
        <w:rPr>
          <w:rFonts w:ascii="Times New Roman" w:hAnsi="Times New Roman" w:cs="Times New Roman"/>
        </w:rPr>
        <w:t>Kezelman</w:t>
      </w:r>
      <w:proofErr w:type="spellEnd"/>
      <w:r w:rsidRPr="00651130">
        <w:rPr>
          <w:rFonts w:ascii="Times New Roman" w:hAnsi="Times New Roman" w:cs="Times New Roman"/>
        </w:rPr>
        <w:t xml:space="preserve"> and Pam Stavropoulos, </w:t>
      </w:r>
      <w:r w:rsidRPr="00651130">
        <w:rPr>
          <w:rFonts w:ascii="Times New Roman" w:hAnsi="Times New Roman" w:cs="Times New Roman"/>
          <w:i/>
          <w:iCs/>
        </w:rPr>
        <w:t>Practice Guidelines for Treatment of Complex Trauma and Trauma Informed Care and Service Delivery</w:t>
      </w:r>
      <w:r w:rsidRPr="00651130">
        <w:rPr>
          <w:rFonts w:ascii="Times New Roman" w:hAnsi="Times New Roman" w:cs="Times New Roman"/>
        </w:rPr>
        <w:t xml:space="preserve"> (Blue Knot Foundation, 2012); Weller (n </w:t>
      </w:r>
      <w:r w:rsidRPr="00651130">
        <w:rPr>
          <w:rFonts w:ascii="Times New Roman" w:hAnsi="Times New Roman" w:cs="Times New Roman"/>
        </w:rPr>
        <w:fldChar w:fldCharType="begin"/>
      </w:r>
      <w:r w:rsidRPr="00651130">
        <w:rPr>
          <w:rFonts w:ascii="Times New Roman" w:hAnsi="Times New Roman" w:cs="Times New Roman"/>
        </w:rPr>
        <w:instrText xml:space="preserve"> NOTEREF _Ref144909290 \h </w:instrText>
      </w:r>
      <w:r w:rsidR="000E6E4C" w:rsidRPr="00651130">
        <w:rPr>
          <w:rFonts w:ascii="Times New Roman" w:hAnsi="Times New Roman" w:cs="Times New Roman"/>
        </w:rPr>
        <w:instrText xml:space="preserve"> \* MERGEFORMAT </w:instrText>
      </w:r>
      <w:r w:rsidRPr="00651130">
        <w:rPr>
          <w:rFonts w:ascii="Times New Roman" w:hAnsi="Times New Roman" w:cs="Times New Roman"/>
        </w:rPr>
      </w:r>
      <w:r w:rsidRPr="00651130">
        <w:rPr>
          <w:rFonts w:ascii="Times New Roman" w:hAnsi="Times New Roman" w:cs="Times New Roman"/>
        </w:rPr>
        <w:fldChar w:fldCharType="separate"/>
      </w:r>
      <w:r w:rsidR="00BE6A87">
        <w:rPr>
          <w:rFonts w:ascii="Times New Roman" w:hAnsi="Times New Roman" w:cs="Times New Roman"/>
        </w:rPr>
        <w:t>23</w:t>
      </w:r>
      <w:r w:rsidRPr="00651130">
        <w:rPr>
          <w:rFonts w:ascii="Times New Roman" w:hAnsi="Times New Roman" w:cs="Times New Roman"/>
        </w:rPr>
        <w:fldChar w:fldCharType="end"/>
      </w:r>
      <w:r w:rsidRPr="00651130">
        <w:rPr>
          <w:rFonts w:ascii="Times New Roman" w:hAnsi="Times New Roman" w:cs="Times New Roman"/>
        </w:rPr>
        <w:t xml:space="preserve">); Juliet Watson et al, </w:t>
      </w:r>
      <w:r w:rsidRPr="00651130">
        <w:rPr>
          <w:rFonts w:ascii="Times New Roman" w:hAnsi="Times New Roman" w:cs="Times New Roman"/>
          <w:i/>
          <w:iCs/>
        </w:rPr>
        <w:t>Preventing Gender-based Violence in Mental Health Inpatient Units</w:t>
      </w:r>
      <w:r w:rsidRPr="00651130">
        <w:rPr>
          <w:rFonts w:ascii="Times New Roman" w:hAnsi="Times New Roman" w:cs="Times New Roman"/>
        </w:rPr>
        <w:t xml:space="preserve"> (ANROWS, 2020).</w:t>
      </w:r>
    </w:p>
  </w:footnote>
  <w:footnote w:id="25">
    <w:p w14:paraId="0773F065" w14:textId="77777777" w:rsidR="00DE1225" w:rsidRPr="00651130" w:rsidRDefault="00DE1225" w:rsidP="00DE1225">
      <w:pPr>
        <w:jc w:val="both"/>
        <w:rPr>
          <w:rFonts w:ascii="Times New Roman" w:hAnsi="Times New Roman" w:cs="Times New Roman"/>
          <w:sz w:val="20"/>
          <w:szCs w:val="20"/>
        </w:rPr>
      </w:pPr>
      <w:r w:rsidRPr="00651130">
        <w:rPr>
          <w:rStyle w:val="FootnoteReference"/>
          <w:rFonts w:ascii="Times New Roman" w:hAnsi="Times New Roman" w:cs="Times New Roman"/>
          <w:sz w:val="20"/>
          <w:szCs w:val="20"/>
        </w:rPr>
        <w:footnoteRef/>
      </w:r>
      <w:r w:rsidRPr="00651130">
        <w:rPr>
          <w:rFonts w:ascii="Times New Roman" w:hAnsi="Times New Roman" w:cs="Times New Roman"/>
          <w:sz w:val="20"/>
          <w:szCs w:val="20"/>
        </w:rPr>
        <w:t xml:space="preserve"> The guideline recognises the importance of gender safety and sensitivity </w:t>
      </w:r>
      <w:proofErr w:type="gramStart"/>
      <w:r w:rsidRPr="00651130">
        <w:rPr>
          <w:rFonts w:ascii="Times New Roman" w:hAnsi="Times New Roman" w:cs="Times New Roman"/>
          <w:sz w:val="20"/>
          <w:szCs w:val="20"/>
        </w:rPr>
        <w:t>in light of</w:t>
      </w:r>
      <w:proofErr w:type="gramEnd"/>
      <w:r w:rsidRPr="00651130">
        <w:rPr>
          <w:rFonts w:ascii="Times New Roman" w:hAnsi="Times New Roman" w:cs="Times New Roman"/>
          <w:sz w:val="20"/>
          <w:szCs w:val="20"/>
        </w:rPr>
        <w:t xml:space="preserve"> the high incidence of trauma and risk of restrictive practices ‘retrigger[</w:t>
      </w:r>
      <w:proofErr w:type="spellStart"/>
      <w:r w:rsidRPr="00651130">
        <w:rPr>
          <w:rFonts w:ascii="Times New Roman" w:hAnsi="Times New Roman" w:cs="Times New Roman"/>
          <w:sz w:val="20"/>
          <w:szCs w:val="20"/>
        </w:rPr>
        <w:t>ing</w:t>
      </w:r>
      <w:proofErr w:type="spellEnd"/>
      <w:r w:rsidRPr="00651130">
        <w:rPr>
          <w:rFonts w:ascii="Times New Roman" w:hAnsi="Times New Roman" w:cs="Times New Roman"/>
          <w:sz w:val="20"/>
          <w:szCs w:val="20"/>
        </w:rPr>
        <w:t xml:space="preserve">] previous experiences of trauma in some people’, particularly where staff are predominantly male or female. It states that ‘services should ensure that staff demonstrate sensitivity to individual patient’s [sic] needs and wellbeing in carrying out such interventions, particularly with regard to gender’. It also recommends that patients’ preferences about the gender of staff involved in interventions should be sought. See Department of Health and Human Services (Tas) (DHHS), </w:t>
      </w:r>
      <w:r w:rsidRPr="00651130">
        <w:rPr>
          <w:rFonts w:ascii="Times New Roman" w:hAnsi="Times New Roman" w:cs="Times New Roman"/>
          <w:i/>
          <w:iCs/>
          <w:sz w:val="20"/>
          <w:szCs w:val="20"/>
        </w:rPr>
        <w:t>Mechanical and Physical Restraint: Chief Civil Psychiatrist Clinical Guideline 10A</w:t>
      </w:r>
      <w:r w:rsidRPr="00651130">
        <w:rPr>
          <w:rFonts w:ascii="Times New Roman" w:hAnsi="Times New Roman" w:cs="Times New Roman"/>
          <w:sz w:val="20"/>
          <w:szCs w:val="20"/>
        </w:rPr>
        <w:t xml:space="preserve"> (Tasmanian Government, December 2021) &lt;https://www.health.tas.gov.au/publications/ccp-clinical-guideline-10a-mechanical-and-physical-restraint&gt;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AC621" w14:textId="703EED97" w:rsidR="00277E98" w:rsidRDefault="00277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1E9F" w14:textId="392DBEBE" w:rsidR="00277E98" w:rsidRDefault="00277E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BFC4" w14:textId="2C8E7583" w:rsidR="00277E98" w:rsidRDefault="00277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CB5"/>
    <w:multiLevelType w:val="hybridMultilevel"/>
    <w:tmpl w:val="42F6656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2E0119"/>
    <w:multiLevelType w:val="hybridMultilevel"/>
    <w:tmpl w:val="07DCCE7E"/>
    <w:lvl w:ilvl="0" w:tplc="662ACFF4">
      <w:start w:val="1"/>
      <w:numFmt w:val="bullet"/>
      <w:lvlText w:val=""/>
      <w:lvlJc w:val="left"/>
      <w:pPr>
        <w:ind w:left="360" w:hanging="360"/>
      </w:pPr>
      <w:rPr>
        <w:rFonts w:ascii="Symbol" w:eastAsiaTheme="minorHAnsi" w:hAnsi="Symbol" w:cs="Arial" w:hint="default"/>
      </w:rPr>
    </w:lvl>
    <w:lvl w:ilvl="1" w:tplc="0470A63C">
      <w:start w:val="1"/>
      <w:numFmt w:val="bullet"/>
      <w:pStyle w:val="WMHAbodytex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FC75F9"/>
    <w:multiLevelType w:val="hybridMultilevel"/>
    <w:tmpl w:val="DCC04120"/>
    <w:lvl w:ilvl="0" w:tplc="38B83A4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FA08B0"/>
    <w:multiLevelType w:val="hybridMultilevel"/>
    <w:tmpl w:val="35B83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50A31"/>
    <w:multiLevelType w:val="hybridMultilevel"/>
    <w:tmpl w:val="BAB8BC60"/>
    <w:lvl w:ilvl="0" w:tplc="662ACFF4">
      <w:start w:val="1"/>
      <w:numFmt w:val="bullet"/>
      <w:lvlText w:val=""/>
      <w:lvlJc w:val="left"/>
      <w:pPr>
        <w:ind w:left="360" w:hanging="360"/>
      </w:pPr>
      <w:rPr>
        <w:rFonts w:ascii="Symbol" w:eastAsiaTheme="minorHAnsi" w:hAnsi="Symbol"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F8E772B"/>
    <w:multiLevelType w:val="hybridMultilevel"/>
    <w:tmpl w:val="0BC26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C4C3B"/>
    <w:multiLevelType w:val="multilevel"/>
    <w:tmpl w:val="695A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064890"/>
    <w:multiLevelType w:val="multilevel"/>
    <w:tmpl w:val="071A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C94254"/>
    <w:multiLevelType w:val="hybridMultilevel"/>
    <w:tmpl w:val="9BC69F2C"/>
    <w:lvl w:ilvl="0" w:tplc="57469690">
      <w:start w:val="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5D0E43"/>
    <w:multiLevelType w:val="hybridMultilevel"/>
    <w:tmpl w:val="C602F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F1637"/>
    <w:multiLevelType w:val="hybridMultilevel"/>
    <w:tmpl w:val="DC08E0A6"/>
    <w:lvl w:ilvl="0" w:tplc="C70E03EE">
      <w:start w:val="4"/>
      <w:numFmt w:val="bullet"/>
      <w:lvlText w:val=""/>
      <w:lvlJc w:val="left"/>
      <w:pPr>
        <w:ind w:left="720" w:hanging="360"/>
      </w:pPr>
      <w:rPr>
        <w:rFonts w:ascii="Symbol" w:eastAsiaTheme="minorHAnsi"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B790A20"/>
    <w:multiLevelType w:val="hybridMultilevel"/>
    <w:tmpl w:val="01DE0B6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D6117D9"/>
    <w:multiLevelType w:val="hybridMultilevel"/>
    <w:tmpl w:val="E03E50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832336"/>
    <w:multiLevelType w:val="hybridMultilevel"/>
    <w:tmpl w:val="78CCBBA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C7A6613"/>
    <w:multiLevelType w:val="hybridMultilevel"/>
    <w:tmpl w:val="449C607C"/>
    <w:lvl w:ilvl="0" w:tplc="C70E03EE">
      <w:start w:val="4"/>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0C25C1"/>
    <w:multiLevelType w:val="hybridMultilevel"/>
    <w:tmpl w:val="48CE78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1D3108F"/>
    <w:multiLevelType w:val="hybridMultilevel"/>
    <w:tmpl w:val="DA7A226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DCF30E0"/>
    <w:multiLevelType w:val="hybridMultilevel"/>
    <w:tmpl w:val="70201570"/>
    <w:lvl w:ilvl="0" w:tplc="C70E03EE">
      <w:start w:val="4"/>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C965BB"/>
    <w:multiLevelType w:val="multilevel"/>
    <w:tmpl w:val="F64C7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1D119B"/>
    <w:multiLevelType w:val="hybridMultilevel"/>
    <w:tmpl w:val="3800BC78"/>
    <w:lvl w:ilvl="0" w:tplc="662ACFF4">
      <w:start w:val="1"/>
      <w:numFmt w:val="bullet"/>
      <w:lvlText w:val=""/>
      <w:lvlJc w:val="left"/>
      <w:pPr>
        <w:ind w:left="1080" w:hanging="360"/>
      </w:pPr>
      <w:rPr>
        <w:rFonts w:ascii="Symbol" w:eastAsiaTheme="minorHAnsi" w:hAnsi="Symbo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64847C4"/>
    <w:multiLevelType w:val="multilevel"/>
    <w:tmpl w:val="F64C7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294707"/>
    <w:multiLevelType w:val="multilevel"/>
    <w:tmpl w:val="2A5A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BB19CE"/>
    <w:multiLevelType w:val="multilevel"/>
    <w:tmpl w:val="4DC8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555A7D"/>
    <w:multiLevelType w:val="hybridMultilevel"/>
    <w:tmpl w:val="8DA8CE48"/>
    <w:lvl w:ilvl="0" w:tplc="662ACFF4">
      <w:start w:val="1"/>
      <w:numFmt w:val="bullet"/>
      <w:lvlText w:val=""/>
      <w:lvlJc w:val="left"/>
      <w:pPr>
        <w:ind w:left="36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5704A0"/>
    <w:multiLevelType w:val="hybridMultilevel"/>
    <w:tmpl w:val="529A6060"/>
    <w:lvl w:ilvl="0" w:tplc="662ACFF4">
      <w:start w:val="1"/>
      <w:numFmt w:val="bullet"/>
      <w:lvlText w:val=""/>
      <w:lvlJc w:val="left"/>
      <w:pPr>
        <w:ind w:left="720" w:hanging="360"/>
      </w:pPr>
      <w:rPr>
        <w:rFonts w:ascii="Symbol" w:eastAsiaTheme="minorHAnsi" w:hAnsi="Symbo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F7F1D01"/>
    <w:multiLevelType w:val="hybridMultilevel"/>
    <w:tmpl w:val="E03E5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B009D5"/>
    <w:multiLevelType w:val="hybridMultilevel"/>
    <w:tmpl w:val="E672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5A3882"/>
    <w:multiLevelType w:val="multilevel"/>
    <w:tmpl w:val="F64C7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8E5E02"/>
    <w:multiLevelType w:val="hybridMultilevel"/>
    <w:tmpl w:val="E68E9708"/>
    <w:lvl w:ilvl="0" w:tplc="662ACFF4">
      <w:start w:val="1"/>
      <w:numFmt w:val="bullet"/>
      <w:lvlText w:val=""/>
      <w:lvlJc w:val="left"/>
      <w:pPr>
        <w:ind w:left="720" w:hanging="360"/>
      </w:pPr>
      <w:rPr>
        <w:rFonts w:ascii="Symbol" w:eastAsiaTheme="minorHAnsi" w:hAnsi="Symbol" w:cs="Aria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D9A4458"/>
    <w:multiLevelType w:val="hybridMultilevel"/>
    <w:tmpl w:val="36720F6C"/>
    <w:lvl w:ilvl="0" w:tplc="662ACFF4">
      <w:start w:val="1"/>
      <w:numFmt w:val="bullet"/>
      <w:lvlText w:val=""/>
      <w:lvlJc w:val="left"/>
      <w:pPr>
        <w:ind w:left="360" w:hanging="360"/>
      </w:pPr>
      <w:rPr>
        <w:rFonts w:ascii="Symbol" w:eastAsiaTheme="minorHAns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1455501">
    <w:abstractNumId w:val="6"/>
  </w:num>
  <w:num w:numId="2" w16cid:durableId="982589342">
    <w:abstractNumId w:val="15"/>
  </w:num>
  <w:num w:numId="3" w16cid:durableId="1079710432">
    <w:abstractNumId w:val="18"/>
  </w:num>
  <w:num w:numId="4" w16cid:durableId="2060199284">
    <w:abstractNumId w:val="20"/>
  </w:num>
  <w:num w:numId="5" w16cid:durableId="786855435">
    <w:abstractNumId w:val="27"/>
  </w:num>
  <w:num w:numId="6" w16cid:durableId="1593313411">
    <w:abstractNumId w:val="7"/>
  </w:num>
  <w:num w:numId="7" w16cid:durableId="771124964">
    <w:abstractNumId w:val="22"/>
  </w:num>
  <w:num w:numId="8" w16cid:durableId="2082171838">
    <w:abstractNumId w:val="21"/>
  </w:num>
  <w:num w:numId="9" w16cid:durableId="452335456">
    <w:abstractNumId w:val="25"/>
  </w:num>
  <w:num w:numId="10" w16cid:durableId="283535910">
    <w:abstractNumId w:val="3"/>
  </w:num>
  <w:num w:numId="11" w16cid:durableId="246038559">
    <w:abstractNumId w:val="12"/>
  </w:num>
  <w:num w:numId="12" w16cid:durableId="121769141">
    <w:abstractNumId w:val="2"/>
  </w:num>
  <w:num w:numId="13" w16cid:durableId="1942763036">
    <w:abstractNumId w:val="5"/>
  </w:num>
  <w:num w:numId="14" w16cid:durableId="1657369105">
    <w:abstractNumId w:val="16"/>
  </w:num>
  <w:num w:numId="15" w16cid:durableId="2102557701">
    <w:abstractNumId w:val="9"/>
  </w:num>
  <w:num w:numId="16" w16cid:durableId="2132359481">
    <w:abstractNumId w:val="26"/>
  </w:num>
  <w:num w:numId="17" w16cid:durableId="117530955">
    <w:abstractNumId w:val="1"/>
  </w:num>
  <w:num w:numId="18" w16cid:durableId="1133716250">
    <w:abstractNumId w:val="14"/>
  </w:num>
  <w:num w:numId="19" w16cid:durableId="1251233525">
    <w:abstractNumId w:val="17"/>
  </w:num>
  <w:num w:numId="20" w16cid:durableId="1234924801">
    <w:abstractNumId w:val="0"/>
  </w:num>
  <w:num w:numId="21" w16cid:durableId="1735425053">
    <w:abstractNumId w:val="8"/>
  </w:num>
  <w:num w:numId="22" w16cid:durableId="934363112">
    <w:abstractNumId w:val="10"/>
  </w:num>
  <w:num w:numId="23" w16cid:durableId="1458909725">
    <w:abstractNumId w:val="13"/>
  </w:num>
  <w:num w:numId="24" w16cid:durableId="429545259">
    <w:abstractNumId w:val="19"/>
  </w:num>
  <w:num w:numId="25" w16cid:durableId="220135550">
    <w:abstractNumId w:val="11"/>
  </w:num>
  <w:num w:numId="26" w16cid:durableId="757680946">
    <w:abstractNumId w:val="28"/>
  </w:num>
  <w:num w:numId="27" w16cid:durableId="676420785">
    <w:abstractNumId w:val="24"/>
  </w:num>
  <w:num w:numId="28" w16cid:durableId="892352171">
    <w:abstractNumId w:val="29"/>
  </w:num>
  <w:num w:numId="29" w16cid:durableId="745759946">
    <w:abstractNumId w:val="4"/>
  </w:num>
  <w:num w:numId="30" w16cid:durableId="136918327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C4"/>
    <w:rsid w:val="000006CE"/>
    <w:rsid w:val="000161C6"/>
    <w:rsid w:val="00020F26"/>
    <w:rsid w:val="00032E6D"/>
    <w:rsid w:val="00033AD8"/>
    <w:rsid w:val="000368DC"/>
    <w:rsid w:val="00050B87"/>
    <w:rsid w:val="000544F3"/>
    <w:rsid w:val="000567E5"/>
    <w:rsid w:val="00064026"/>
    <w:rsid w:val="0006583B"/>
    <w:rsid w:val="000674C2"/>
    <w:rsid w:val="00086ADD"/>
    <w:rsid w:val="0009425D"/>
    <w:rsid w:val="000B073A"/>
    <w:rsid w:val="000B7E64"/>
    <w:rsid w:val="000C011E"/>
    <w:rsid w:val="000E04AF"/>
    <w:rsid w:val="000E325C"/>
    <w:rsid w:val="000E6E4C"/>
    <w:rsid w:val="000F271B"/>
    <w:rsid w:val="000F37F8"/>
    <w:rsid w:val="000F7A10"/>
    <w:rsid w:val="001504DE"/>
    <w:rsid w:val="00153E3F"/>
    <w:rsid w:val="0015644C"/>
    <w:rsid w:val="001572D9"/>
    <w:rsid w:val="001827C4"/>
    <w:rsid w:val="001A30BC"/>
    <w:rsid w:val="001D1F4C"/>
    <w:rsid w:val="001F52F5"/>
    <w:rsid w:val="001F7684"/>
    <w:rsid w:val="0022235E"/>
    <w:rsid w:val="0022344A"/>
    <w:rsid w:val="00253135"/>
    <w:rsid w:val="00262B92"/>
    <w:rsid w:val="00276D57"/>
    <w:rsid w:val="00277E98"/>
    <w:rsid w:val="0029233E"/>
    <w:rsid w:val="002A3C1E"/>
    <w:rsid w:val="002A40D2"/>
    <w:rsid w:val="002B154B"/>
    <w:rsid w:val="002D4BAA"/>
    <w:rsid w:val="002D6FC5"/>
    <w:rsid w:val="002E39AC"/>
    <w:rsid w:val="002F7C50"/>
    <w:rsid w:val="00300ECC"/>
    <w:rsid w:val="00301376"/>
    <w:rsid w:val="003224A4"/>
    <w:rsid w:val="00332F26"/>
    <w:rsid w:val="00361AE7"/>
    <w:rsid w:val="003655F9"/>
    <w:rsid w:val="003666CF"/>
    <w:rsid w:val="003734DB"/>
    <w:rsid w:val="00375741"/>
    <w:rsid w:val="00376558"/>
    <w:rsid w:val="003A7A8C"/>
    <w:rsid w:val="003B633A"/>
    <w:rsid w:val="003C635F"/>
    <w:rsid w:val="003C67E5"/>
    <w:rsid w:val="003D06A3"/>
    <w:rsid w:val="003D1208"/>
    <w:rsid w:val="003D131F"/>
    <w:rsid w:val="003D7F42"/>
    <w:rsid w:val="003E56EF"/>
    <w:rsid w:val="004266C1"/>
    <w:rsid w:val="004273C4"/>
    <w:rsid w:val="00432524"/>
    <w:rsid w:val="00440EAB"/>
    <w:rsid w:val="00443289"/>
    <w:rsid w:val="004477F7"/>
    <w:rsid w:val="00454A9B"/>
    <w:rsid w:val="004768E1"/>
    <w:rsid w:val="0048279B"/>
    <w:rsid w:val="00485D4E"/>
    <w:rsid w:val="00494A13"/>
    <w:rsid w:val="004975E2"/>
    <w:rsid w:val="004C453B"/>
    <w:rsid w:val="004D4CD0"/>
    <w:rsid w:val="004D6E6C"/>
    <w:rsid w:val="00504F2D"/>
    <w:rsid w:val="005610A9"/>
    <w:rsid w:val="00563815"/>
    <w:rsid w:val="00566CD2"/>
    <w:rsid w:val="00581D8E"/>
    <w:rsid w:val="00582BE9"/>
    <w:rsid w:val="005A2832"/>
    <w:rsid w:val="005B1026"/>
    <w:rsid w:val="005D4264"/>
    <w:rsid w:val="005E107E"/>
    <w:rsid w:val="005E44A0"/>
    <w:rsid w:val="005F03C7"/>
    <w:rsid w:val="006118AA"/>
    <w:rsid w:val="00614AEE"/>
    <w:rsid w:val="00622321"/>
    <w:rsid w:val="00623D2B"/>
    <w:rsid w:val="00623EF2"/>
    <w:rsid w:val="006323FB"/>
    <w:rsid w:val="0063389B"/>
    <w:rsid w:val="006378E4"/>
    <w:rsid w:val="0064512E"/>
    <w:rsid w:val="00645D0C"/>
    <w:rsid w:val="00646966"/>
    <w:rsid w:val="00651130"/>
    <w:rsid w:val="00653378"/>
    <w:rsid w:val="006631BB"/>
    <w:rsid w:val="00664B80"/>
    <w:rsid w:val="00674574"/>
    <w:rsid w:val="00674CF7"/>
    <w:rsid w:val="00694147"/>
    <w:rsid w:val="006A183E"/>
    <w:rsid w:val="006A2A6A"/>
    <w:rsid w:val="006A2DEF"/>
    <w:rsid w:val="006C4052"/>
    <w:rsid w:val="006E003F"/>
    <w:rsid w:val="006E03CD"/>
    <w:rsid w:val="006E0EE0"/>
    <w:rsid w:val="006E0FF7"/>
    <w:rsid w:val="006E65EC"/>
    <w:rsid w:val="00703CAF"/>
    <w:rsid w:val="007075D7"/>
    <w:rsid w:val="00712618"/>
    <w:rsid w:val="00723C12"/>
    <w:rsid w:val="0072709F"/>
    <w:rsid w:val="0073068E"/>
    <w:rsid w:val="00734145"/>
    <w:rsid w:val="00750762"/>
    <w:rsid w:val="0075221F"/>
    <w:rsid w:val="00760262"/>
    <w:rsid w:val="007748E9"/>
    <w:rsid w:val="00777FF5"/>
    <w:rsid w:val="0078636D"/>
    <w:rsid w:val="007A069B"/>
    <w:rsid w:val="007A60BD"/>
    <w:rsid w:val="007C64E9"/>
    <w:rsid w:val="007D34F8"/>
    <w:rsid w:val="007E609F"/>
    <w:rsid w:val="007F78DF"/>
    <w:rsid w:val="00835379"/>
    <w:rsid w:val="00836BB1"/>
    <w:rsid w:val="00837327"/>
    <w:rsid w:val="008539E4"/>
    <w:rsid w:val="00860A72"/>
    <w:rsid w:val="00870E3F"/>
    <w:rsid w:val="00886EEE"/>
    <w:rsid w:val="00887447"/>
    <w:rsid w:val="008907BB"/>
    <w:rsid w:val="008B65D8"/>
    <w:rsid w:val="008C426C"/>
    <w:rsid w:val="008D258B"/>
    <w:rsid w:val="008D66BC"/>
    <w:rsid w:val="008E437D"/>
    <w:rsid w:val="008F56D4"/>
    <w:rsid w:val="009016E3"/>
    <w:rsid w:val="0090220C"/>
    <w:rsid w:val="009149D6"/>
    <w:rsid w:val="009578F7"/>
    <w:rsid w:val="00980F6A"/>
    <w:rsid w:val="00984D54"/>
    <w:rsid w:val="00985DFB"/>
    <w:rsid w:val="00990E41"/>
    <w:rsid w:val="009A2D76"/>
    <w:rsid w:val="009A649D"/>
    <w:rsid w:val="009B6FFC"/>
    <w:rsid w:val="009E4D06"/>
    <w:rsid w:val="009F09F3"/>
    <w:rsid w:val="00A025EF"/>
    <w:rsid w:val="00A03FF0"/>
    <w:rsid w:val="00A31D67"/>
    <w:rsid w:val="00A6146A"/>
    <w:rsid w:val="00A6519D"/>
    <w:rsid w:val="00A74715"/>
    <w:rsid w:val="00A770DB"/>
    <w:rsid w:val="00A961FE"/>
    <w:rsid w:val="00AB54C8"/>
    <w:rsid w:val="00AC4F78"/>
    <w:rsid w:val="00AD10CA"/>
    <w:rsid w:val="00AE60FF"/>
    <w:rsid w:val="00B144C2"/>
    <w:rsid w:val="00B2536B"/>
    <w:rsid w:val="00B332A7"/>
    <w:rsid w:val="00B5621E"/>
    <w:rsid w:val="00B719E1"/>
    <w:rsid w:val="00B81EC2"/>
    <w:rsid w:val="00BC1CFA"/>
    <w:rsid w:val="00BE6A87"/>
    <w:rsid w:val="00C03F68"/>
    <w:rsid w:val="00C10E6A"/>
    <w:rsid w:val="00C11687"/>
    <w:rsid w:val="00C34BAA"/>
    <w:rsid w:val="00C36A6F"/>
    <w:rsid w:val="00C45611"/>
    <w:rsid w:val="00C62104"/>
    <w:rsid w:val="00C71241"/>
    <w:rsid w:val="00C76EA0"/>
    <w:rsid w:val="00C81DC4"/>
    <w:rsid w:val="00C82343"/>
    <w:rsid w:val="00C918C7"/>
    <w:rsid w:val="00CA49B1"/>
    <w:rsid w:val="00CB5B55"/>
    <w:rsid w:val="00CD2603"/>
    <w:rsid w:val="00CE1909"/>
    <w:rsid w:val="00CF0E93"/>
    <w:rsid w:val="00CF1167"/>
    <w:rsid w:val="00D01201"/>
    <w:rsid w:val="00D0348E"/>
    <w:rsid w:val="00D06372"/>
    <w:rsid w:val="00D11C6B"/>
    <w:rsid w:val="00D15026"/>
    <w:rsid w:val="00D16CD5"/>
    <w:rsid w:val="00D25749"/>
    <w:rsid w:val="00D27BAB"/>
    <w:rsid w:val="00D35D19"/>
    <w:rsid w:val="00D36670"/>
    <w:rsid w:val="00D8615C"/>
    <w:rsid w:val="00DA037A"/>
    <w:rsid w:val="00DC0F9F"/>
    <w:rsid w:val="00DC6697"/>
    <w:rsid w:val="00DD57EA"/>
    <w:rsid w:val="00DE1225"/>
    <w:rsid w:val="00E03C1A"/>
    <w:rsid w:val="00E0497D"/>
    <w:rsid w:val="00E21284"/>
    <w:rsid w:val="00E22098"/>
    <w:rsid w:val="00E245D2"/>
    <w:rsid w:val="00E512AB"/>
    <w:rsid w:val="00E6086A"/>
    <w:rsid w:val="00E63DCC"/>
    <w:rsid w:val="00E74DD6"/>
    <w:rsid w:val="00E90231"/>
    <w:rsid w:val="00EA67ED"/>
    <w:rsid w:val="00EC139A"/>
    <w:rsid w:val="00ED44B0"/>
    <w:rsid w:val="00EF6EEF"/>
    <w:rsid w:val="00F04EFD"/>
    <w:rsid w:val="00F17DA3"/>
    <w:rsid w:val="00F21C85"/>
    <w:rsid w:val="00F23254"/>
    <w:rsid w:val="00F26166"/>
    <w:rsid w:val="00F339D6"/>
    <w:rsid w:val="00F77C38"/>
    <w:rsid w:val="00F840F9"/>
    <w:rsid w:val="00F90975"/>
    <w:rsid w:val="00F90D5A"/>
    <w:rsid w:val="00FA138D"/>
    <w:rsid w:val="00FA71A1"/>
    <w:rsid w:val="00FB0580"/>
    <w:rsid w:val="00FC0ABC"/>
    <w:rsid w:val="00FD1492"/>
    <w:rsid w:val="00FE15A0"/>
    <w:rsid w:val="00FF142C"/>
    <w:rsid w:val="00FF2F2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96CB5"/>
  <w15:chartTrackingRefBased/>
  <w15:docId w15:val="{AA62EC16-47E6-ED42-A0A0-2F6D59106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6E4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1DC4"/>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2F7C50"/>
    <w:rPr>
      <w:color w:val="0563C1" w:themeColor="hyperlink"/>
      <w:u w:val="single"/>
    </w:rPr>
  </w:style>
  <w:style w:type="character" w:styleId="UnresolvedMention">
    <w:name w:val="Unresolved Mention"/>
    <w:basedOn w:val="DefaultParagraphFont"/>
    <w:uiPriority w:val="99"/>
    <w:semiHidden/>
    <w:unhideWhenUsed/>
    <w:rsid w:val="002F7C50"/>
    <w:rPr>
      <w:color w:val="605E5C"/>
      <w:shd w:val="clear" w:color="auto" w:fill="E1DFDD"/>
    </w:rPr>
  </w:style>
  <w:style w:type="paragraph" w:styleId="Revision">
    <w:name w:val="Revision"/>
    <w:hidden/>
    <w:uiPriority w:val="99"/>
    <w:semiHidden/>
    <w:rsid w:val="00FA71A1"/>
  </w:style>
  <w:style w:type="paragraph" w:styleId="Header">
    <w:name w:val="header"/>
    <w:basedOn w:val="Normal"/>
    <w:link w:val="HeaderChar"/>
    <w:uiPriority w:val="99"/>
    <w:unhideWhenUsed/>
    <w:rsid w:val="00277E98"/>
    <w:pPr>
      <w:tabs>
        <w:tab w:val="center" w:pos="4680"/>
        <w:tab w:val="right" w:pos="9360"/>
      </w:tabs>
    </w:pPr>
  </w:style>
  <w:style w:type="character" w:customStyle="1" w:styleId="HeaderChar">
    <w:name w:val="Header Char"/>
    <w:basedOn w:val="DefaultParagraphFont"/>
    <w:link w:val="Header"/>
    <w:uiPriority w:val="99"/>
    <w:rsid w:val="00277E98"/>
  </w:style>
  <w:style w:type="paragraph" w:styleId="Footer">
    <w:name w:val="footer"/>
    <w:basedOn w:val="Normal"/>
    <w:link w:val="FooterChar"/>
    <w:uiPriority w:val="99"/>
    <w:unhideWhenUsed/>
    <w:rsid w:val="00277E98"/>
    <w:pPr>
      <w:tabs>
        <w:tab w:val="center" w:pos="4680"/>
        <w:tab w:val="right" w:pos="9360"/>
      </w:tabs>
    </w:pPr>
  </w:style>
  <w:style w:type="character" w:customStyle="1" w:styleId="FooterChar">
    <w:name w:val="Footer Char"/>
    <w:basedOn w:val="DefaultParagraphFont"/>
    <w:link w:val="Footer"/>
    <w:uiPriority w:val="99"/>
    <w:rsid w:val="00277E98"/>
  </w:style>
  <w:style w:type="character" w:styleId="PageNumber">
    <w:name w:val="page number"/>
    <w:basedOn w:val="DefaultParagraphFont"/>
    <w:uiPriority w:val="99"/>
    <w:semiHidden/>
    <w:unhideWhenUsed/>
    <w:rsid w:val="009F09F3"/>
  </w:style>
  <w:style w:type="paragraph" w:styleId="FootnoteText">
    <w:name w:val="footnote text"/>
    <w:basedOn w:val="Normal"/>
    <w:link w:val="FootnoteTextChar"/>
    <w:uiPriority w:val="99"/>
    <w:unhideWhenUsed/>
    <w:rsid w:val="004D6E6C"/>
    <w:rPr>
      <w:sz w:val="20"/>
      <w:szCs w:val="20"/>
    </w:rPr>
  </w:style>
  <w:style w:type="character" w:customStyle="1" w:styleId="FootnoteTextChar">
    <w:name w:val="Footnote Text Char"/>
    <w:basedOn w:val="DefaultParagraphFont"/>
    <w:link w:val="FootnoteText"/>
    <w:uiPriority w:val="99"/>
    <w:rsid w:val="004D6E6C"/>
    <w:rPr>
      <w:sz w:val="20"/>
      <w:szCs w:val="20"/>
    </w:rPr>
  </w:style>
  <w:style w:type="character" w:styleId="FootnoteReference">
    <w:name w:val="footnote reference"/>
    <w:aliases w:val="NO,Footnotes refss,Footnote number,Footnote"/>
    <w:basedOn w:val="DefaultParagraphFont"/>
    <w:uiPriority w:val="99"/>
    <w:semiHidden/>
    <w:unhideWhenUsed/>
    <w:rsid w:val="004D6E6C"/>
    <w:rPr>
      <w:vertAlign w:val="superscript"/>
    </w:rPr>
  </w:style>
  <w:style w:type="paragraph" w:customStyle="1" w:styleId="xxmsonormal">
    <w:name w:val="x_x_msonormal"/>
    <w:basedOn w:val="Normal"/>
    <w:rsid w:val="0090220C"/>
    <w:rPr>
      <w:rFonts w:ascii="Calibri" w:hAnsi="Calibri" w:cs="Calibri"/>
      <w:lang w:eastAsia="en-GB"/>
    </w:rPr>
  </w:style>
  <w:style w:type="character" w:styleId="CommentReference">
    <w:name w:val="annotation reference"/>
    <w:basedOn w:val="DefaultParagraphFont"/>
    <w:uiPriority w:val="99"/>
    <w:semiHidden/>
    <w:unhideWhenUsed/>
    <w:rsid w:val="00985DFB"/>
    <w:rPr>
      <w:sz w:val="16"/>
      <w:szCs w:val="16"/>
    </w:rPr>
  </w:style>
  <w:style w:type="paragraph" w:styleId="CommentText">
    <w:name w:val="annotation text"/>
    <w:basedOn w:val="Normal"/>
    <w:link w:val="CommentTextChar"/>
    <w:uiPriority w:val="99"/>
    <w:semiHidden/>
    <w:unhideWhenUsed/>
    <w:rsid w:val="00985DFB"/>
    <w:rPr>
      <w:sz w:val="20"/>
      <w:szCs w:val="20"/>
    </w:rPr>
  </w:style>
  <w:style w:type="character" w:customStyle="1" w:styleId="CommentTextChar">
    <w:name w:val="Comment Text Char"/>
    <w:basedOn w:val="DefaultParagraphFont"/>
    <w:link w:val="CommentText"/>
    <w:uiPriority w:val="99"/>
    <w:semiHidden/>
    <w:rsid w:val="00985DFB"/>
    <w:rPr>
      <w:sz w:val="20"/>
      <w:szCs w:val="20"/>
    </w:rPr>
  </w:style>
  <w:style w:type="paragraph" w:styleId="CommentSubject">
    <w:name w:val="annotation subject"/>
    <w:basedOn w:val="CommentText"/>
    <w:next w:val="CommentText"/>
    <w:link w:val="CommentSubjectChar"/>
    <w:uiPriority w:val="99"/>
    <w:semiHidden/>
    <w:unhideWhenUsed/>
    <w:rsid w:val="00985DFB"/>
    <w:rPr>
      <w:b/>
      <w:bCs/>
    </w:rPr>
  </w:style>
  <w:style w:type="character" w:customStyle="1" w:styleId="CommentSubjectChar">
    <w:name w:val="Comment Subject Char"/>
    <w:basedOn w:val="CommentTextChar"/>
    <w:link w:val="CommentSubject"/>
    <w:uiPriority w:val="99"/>
    <w:semiHidden/>
    <w:rsid w:val="00985DFB"/>
    <w:rPr>
      <w:b/>
      <w:bCs/>
      <w:sz w:val="20"/>
      <w:szCs w:val="20"/>
    </w:rPr>
  </w:style>
  <w:style w:type="paragraph" w:styleId="ListParagraph">
    <w:name w:val="List Paragraph"/>
    <w:basedOn w:val="Normal"/>
    <w:uiPriority w:val="34"/>
    <w:qFormat/>
    <w:rsid w:val="00301376"/>
    <w:pPr>
      <w:tabs>
        <w:tab w:val="left" w:pos="567"/>
        <w:tab w:val="left" w:pos="1134"/>
        <w:tab w:val="left" w:pos="1701"/>
      </w:tabs>
      <w:spacing w:after="140" w:line="300" w:lineRule="exact"/>
      <w:contextualSpacing/>
    </w:pPr>
    <w:rPr>
      <w:rFonts w:cs="Times New Roman (Body CS)"/>
    </w:rPr>
  </w:style>
  <w:style w:type="character" w:customStyle="1" w:styleId="WMHAbodytextChar">
    <w:name w:val="WMHA body text Char"/>
    <w:basedOn w:val="DefaultParagraphFont"/>
    <w:link w:val="WMHAbodytext"/>
    <w:locked/>
    <w:rsid w:val="00301376"/>
    <w:rPr>
      <w:rFonts w:ascii="Arial" w:hAnsi="Arial" w:cs="Arial"/>
    </w:rPr>
  </w:style>
  <w:style w:type="paragraph" w:customStyle="1" w:styleId="WMHAbodytext">
    <w:name w:val="WMHA body text"/>
    <w:basedOn w:val="Normal"/>
    <w:link w:val="WMHAbodytextChar"/>
    <w:autoRedefine/>
    <w:qFormat/>
    <w:rsid w:val="00301376"/>
    <w:pPr>
      <w:numPr>
        <w:ilvl w:val="1"/>
        <w:numId w:val="17"/>
      </w:numPr>
    </w:pPr>
    <w:rPr>
      <w:rFonts w:ascii="Arial" w:hAnsi="Arial" w:cs="Arial"/>
    </w:rPr>
  </w:style>
  <w:style w:type="table" w:styleId="TableGrid">
    <w:name w:val="Table Grid"/>
    <w:basedOn w:val="TableNormal"/>
    <w:uiPriority w:val="39"/>
    <w:rsid w:val="0030137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301376"/>
    <w:rPr>
      <w:rFonts w:ascii="Segoe UI" w:hAnsi="Segoe UI" w:cs="Segoe UI" w:hint="default"/>
      <w:sz w:val="18"/>
      <w:szCs w:val="18"/>
    </w:rPr>
  </w:style>
  <w:style w:type="paragraph" w:customStyle="1" w:styleId="pf0">
    <w:name w:val="pf0"/>
    <w:basedOn w:val="Normal"/>
    <w:rsid w:val="00301376"/>
    <w:pPr>
      <w:spacing w:before="100" w:beforeAutospacing="1" w:after="100" w:afterAutospacing="1"/>
    </w:pPr>
    <w:rPr>
      <w:rFonts w:ascii="Times New Roman" w:eastAsia="Times New Roman" w:hAnsi="Times New Roman" w:cs="Times New Roman"/>
      <w:lang w:eastAsia="en-AU"/>
    </w:rPr>
  </w:style>
  <w:style w:type="character" w:customStyle="1" w:styleId="cf11">
    <w:name w:val="cf11"/>
    <w:basedOn w:val="DefaultParagraphFont"/>
    <w:rsid w:val="00301376"/>
    <w:rPr>
      <w:rFonts w:ascii="Segoe UI" w:hAnsi="Segoe UI" w:cs="Segoe UI" w:hint="default"/>
      <w:i/>
      <w:iCs/>
      <w:sz w:val="18"/>
      <w:szCs w:val="18"/>
    </w:rPr>
  </w:style>
  <w:style w:type="character" w:customStyle="1" w:styleId="Heading1Char">
    <w:name w:val="Heading 1 Char"/>
    <w:basedOn w:val="DefaultParagraphFont"/>
    <w:link w:val="Heading1"/>
    <w:uiPriority w:val="9"/>
    <w:rsid w:val="000E6E4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656">
      <w:bodyDiv w:val="1"/>
      <w:marLeft w:val="0"/>
      <w:marRight w:val="0"/>
      <w:marTop w:val="0"/>
      <w:marBottom w:val="0"/>
      <w:divBdr>
        <w:top w:val="none" w:sz="0" w:space="0" w:color="auto"/>
        <w:left w:val="none" w:sz="0" w:space="0" w:color="auto"/>
        <w:bottom w:val="none" w:sz="0" w:space="0" w:color="auto"/>
        <w:right w:val="none" w:sz="0" w:space="0" w:color="auto"/>
      </w:divBdr>
      <w:divsChild>
        <w:div w:id="1749880980">
          <w:marLeft w:val="0"/>
          <w:marRight w:val="0"/>
          <w:marTop w:val="0"/>
          <w:marBottom w:val="0"/>
          <w:divBdr>
            <w:top w:val="none" w:sz="0" w:space="0" w:color="auto"/>
            <w:left w:val="none" w:sz="0" w:space="0" w:color="auto"/>
            <w:bottom w:val="none" w:sz="0" w:space="0" w:color="auto"/>
            <w:right w:val="none" w:sz="0" w:space="0" w:color="auto"/>
          </w:divBdr>
          <w:divsChild>
            <w:div w:id="314529110">
              <w:marLeft w:val="0"/>
              <w:marRight w:val="0"/>
              <w:marTop w:val="0"/>
              <w:marBottom w:val="0"/>
              <w:divBdr>
                <w:top w:val="none" w:sz="0" w:space="0" w:color="auto"/>
                <w:left w:val="none" w:sz="0" w:space="0" w:color="auto"/>
                <w:bottom w:val="none" w:sz="0" w:space="0" w:color="auto"/>
                <w:right w:val="none" w:sz="0" w:space="0" w:color="auto"/>
              </w:divBdr>
              <w:divsChild>
                <w:div w:id="56714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5380">
      <w:bodyDiv w:val="1"/>
      <w:marLeft w:val="0"/>
      <w:marRight w:val="0"/>
      <w:marTop w:val="0"/>
      <w:marBottom w:val="0"/>
      <w:divBdr>
        <w:top w:val="none" w:sz="0" w:space="0" w:color="auto"/>
        <w:left w:val="none" w:sz="0" w:space="0" w:color="auto"/>
        <w:bottom w:val="none" w:sz="0" w:space="0" w:color="auto"/>
        <w:right w:val="none" w:sz="0" w:space="0" w:color="auto"/>
      </w:divBdr>
      <w:divsChild>
        <w:div w:id="1372539412">
          <w:marLeft w:val="0"/>
          <w:marRight w:val="0"/>
          <w:marTop w:val="0"/>
          <w:marBottom w:val="0"/>
          <w:divBdr>
            <w:top w:val="none" w:sz="0" w:space="0" w:color="auto"/>
            <w:left w:val="none" w:sz="0" w:space="0" w:color="auto"/>
            <w:bottom w:val="none" w:sz="0" w:space="0" w:color="auto"/>
            <w:right w:val="none" w:sz="0" w:space="0" w:color="auto"/>
          </w:divBdr>
          <w:divsChild>
            <w:div w:id="800805192">
              <w:marLeft w:val="0"/>
              <w:marRight w:val="0"/>
              <w:marTop w:val="0"/>
              <w:marBottom w:val="0"/>
              <w:divBdr>
                <w:top w:val="none" w:sz="0" w:space="0" w:color="auto"/>
                <w:left w:val="none" w:sz="0" w:space="0" w:color="auto"/>
                <w:bottom w:val="none" w:sz="0" w:space="0" w:color="auto"/>
                <w:right w:val="none" w:sz="0" w:space="0" w:color="auto"/>
              </w:divBdr>
              <w:divsChild>
                <w:div w:id="15276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30154">
      <w:bodyDiv w:val="1"/>
      <w:marLeft w:val="0"/>
      <w:marRight w:val="0"/>
      <w:marTop w:val="0"/>
      <w:marBottom w:val="0"/>
      <w:divBdr>
        <w:top w:val="none" w:sz="0" w:space="0" w:color="auto"/>
        <w:left w:val="none" w:sz="0" w:space="0" w:color="auto"/>
        <w:bottom w:val="none" w:sz="0" w:space="0" w:color="auto"/>
        <w:right w:val="none" w:sz="0" w:space="0" w:color="auto"/>
      </w:divBdr>
    </w:div>
    <w:div w:id="282734064">
      <w:bodyDiv w:val="1"/>
      <w:marLeft w:val="0"/>
      <w:marRight w:val="0"/>
      <w:marTop w:val="0"/>
      <w:marBottom w:val="0"/>
      <w:divBdr>
        <w:top w:val="none" w:sz="0" w:space="0" w:color="auto"/>
        <w:left w:val="none" w:sz="0" w:space="0" w:color="auto"/>
        <w:bottom w:val="none" w:sz="0" w:space="0" w:color="auto"/>
        <w:right w:val="none" w:sz="0" w:space="0" w:color="auto"/>
      </w:divBdr>
    </w:div>
    <w:div w:id="476342373">
      <w:bodyDiv w:val="1"/>
      <w:marLeft w:val="0"/>
      <w:marRight w:val="0"/>
      <w:marTop w:val="0"/>
      <w:marBottom w:val="0"/>
      <w:divBdr>
        <w:top w:val="none" w:sz="0" w:space="0" w:color="auto"/>
        <w:left w:val="none" w:sz="0" w:space="0" w:color="auto"/>
        <w:bottom w:val="none" w:sz="0" w:space="0" w:color="auto"/>
        <w:right w:val="none" w:sz="0" w:space="0" w:color="auto"/>
      </w:divBdr>
      <w:divsChild>
        <w:div w:id="2020353724">
          <w:marLeft w:val="0"/>
          <w:marRight w:val="0"/>
          <w:marTop w:val="0"/>
          <w:marBottom w:val="0"/>
          <w:divBdr>
            <w:top w:val="none" w:sz="0" w:space="0" w:color="auto"/>
            <w:left w:val="none" w:sz="0" w:space="0" w:color="auto"/>
            <w:bottom w:val="none" w:sz="0" w:space="0" w:color="auto"/>
            <w:right w:val="none" w:sz="0" w:space="0" w:color="auto"/>
          </w:divBdr>
        </w:div>
        <w:div w:id="144857839">
          <w:marLeft w:val="0"/>
          <w:marRight w:val="0"/>
          <w:marTop w:val="0"/>
          <w:marBottom w:val="0"/>
          <w:divBdr>
            <w:top w:val="none" w:sz="0" w:space="0" w:color="auto"/>
            <w:left w:val="none" w:sz="0" w:space="0" w:color="auto"/>
            <w:bottom w:val="none" w:sz="0" w:space="0" w:color="auto"/>
            <w:right w:val="none" w:sz="0" w:space="0" w:color="auto"/>
          </w:divBdr>
        </w:div>
      </w:divsChild>
    </w:div>
    <w:div w:id="495459316">
      <w:bodyDiv w:val="1"/>
      <w:marLeft w:val="0"/>
      <w:marRight w:val="0"/>
      <w:marTop w:val="0"/>
      <w:marBottom w:val="0"/>
      <w:divBdr>
        <w:top w:val="none" w:sz="0" w:space="0" w:color="auto"/>
        <w:left w:val="none" w:sz="0" w:space="0" w:color="auto"/>
        <w:bottom w:val="none" w:sz="0" w:space="0" w:color="auto"/>
        <w:right w:val="none" w:sz="0" w:space="0" w:color="auto"/>
      </w:divBdr>
      <w:divsChild>
        <w:div w:id="1991979446">
          <w:marLeft w:val="0"/>
          <w:marRight w:val="0"/>
          <w:marTop w:val="0"/>
          <w:marBottom w:val="0"/>
          <w:divBdr>
            <w:top w:val="none" w:sz="0" w:space="0" w:color="auto"/>
            <w:left w:val="none" w:sz="0" w:space="0" w:color="auto"/>
            <w:bottom w:val="none" w:sz="0" w:space="0" w:color="auto"/>
            <w:right w:val="none" w:sz="0" w:space="0" w:color="auto"/>
          </w:divBdr>
          <w:divsChild>
            <w:div w:id="1529299872">
              <w:marLeft w:val="0"/>
              <w:marRight w:val="0"/>
              <w:marTop w:val="0"/>
              <w:marBottom w:val="0"/>
              <w:divBdr>
                <w:top w:val="none" w:sz="0" w:space="0" w:color="auto"/>
                <w:left w:val="none" w:sz="0" w:space="0" w:color="auto"/>
                <w:bottom w:val="none" w:sz="0" w:space="0" w:color="auto"/>
                <w:right w:val="none" w:sz="0" w:space="0" w:color="auto"/>
              </w:divBdr>
              <w:divsChild>
                <w:div w:id="5142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905583">
      <w:bodyDiv w:val="1"/>
      <w:marLeft w:val="0"/>
      <w:marRight w:val="0"/>
      <w:marTop w:val="0"/>
      <w:marBottom w:val="0"/>
      <w:divBdr>
        <w:top w:val="none" w:sz="0" w:space="0" w:color="auto"/>
        <w:left w:val="none" w:sz="0" w:space="0" w:color="auto"/>
        <w:bottom w:val="none" w:sz="0" w:space="0" w:color="auto"/>
        <w:right w:val="none" w:sz="0" w:space="0" w:color="auto"/>
      </w:divBdr>
      <w:divsChild>
        <w:div w:id="114836963">
          <w:marLeft w:val="0"/>
          <w:marRight w:val="0"/>
          <w:marTop w:val="0"/>
          <w:marBottom w:val="0"/>
          <w:divBdr>
            <w:top w:val="none" w:sz="0" w:space="0" w:color="auto"/>
            <w:left w:val="none" w:sz="0" w:space="0" w:color="auto"/>
            <w:bottom w:val="none" w:sz="0" w:space="0" w:color="auto"/>
            <w:right w:val="none" w:sz="0" w:space="0" w:color="auto"/>
          </w:divBdr>
          <w:divsChild>
            <w:div w:id="407729120">
              <w:marLeft w:val="0"/>
              <w:marRight w:val="0"/>
              <w:marTop w:val="0"/>
              <w:marBottom w:val="0"/>
              <w:divBdr>
                <w:top w:val="none" w:sz="0" w:space="0" w:color="auto"/>
                <w:left w:val="none" w:sz="0" w:space="0" w:color="auto"/>
                <w:bottom w:val="none" w:sz="0" w:space="0" w:color="auto"/>
                <w:right w:val="none" w:sz="0" w:space="0" w:color="auto"/>
              </w:divBdr>
              <w:divsChild>
                <w:div w:id="13281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70811">
      <w:bodyDiv w:val="1"/>
      <w:marLeft w:val="0"/>
      <w:marRight w:val="0"/>
      <w:marTop w:val="0"/>
      <w:marBottom w:val="0"/>
      <w:divBdr>
        <w:top w:val="none" w:sz="0" w:space="0" w:color="auto"/>
        <w:left w:val="none" w:sz="0" w:space="0" w:color="auto"/>
        <w:bottom w:val="none" w:sz="0" w:space="0" w:color="auto"/>
        <w:right w:val="none" w:sz="0" w:space="0" w:color="auto"/>
      </w:divBdr>
    </w:div>
    <w:div w:id="945238041">
      <w:bodyDiv w:val="1"/>
      <w:marLeft w:val="0"/>
      <w:marRight w:val="0"/>
      <w:marTop w:val="0"/>
      <w:marBottom w:val="0"/>
      <w:divBdr>
        <w:top w:val="none" w:sz="0" w:space="0" w:color="auto"/>
        <w:left w:val="none" w:sz="0" w:space="0" w:color="auto"/>
        <w:bottom w:val="none" w:sz="0" w:space="0" w:color="auto"/>
        <w:right w:val="none" w:sz="0" w:space="0" w:color="auto"/>
      </w:divBdr>
      <w:divsChild>
        <w:div w:id="1241863325">
          <w:marLeft w:val="0"/>
          <w:marRight w:val="0"/>
          <w:marTop w:val="0"/>
          <w:marBottom w:val="0"/>
          <w:divBdr>
            <w:top w:val="none" w:sz="0" w:space="0" w:color="auto"/>
            <w:left w:val="none" w:sz="0" w:space="0" w:color="auto"/>
            <w:bottom w:val="none" w:sz="0" w:space="0" w:color="auto"/>
            <w:right w:val="none" w:sz="0" w:space="0" w:color="auto"/>
          </w:divBdr>
          <w:divsChild>
            <w:div w:id="957226665">
              <w:marLeft w:val="0"/>
              <w:marRight w:val="0"/>
              <w:marTop w:val="0"/>
              <w:marBottom w:val="0"/>
              <w:divBdr>
                <w:top w:val="none" w:sz="0" w:space="0" w:color="auto"/>
                <w:left w:val="none" w:sz="0" w:space="0" w:color="auto"/>
                <w:bottom w:val="none" w:sz="0" w:space="0" w:color="auto"/>
                <w:right w:val="none" w:sz="0" w:space="0" w:color="auto"/>
              </w:divBdr>
              <w:divsChild>
                <w:div w:id="108206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95978">
      <w:bodyDiv w:val="1"/>
      <w:marLeft w:val="0"/>
      <w:marRight w:val="0"/>
      <w:marTop w:val="0"/>
      <w:marBottom w:val="0"/>
      <w:divBdr>
        <w:top w:val="none" w:sz="0" w:space="0" w:color="auto"/>
        <w:left w:val="none" w:sz="0" w:space="0" w:color="auto"/>
        <w:bottom w:val="none" w:sz="0" w:space="0" w:color="auto"/>
        <w:right w:val="none" w:sz="0" w:space="0" w:color="auto"/>
      </w:divBdr>
    </w:div>
    <w:div w:id="1128822003">
      <w:bodyDiv w:val="1"/>
      <w:marLeft w:val="0"/>
      <w:marRight w:val="0"/>
      <w:marTop w:val="0"/>
      <w:marBottom w:val="0"/>
      <w:divBdr>
        <w:top w:val="none" w:sz="0" w:space="0" w:color="auto"/>
        <w:left w:val="none" w:sz="0" w:space="0" w:color="auto"/>
        <w:bottom w:val="none" w:sz="0" w:space="0" w:color="auto"/>
        <w:right w:val="none" w:sz="0" w:space="0" w:color="auto"/>
      </w:divBdr>
    </w:div>
    <w:div w:id="1248081083">
      <w:bodyDiv w:val="1"/>
      <w:marLeft w:val="0"/>
      <w:marRight w:val="0"/>
      <w:marTop w:val="0"/>
      <w:marBottom w:val="0"/>
      <w:divBdr>
        <w:top w:val="none" w:sz="0" w:space="0" w:color="auto"/>
        <w:left w:val="none" w:sz="0" w:space="0" w:color="auto"/>
        <w:bottom w:val="none" w:sz="0" w:space="0" w:color="auto"/>
        <w:right w:val="none" w:sz="0" w:space="0" w:color="auto"/>
      </w:divBdr>
      <w:divsChild>
        <w:div w:id="1505898131">
          <w:marLeft w:val="0"/>
          <w:marRight w:val="0"/>
          <w:marTop w:val="0"/>
          <w:marBottom w:val="0"/>
          <w:divBdr>
            <w:top w:val="none" w:sz="0" w:space="0" w:color="auto"/>
            <w:left w:val="none" w:sz="0" w:space="0" w:color="auto"/>
            <w:bottom w:val="none" w:sz="0" w:space="0" w:color="auto"/>
            <w:right w:val="none" w:sz="0" w:space="0" w:color="auto"/>
          </w:divBdr>
          <w:divsChild>
            <w:div w:id="1531796872">
              <w:marLeft w:val="0"/>
              <w:marRight w:val="0"/>
              <w:marTop w:val="0"/>
              <w:marBottom w:val="0"/>
              <w:divBdr>
                <w:top w:val="none" w:sz="0" w:space="0" w:color="auto"/>
                <w:left w:val="none" w:sz="0" w:space="0" w:color="auto"/>
                <w:bottom w:val="none" w:sz="0" w:space="0" w:color="auto"/>
                <w:right w:val="none" w:sz="0" w:space="0" w:color="auto"/>
              </w:divBdr>
              <w:divsChild>
                <w:div w:id="82505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056050">
      <w:bodyDiv w:val="1"/>
      <w:marLeft w:val="0"/>
      <w:marRight w:val="0"/>
      <w:marTop w:val="0"/>
      <w:marBottom w:val="0"/>
      <w:divBdr>
        <w:top w:val="none" w:sz="0" w:space="0" w:color="auto"/>
        <w:left w:val="none" w:sz="0" w:space="0" w:color="auto"/>
        <w:bottom w:val="none" w:sz="0" w:space="0" w:color="auto"/>
        <w:right w:val="none" w:sz="0" w:space="0" w:color="auto"/>
      </w:divBdr>
      <w:divsChild>
        <w:div w:id="1123112474">
          <w:marLeft w:val="0"/>
          <w:marRight w:val="0"/>
          <w:marTop w:val="0"/>
          <w:marBottom w:val="0"/>
          <w:divBdr>
            <w:top w:val="none" w:sz="0" w:space="0" w:color="auto"/>
            <w:left w:val="none" w:sz="0" w:space="0" w:color="auto"/>
            <w:bottom w:val="none" w:sz="0" w:space="0" w:color="auto"/>
            <w:right w:val="none" w:sz="0" w:space="0" w:color="auto"/>
          </w:divBdr>
          <w:divsChild>
            <w:div w:id="2105414168">
              <w:marLeft w:val="0"/>
              <w:marRight w:val="0"/>
              <w:marTop w:val="0"/>
              <w:marBottom w:val="0"/>
              <w:divBdr>
                <w:top w:val="none" w:sz="0" w:space="0" w:color="auto"/>
                <w:left w:val="none" w:sz="0" w:space="0" w:color="auto"/>
                <w:bottom w:val="none" w:sz="0" w:space="0" w:color="auto"/>
                <w:right w:val="none" w:sz="0" w:space="0" w:color="auto"/>
              </w:divBdr>
              <w:divsChild>
                <w:div w:id="940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03336">
      <w:bodyDiv w:val="1"/>
      <w:marLeft w:val="0"/>
      <w:marRight w:val="0"/>
      <w:marTop w:val="0"/>
      <w:marBottom w:val="0"/>
      <w:divBdr>
        <w:top w:val="none" w:sz="0" w:space="0" w:color="auto"/>
        <w:left w:val="none" w:sz="0" w:space="0" w:color="auto"/>
        <w:bottom w:val="none" w:sz="0" w:space="0" w:color="auto"/>
        <w:right w:val="none" w:sz="0" w:space="0" w:color="auto"/>
      </w:divBdr>
      <w:divsChild>
        <w:div w:id="19400450">
          <w:marLeft w:val="0"/>
          <w:marRight w:val="0"/>
          <w:marTop w:val="0"/>
          <w:marBottom w:val="0"/>
          <w:divBdr>
            <w:top w:val="none" w:sz="0" w:space="0" w:color="auto"/>
            <w:left w:val="none" w:sz="0" w:space="0" w:color="auto"/>
            <w:bottom w:val="none" w:sz="0" w:space="0" w:color="auto"/>
            <w:right w:val="none" w:sz="0" w:space="0" w:color="auto"/>
          </w:divBdr>
          <w:divsChild>
            <w:div w:id="1862745132">
              <w:marLeft w:val="0"/>
              <w:marRight w:val="0"/>
              <w:marTop w:val="0"/>
              <w:marBottom w:val="0"/>
              <w:divBdr>
                <w:top w:val="none" w:sz="0" w:space="0" w:color="auto"/>
                <w:left w:val="none" w:sz="0" w:space="0" w:color="auto"/>
                <w:bottom w:val="none" w:sz="0" w:space="0" w:color="auto"/>
                <w:right w:val="none" w:sz="0" w:space="0" w:color="auto"/>
              </w:divBdr>
              <w:divsChild>
                <w:div w:id="113082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73865">
      <w:bodyDiv w:val="1"/>
      <w:marLeft w:val="0"/>
      <w:marRight w:val="0"/>
      <w:marTop w:val="0"/>
      <w:marBottom w:val="0"/>
      <w:divBdr>
        <w:top w:val="none" w:sz="0" w:space="0" w:color="auto"/>
        <w:left w:val="none" w:sz="0" w:space="0" w:color="auto"/>
        <w:bottom w:val="none" w:sz="0" w:space="0" w:color="auto"/>
        <w:right w:val="none" w:sz="0" w:space="0" w:color="auto"/>
      </w:divBdr>
      <w:divsChild>
        <w:div w:id="2126465225">
          <w:marLeft w:val="0"/>
          <w:marRight w:val="0"/>
          <w:marTop w:val="0"/>
          <w:marBottom w:val="0"/>
          <w:divBdr>
            <w:top w:val="none" w:sz="0" w:space="0" w:color="auto"/>
            <w:left w:val="none" w:sz="0" w:space="0" w:color="auto"/>
            <w:bottom w:val="none" w:sz="0" w:space="0" w:color="auto"/>
            <w:right w:val="none" w:sz="0" w:space="0" w:color="auto"/>
          </w:divBdr>
          <w:divsChild>
            <w:div w:id="318731035">
              <w:marLeft w:val="0"/>
              <w:marRight w:val="0"/>
              <w:marTop w:val="0"/>
              <w:marBottom w:val="0"/>
              <w:divBdr>
                <w:top w:val="none" w:sz="0" w:space="0" w:color="auto"/>
                <w:left w:val="none" w:sz="0" w:space="0" w:color="auto"/>
                <w:bottom w:val="none" w:sz="0" w:space="0" w:color="auto"/>
                <w:right w:val="none" w:sz="0" w:space="0" w:color="auto"/>
              </w:divBdr>
              <w:divsChild>
                <w:div w:id="178391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08222">
      <w:bodyDiv w:val="1"/>
      <w:marLeft w:val="0"/>
      <w:marRight w:val="0"/>
      <w:marTop w:val="0"/>
      <w:marBottom w:val="0"/>
      <w:divBdr>
        <w:top w:val="none" w:sz="0" w:space="0" w:color="auto"/>
        <w:left w:val="none" w:sz="0" w:space="0" w:color="auto"/>
        <w:bottom w:val="none" w:sz="0" w:space="0" w:color="auto"/>
        <w:right w:val="none" w:sz="0" w:space="0" w:color="auto"/>
      </w:divBdr>
      <w:divsChild>
        <w:div w:id="63534698">
          <w:marLeft w:val="0"/>
          <w:marRight w:val="0"/>
          <w:marTop w:val="0"/>
          <w:marBottom w:val="0"/>
          <w:divBdr>
            <w:top w:val="none" w:sz="0" w:space="0" w:color="auto"/>
            <w:left w:val="none" w:sz="0" w:space="0" w:color="auto"/>
            <w:bottom w:val="none" w:sz="0" w:space="0" w:color="auto"/>
            <w:right w:val="none" w:sz="0" w:space="0" w:color="auto"/>
          </w:divBdr>
          <w:divsChild>
            <w:div w:id="2044675350">
              <w:marLeft w:val="0"/>
              <w:marRight w:val="0"/>
              <w:marTop w:val="0"/>
              <w:marBottom w:val="0"/>
              <w:divBdr>
                <w:top w:val="none" w:sz="0" w:space="0" w:color="auto"/>
                <w:left w:val="none" w:sz="0" w:space="0" w:color="auto"/>
                <w:bottom w:val="none" w:sz="0" w:space="0" w:color="auto"/>
                <w:right w:val="none" w:sz="0" w:space="0" w:color="auto"/>
              </w:divBdr>
              <w:divsChild>
                <w:div w:id="48204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7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abilityinclusionbill@dpac.tas.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aw.Reform@utas.edu.a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dss.gov.au/sites/default/files/documents/04_2014/national_fraemwork_restricitive_practice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2307</Words>
  <Characters>13150</Characters>
  <Application>Microsoft Office Word</Application>
  <DocSecurity>2</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Terese Henning</dc:creator>
  <cp:keywords/>
  <dc:description/>
  <cp:lastModifiedBy>De Vries, Jackie</cp:lastModifiedBy>
  <cp:revision>16</cp:revision>
  <cp:lastPrinted>2023-09-18T01:18:00Z</cp:lastPrinted>
  <dcterms:created xsi:type="dcterms:W3CDTF">2023-09-18T00:51:00Z</dcterms:created>
  <dcterms:modified xsi:type="dcterms:W3CDTF">2023-11-01T00:55:00Z</dcterms:modified>
</cp:coreProperties>
</file>