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FBE1" w14:textId="46A4E827" w:rsidR="00084A82" w:rsidRPr="00CA7B66" w:rsidRDefault="00084A82" w:rsidP="00E83856">
      <w:pPr>
        <w:spacing w:line="360" w:lineRule="auto"/>
        <w:jc w:val="center"/>
        <w:rPr>
          <w:rFonts w:ascii="Calibri" w:eastAsia="Calibri" w:hAnsi="Calibri" w:cs="Calibri"/>
          <w:color w:val="000000" w:themeColor="text1"/>
          <w:sz w:val="24"/>
          <w:szCs w:val="24"/>
        </w:rPr>
      </w:pPr>
      <w:r>
        <w:rPr>
          <w:noProof/>
        </w:rPr>
        <w:drawing>
          <wp:inline distT="0" distB="0" distL="0" distR="0" wp14:anchorId="42016CAD" wp14:editId="0AA12F37">
            <wp:extent cx="2174240" cy="535940"/>
            <wp:effectExtent l="0" t="0" r="0" b="0"/>
            <wp:docPr id="200958304"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8304" name="Picture 1" descr="A close-up of a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240" cy="535940"/>
                    </a:xfrm>
                    <a:prstGeom prst="rect">
                      <a:avLst/>
                    </a:prstGeom>
                  </pic:spPr>
                </pic:pic>
              </a:graphicData>
            </a:graphic>
          </wp:inline>
        </w:drawing>
      </w:r>
    </w:p>
    <w:p w14:paraId="302C05D3" w14:textId="77777777" w:rsidR="00071E66" w:rsidRDefault="00071E66" w:rsidP="006F3AF2">
      <w:pPr>
        <w:pStyle w:val="TOC1"/>
        <w:jc w:val="both"/>
      </w:pPr>
    </w:p>
    <w:p w14:paraId="79C9C8D6" w14:textId="10DC0F8E" w:rsidR="00CA7B66" w:rsidRPr="009972C7" w:rsidRDefault="00302C75" w:rsidP="009972C7">
      <w:pPr>
        <w:pStyle w:val="Subtitle"/>
        <w:rPr>
          <w:b/>
          <w:bCs/>
          <w:sz w:val="24"/>
          <w:szCs w:val="24"/>
        </w:rPr>
      </w:pPr>
      <w:r w:rsidRPr="009972C7">
        <w:rPr>
          <w:b/>
          <w:bCs/>
          <w:color w:val="auto"/>
          <w:sz w:val="24"/>
          <w:szCs w:val="24"/>
        </w:rPr>
        <w:t xml:space="preserve">Submission </w:t>
      </w:r>
      <w:r w:rsidR="00FC6876" w:rsidRPr="009972C7">
        <w:rPr>
          <w:b/>
          <w:bCs/>
          <w:color w:val="auto"/>
          <w:sz w:val="24"/>
          <w:szCs w:val="24"/>
        </w:rPr>
        <w:t>f</w:t>
      </w:r>
      <w:r w:rsidRPr="009972C7">
        <w:rPr>
          <w:b/>
          <w:bCs/>
          <w:color w:val="auto"/>
          <w:sz w:val="24"/>
          <w:szCs w:val="24"/>
        </w:rPr>
        <w:t xml:space="preserve">rom Advocacy Tasmania </w:t>
      </w:r>
      <w:r w:rsidR="00FC6876" w:rsidRPr="009972C7">
        <w:rPr>
          <w:b/>
          <w:bCs/>
          <w:color w:val="auto"/>
          <w:sz w:val="24"/>
          <w:szCs w:val="24"/>
        </w:rPr>
        <w:t>r</w:t>
      </w:r>
      <w:r w:rsidRPr="009972C7">
        <w:rPr>
          <w:b/>
          <w:bCs/>
          <w:color w:val="auto"/>
          <w:sz w:val="24"/>
          <w:szCs w:val="24"/>
        </w:rPr>
        <w:t xml:space="preserve">egarding </w:t>
      </w:r>
      <w:r w:rsidR="00FC6876" w:rsidRPr="009972C7">
        <w:rPr>
          <w:b/>
          <w:bCs/>
          <w:color w:val="auto"/>
          <w:sz w:val="24"/>
          <w:szCs w:val="24"/>
        </w:rPr>
        <w:t>t</w:t>
      </w:r>
      <w:r w:rsidRPr="009972C7">
        <w:rPr>
          <w:b/>
          <w:bCs/>
          <w:color w:val="auto"/>
          <w:sz w:val="24"/>
          <w:szCs w:val="24"/>
        </w:rPr>
        <w:t xml:space="preserve">he Draft </w:t>
      </w:r>
      <w:r w:rsidRPr="009972C7">
        <w:rPr>
          <w:b/>
          <w:bCs/>
          <w:i/>
          <w:iCs/>
          <w:color w:val="auto"/>
          <w:sz w:val="24"/>
          <w:szCs w:val="24"/>
        </w:rPr>
        <w:t>Disability Inclusion Bill 2023</w:t>
      </w:r>
    </w:p>
    <w:p w14:paraId="4D2AC555" w14:textId="6BAAE921" w:rsidR="00CA7B66" w:rsidRDefault="00CA7B66" w:rsidP="00071E66">
      <w:pPr>
        <w:jc w:val="center"/>
        <w:rPr>
          <w:b/>
          <w:bCs/>
        </w:rPr>
      </w:pPr>
      <w:r>
        <w:rPr>
          <w:b/>
          <w:bCs/>
        </w:rPr>
        <w:t>September 2023</w:t>
      </w:r>
    </w:p>
    <w:p w14:paraId="5538EB5C" w14:textId="77777777" w:rsidR="00071E66" w:rsidRDefault="00071E66" w:rsidP="006F3AF2">
      <w:pPr>
        <w:jc w:val="both"/>
        <w:rPr>
          <w:b/>
          <w:bCs/>
        </w:rPr>
      </w:pPr>
    </w:p>
    <w:p w14:paraId="2D6A6766" w14:textId="77777777" w:rsidR="00071E66" w:rsidRPr="007553EF" w:rsidRDefault="00071E66" w:rsidP="006F3AF2">
      <w:pPr>
        <w:jc w:val="both"/>
      </w:pPr>
    </w:p>
    <w:sdt>
      <w:sdtPr>
        <w:rPr>
          <w:rFonts w:asciiTheme="minorHAnsi" w:eastAsiaTheme="minorEastAsia" w:hAnsiTheme="minorHAnsi" w:cstheme="minorBidi"/>
          <w:color w:val="auto"/>
          <w:sz w:val="22"/>
          <w:szCs w:val="22"/>
        </w:rPr>
        <w:id w:val="1055355592"/>
        <w:docPartObj>
          <w:docPartGallery w:val="Table of Contents"/>
          <w:docPartUnique/>
        </w:docPartObj>
      </w:sdtPr>
      <w:sdtEndPr>
        <w:rPr>
          <w:b/>
          <w:bCs/>
          <w:noProof/>
        </w:rPr>
      </w:sdtEndPr>
      <w:sdtContent>
        <w:p w14:paraId="14D4BF3D" w14:textId="361D5C89" w:rsidR="009D0A93" w:rsidRDefault="009D0A93" w:rsidP="006F3AF2">
          <w:pPr>
            <w:pStyle w:val="TOCHeading"/>
            <w:jc w:val="both"/>
          </w:pPr>
          <w:r>
            <w:t>Table of Contents</w:t>
          </w:r>
        </w:p>
        <w:p w14:paraId="3748EB6B" w14:textId="6F07410A" w:rsidR="00E83856" w:rsidRDefault="009D0A93">
          <w:pPr>
            <w:pStyle w:val="TOC1"/>
            <w:tabs>
              <w:tab w:val="right" w:leader="dot" w:pos="9016"/>
            </w:tabs>
            <w:rPr>
              <w:noProof/>
              <w:kern w:val="2"/>
              <w:lang w:eastAsia="en-AU"/>
              <w14:ligatures w14:val="standardContextual"/>
            </w:rPr>
          </w:pPr>
          <w:r>
            <w:fldChar w:fldCharType="begin"/>
          </w:r>
          <w:r>
            <w:instrText xml:space="preserve"> TOC \o "1-3" \h \z \u </w:instrText>
          </w:r>
          <w:r>
            <w:fldChar w:fldCharType="separate"/>
          </w:r>
          <w:hyperlink w:anchor="_Toc145681980" w:history="1">
            <w:r w:rsidR="00E83856" w:rsidRPr="003905FE">
              <w:rPr>
                <w:rStyle w:val="Hyperlink"/>
                <w:rFonts w:eastAsia="Calibri"/>
                <w:noProof/>
              </w:rPr>
              <w:t>Introduction</w:t>
            </w:r>
            <w:r w:rsidR="00E83856">
              <w:rPr>
                <w:noProof/>
                <w:webHidden/>
              </w:rPr>
              <w:tab/>
            </w:r>
            <w:r w:rsidR="00E83856">
              <w:rPr>
                <w:noProof/>
                <w:webHidden/>
              </w:rPr>
              <w:fldChar w:fldCharType="begin"/>
            </w:r>
            <w:r w:rsidR="00E83856">
              <w:rPr>
                <w:noProof/>
                <w:webHidden/>
              </w:rPr>
              <w:instrText xml:space="preserve"> PAGEREF _Toc145681980 \h </w:instrText>
            </w:r>
            <w:r w:rsidR="00E83856">
              <w:rPr>
                <w:noProof/>
                <w:webHidden/>
              </w:rPr>
            </w:r>
            <w:r w:rsidR="00E83856">
              <w:rPr>
                <w:noProof/>
                <w:webHidden/>
              </w:rPr>
              <w:fldChar w:fldCharType="separate"/>
            </w:r>
            <w:r w:rsidR="00DC41FA">
              <w:rPr>
                <w:noProof/>
                <w:webHidden/>
              </w:rPr>
              <w:t>2</w:t>
            </w:r>
            <w:r w:rsidR="00E83856">
              <w:rPr>
                <w:noProof/>
                <w:webHidden/>
              </w:rPr>
              <w:fldChar w:fldCharType="end"/>
            </w:r>
          </w:hyperlink>
        </w:p>
        <w:p w14:paraId="037C3786" w14:textId="54C6AD29" w:rsidR="00E83856" w:rsidRDefault="0061727C">
          <w:pPr>
            <w:pStyle w:val="TOC1"/>
            <w:tabs>
              <w:tab w:val="right" w:leader="dot" w:pos="9016"/>
            </w:tabs>
            <w:rPr>
              <w:noProof/>
              <w:kern w:val="2"/>
              <w:lang w:eastAsia="en-AU"/>
              <w14:ligatures w14:val="standardContextual"/>
            </w:rPr>
          </w:pPr>
          <w:hyperlink w:anchor="_Toc145681981" w:history="1">
            <w:r w:rsidR="00E83856" w:rsidRPr="003905FE">
              <w:rPr>
                <w:rStyle w:val="Hyperlink"/>
                <w:noProof/>
              </w:rPr>
              <w:t>Feedback on DSA</w:t>
            </w:r>
            <w:r w:rsidR="00E83856">
              <w:rPr>
                <w:noProof/>
                <w:webHidden/>
              </w:rPr>
              <w:tab/>
            </w:r>
            <w:r w:rsidR="00E83856">
              <w:rPr>
                <w:noProof/>
                <w:webHidden/>
              </w:rPr>
              <w:fldChar w:fldCharType="begin"/>
            </w:r>
            <w:r w:rsidR="00E83856">
              <w:rPr>
                <w:noProof/>
                <w:webHidden/>
              </w:rPr>
              <w:instrText xml:space="preserve"> PAGEREF _Toc145681981 \h </w:instrText>
            </w:r>
            <w:r w:rsidR="00E83856">
              <w:rPr>
                <w:noProof/>
                <w:webHidden/>
              </w:rPr>
            </w:r>
            <w:r w:rsidR="00E83856">
              <w:rPr>
                <w:noProof/>
                <w:webHidden/>
              </w:rPr>
              <w:fldChar w:fldCharType="separate"/>
            </w:r>
            <w:r w:rsidR="00DC41FA">
              <w:rPr>
                <w:noProof/>
                <w:webHidden/>
              </w:rPr>
              <w:t>2</w:t>
            </w:r>
            <w:r w:rsidR="00E83856">
              <w:rPr>
                <w:noProof/>
                <w:webHidden/>
              </w:rPr>
              <w:fldChar w:fldCharType="end"/>
            </w:r>
          </w:hyperlink>
        </w:p>
        <w:p w14:paraId="4F6AC660" w14:textId="16515841" w:rsidR="00E83856" w:rsidRDefault="0061727C">
          <w:pPr>
            <w:pStyle w:val="TOC1"/>
            <w:tabs>
              <w:tab w:val="right" w:leader="dot" w:pos="9016"/>
            </w:tabs>
            <w:rPr>
              <w:noProof/>
              <w:kern w:val="2"/>
              <w:lang w:eastAsia="en-AU"/>
              <w14:ligatures w14:val="standardContextual"/>
            </w:rPr>
          </w:pPr>
          <w:hyperlink w:anchor="_Toc145681982" w:history="1">
            <w:r w:rsidR="00E83856" w:rsidRPr="003905FE">
              <w:rPr>
                <w:rStyle w:val="Hyperlink"/>
                <w:noProof/>
              </w:rPr>
              <w:t>Considering Findings of the Disability Royal Commission</w:t>
            </w:r>
            <w:r w:rsidR="00E83856">
              <w:rPr>
                <w:noProof/>
                <w:webHidden/>
              </w:rPr>
              <w:tab/>
            </w:r>
            <w:r w:rsidR="00E83856">
              <w:rPr>
                <w:noProof/>
                <w:webHidden/>
              </w:rPr>
              <w:fldChar w:fldCharType="begin"/>
            </w:r>
            <w:r w:rsidR="00E83856">
              <w:rPr>
                <w:noProof/>
                <w:webHidden/>
              </w:rPr>
              <w:instrText xml:space="preserve"> PAGEREF _Toc145681982 \h </w:instrText>
            </w:r>
            <w:r w:rsidR="00E83856">
              <w:rPr>
                <w:noProof/>
                <w:webHidden/>
              </w:rPr>
            </w:r>
            <w:r w:rsidR="00E83856">
              <w:rPr>
                <w:noProof/>
                <w:webHidden/>
              </w:rPr>
              <w:fldChar w:fldCharType="separate"/>
            </w:r>
            <w:r w:rsidR="00DC41FA">
              <w:rPr>
                <w:noProof/>
                <w:webHidden/>
              </w:rPr>
              <w:t>2</w:t>
            </w:r>
            <w:r w:rsidR="00E83856">
              <w:rPr>
                <w:noProof/>
                <w:webHidden/>
              </w:rPr>
              <w:fldChar w:fldCharType="end"/>
            </w:r>
          </w:hyperlink>
        </w:p>
        <w:p w14:paraId="4E4941A4" w14:textId="01BC9593" w:rsidR="00E83856" w:rsidRDefault="0061727C">
          <w:pPr>
            <w:pStyle w:val="TOC1"/>
            <w:tabs>
              <w:tab w:val="right" w:leader="dot" w:pos="9016"/>
            </w:tabs>
            <w:rPr>
              <w:noProof/>
              <w:kern w:val="2"/>
              <w:lang w:eastAsia="en-AU"/>
              <w14:ligatures w14:val="standardContextual"/>
            </w:rPr>
          </w:pPr>
          <w:hyperlink w:anchor="_Toc145681983" w:history="1">
            <w:r w:rsidR="00E83856" w:rsidRPr="003905FE">
              <w:rPr>
                <w:rStyle w:val="Hyperlink"/>
                <w:noProof/>
              </w:rPr>
              <w:t>Charter of Rights</w:t>
            </w:r>
            <w:r w:rsidR="00E83856">
              <w:rPr>
                <w:noProof/>
                <w:webHidden/>
              </w:rPr>
              <w:tab/>
            </w:r>
            <w:r w:rsidR="00E83856">
              <w:rPr>
                <w:noProof/>
                <w:webHidden/>
              </w:rPr>
              <w:fldChar w:fldCharType="begin"/>
            </w:r>
            <w:r w:rsidR="00E83856">
              <w:rPr>
                <w:noProof/>
                <w:webHidden/>
              </w:rPr>
              <w:instrText xml:space="preserve"> PAGEREF _Toc145681983 \h </w:instrText>
            </w:r>
            <w:r w:rsidR="00E83856">
              <w:rPr>
                <w:noProof/>
                <w:webHidden/>
              </w:rPr>
            </w:r>
            <w:r w:rsidR="00E83856">
              <w:rPr>
                <w:noProof/>
                <w:webHidden/>
              </w:rPr>
              <w:fldChar w:fldCharType="separate"/>
            </w:r>
            <w:r w:rsidR="00DC41FA">
              <w:rPr>
                <w:noProof/>
                <w:webHidden/>
              </w:rPr>
              <w:t>3</w:t>
            </w:r>
            <w:r w:rsidR="00E83856">
              <w:rPr>
                <w:noProof/>
                <w:webHidden/>
              </w:rPr>
              <w:fldChar w:fldCharType="end"/>
            </w:r>
          </w:hyperlink>
        </w:p>
        <w:p w14:paraId="6B681894" w14:textId="62D2DD62" w:rsidR="00E83856" w:rsidRDefault="0061727C">
          <w:pPr>
            <w:pStyle w:val="TOC2"/>
            <w:tabs>
              <w:tab w:val="right" w:leader="dot" w:pos="9016"/>
            </w:tabs>
            <w:rPr>
              <w:noProof/>
              <w:kern w:val="2"/>
              <w:lang w:eastAsia="en-AU"/>
              <w14:ligatures w14:val="standardContextual"/>
            </w:rPr>
          </w:pPr>
          <w:hyperlink w:anchor="_Toc145681984" w:history="1">
            <w:r w:rsidR="00E83856" w:rsidRPr="003905FE">
              <w:rPr>
                <w:rStyle w:val="Hyperlink"/>
                <w:noProof/>
              </w:rPr>
              <w:t>Case study – Geoff</w:t>
            </w:r>
            <w:r w:rsidR="00E83856">
              <w:rPr>
                <w:noProof/>
                <w:webHidden/>
              </w:rPr>
              <w:tab/>
            </w:r>
            <w:r w:rsidR="00E83856">
              <w:rPr>
                <w:noProof/>
                <w:webHidden/>
              </w:rPr>
              <w:fldChar w:fldCharType="begin"/>
            </w:r>
            <w:r w:rsidR="00E83856">
              <w:rPr>
                <w:noProof/>
                <w:webHidden/>
              </w:rPr>
              <w:instrText xml:space="preserve"> PAGEREF _Toc145681984 \h </w:instrText>
            </w:r>
            <w:r w:rsidR="00E83856">
              <w:rPr>
                <w:noProof/>
                <w:webHidden/>
              </w:rPr>
            </w:r>
            <w:r w:rsidR="00E83856">
              <w:rPr>
                <w:noProof/>
                <w:webHidden/>
              </w:rPr>
              <w:fldChar w:fldCharType="separate"/>
            </w:r>
            <w:r w:rsidR="00DC41FA">
              <w:rPr>
                <w:noProof/>
                <w:webHidden/>
              </w:rPr>
              <w:t>4</w:t>
            </w:r>
            <w:r w:rsidR="00E83856">
              <w:rPr>
                <w:noProof/>
                <w:webHidden/>
              </w:rPr>
              <w:fldChar w:fldCharType="end"/>
            </w:r>
          </w:hyperlink>
        </w:p>
        <w:p w14:paraId="1383C41A" w14:textId="32F641AC" w:rsidR="00E83856" w:rsidRDefault="0061727C">
          <w:pPr>
            <w:pStyle w:val="TOC2"/>
            <w:tabs>
              <w:tab w:val="right" w:leader="dot" w:pos="9016"/>
            </w:tabs>
            <w:rPr>
              <w:noProof/>
              <w:kern w:val="2"/>
              <w:lang w:eastAsia="en-AU"/>
              <w14:ligatures w14:val="standardContextual"/>
            </w:rPr>
          </w:pPr>
          <w:hyperlink w:anchor="_Toc145681985" w:history="1">
            <w:r w:rsidR="00E83856" w:rsidRPr="003905FE">
              <w:rPr>
                <w:rStyle w:val="Hyperlink"/>
                <w:noProof/>
              </w:rPr>
              <w:t>Case study – Sylvia</w:t>
            </w:r>
            <w:r w:rsidR="00E83856">
              <w:rPr>
                <w:noProof/>
                <w:webHidden/>
              </w:rPr>
              <w:tab/>
            </w:r>
            <w:r w:rsidR="00E83856">
              <w:rPr>
                <w:noProof/>
                <w:webHidden/>
              </w:rPr>
              <w:fldChar w:fldCharType="begin"/>
            </w:r>
            <w:r w:rsidR="00E83856">
              <w:rPr>
                <w:noProof/>
                <w:webHidden/>
              </w:rPr>
              <w:instrText xml:space="preserve"> PAGEREF _Toc145681985 \h </w:instrText>
            </w:r>
            <w:r w:rsidR="00E83856">
              <w:rPr>
                <w:noProof/>
                <w:webHidden/>
              </w:rPr>
            </w:r>
            <w:r w:rsidR="00E83856">
              <w:rPr>
                <w:noProof/>
                <w:webHidden/>
              </w:rPr>
              <w:fldChar w:fldCharType="separate"/>
            </w:r>
            <w:r w:rsidR="00DC41FA">
              <w:rPr>
                <w:noProof/>
                <w:webHidden/>
              </w:rPr>
              <w:t>4</w:t>
            </w:r>
            <w:r w:rsidR="00E83856">
              <w:rPr>
                <w:noProof/>
                <w:webHidden/>
              </w:rPr>
              <w:fldChar w:fldCharType="end"/>
            </w:r>
          </w:hyperlink>
        </w:p>
        <w:p w14:paraId="4106E74C" w14:textId="01298E01" w:rsidR="00E83856" w:rsidRDefault="0061727C">
          <w:pPr>
            <w:pStyle w:val="TOC1"/>
            <w:tabs>
              <w:tab w:val="right" w:leader="dot" w:pos="9016"/>
            </w:tabs>
            <w:rPr>
              <w:noProof/>
              <w:kern w:val="2"/>
              <w:lang w:eastAsia="en-AU"/>
              <w14:ligatures w14:val="standardContextual"/>
            </w:rPr>
          </w:pPr>
          <w:hyperlink w:anchor="_Toc145681986" w:history="1">
            <w:r w:rsidR="00E83856" w:rsidRPr="003905FE">
              <w:rPr>
                <w:rStyle w:val="Hyperlink"/>
                <w:noProof/>
              </w:rPr>
              <w:t>Official Visitors Scheme</w:t>
            </w:r>
            <w:r w:rsidR="00E83856">
              <w:rPr>
                <w:noProof/>
                <w:webHidden/>
              </w:rPr>
              <w:tab/>
            </w:r>
            <w:r w:rsidR="00E83856">
              <w:rPr>
                <w:noProof/>
                <w:webHidden/>
              </w:rPr>
              <w:fldChar w:fldCharType="begin"/>
            </w:r>
            <w:r w:rsidR="00E83856">
              <w:rPr>
                <w:noProof/>
                <w:webHidden/>
              </w:rPr>
              <w:instrText xml:space="preserve"> PAGEREF _Toc145681986 \h </w:instrText>
            </w:r>
            <w:r w:rsidR="00E83856">
              <w:rPr>
                <w:noProof/>
                <w:webHidden/>
              </w:rPr>
            </w:r>
            <w:r w:rsidR="00E83856">
              <w:rPr>
                <w:noProof/>
                <w:webHidden/>
              </w:rPr>
              <w:fldChar w:fldCharType="separate"/>
            </w:r>
            <w:r w:rsidR="00DC41FA">
              <w:rPr>
                <w:noProof/>
                <w:webHidden/>
              </w:rPr>
              <w:t>4</w:t>
            </w:r>
            <w:r w:rsidR="00E83856">
              <w:rPr>
                <w:noProof/>
                <w:webHidden/>
              </w:rPr>
              <w:fldChar w:fldCharType="end"/>
            </w:r>
          </w:hyperlink>
        </w:p>
        <w:p w14:paraId="40E41DE2" w14:textId="61B50F11" w:rsidR="00E83856" w:rsidRDefault="0061727C">
          <w:pPr>
            <w:pStyle w:val="TOC2"/>
            <w:tabs>
              <w:tab w:val="right" w:leader="dot" w:pos="9016"/>
            </w:tabs>
            <w:rPr>
              <w:noProof/>
              <w:kern w:val="2"/>
              <w:lang w:eastAsia="en-AU"/>
              <w14:ligatures w14:val="standardContextual"/>
            </w:rPr>
          </w:pPr>
          <w:hyperlink w:anchor="_Toc145681987" w:history="1">
            <w:r w:rsidR="00E83856" w:rsidRPr="003905FE">
              <w:rPr>
                <w:rStyle w:val="Hyperlink"/>
                <w:noProof/>
              </w:rPr>
              <w:t>Case study – Jacinta</w:t>
            </w:r>
            <w:r w:rsidR="00E83856">
              <w:rPr>
                <w:noProof/>
                <w:webHidden/>
              </w:rPr>
              <w:tab/>
            </w:r>
            <w:r w:rsidR="00E83856">
              <w:rPr>
                <w:noProof/>
                <w:webHidden/>
              </w:rPr>
              <w:fldChar w:fldCharType="begin"/>
            </w:r>
            <w:r w:rsidR="00E83856">
              <w:rPr>
                <w:noProof/>
                <w:webHidden/>
              </w:rPr>
              <w:instrText xml:space="preserve"> PAGEREF _Toc145681987 \h </w:instrText>
            </w:r>
            <w:r w:rsidR="00E83856">
              <w:rPr>
                <w:noProof/>
                <w:webHidden/>
              </w:rPr>
            </w:r>
            <w:r w:rsidR="00E83856">
              <w:rPr>
                <w:noProof/>
                <w:webHidden/>
              </w:rPr>
              <w:fldChar w:fldCharType="separate"/>
            </w:r>
            <w:r w:rsidR="00DC41FA">
              <w:rPr>
                <w:noProof/>
                <w:webHidden/>
              </w:rPr>
              <w:t>5</w:t>
            </w:r>
            <w:r w:rsidR="00E83856">
              <w:rPr>
                <w:noProof/>
                <w:webHidden/>
              </w:rPr>
              <w:fldChar w:fldCharType="end"/>
            </w:r>
          </w:hyperlink>
        </w:p>
        <w:p w14:paraId="0A5B47B0" w14:textId="5233D47A" w:rsidR="00E83856" w:rsidRDefault="0061727C">
          <w:pPr>
            <w:pStyle w:val="TOC2"/>
            <w:tabs>
              <w:tab w:val="right" w:leader="dot" w:pos="9016"/>
            </w:tabs>
            <w:rPr>
              <w:noProof/>
              <w:kern w:val="2"/>
              <w:lang w:eastAsia="en-AU"/>
              <w14:ligatures w14:val="standardContextual"/>
            </w:rPr>
          </w:pPr>
          <w:hyperlink w:anchor="_Toc145681988" w:history="1">
            <w:r w:rsidR="00E83856" w:rsidRPr="003905FE">
              <w:rPr>
                <w:rStyle w:val="Hyperlink"/>
                <w:noProof/>
              </w:rPr>
              <w:t>Case study – Jamie</w:t>
            </w:r>
            <w:r w:rsidR="00E83856">
              <w:rPr>
                <w:noProof/>
                <w:webHidden/>
              </w:rPr>
              <w:tab/>
            </w:r>
            <w:r w:rsidR="00E83856">
              <w:rPr>
                <w:noProof/>
                <w:webHidden/>
              </w:rPr>
              <w:fldChar w:fldCharType="begin"/>
            </w:r>
            <w:r w:rsidR="00E83856">
              <w:rPr>
                <w:noProof/>
                <w:webHidden/>
              </w:rPr>
              <w:instrText xml:space="preserve"> PAGEREF _Toc145681988 \h </w:instrText>
            </w:r>
            <w:r w:rsidR="00E83856">
              <w:rPr>
                <w:noProof/>
                <w:webHidden/>
              </w:rPr>
            </w:r>
            <w:r w:rsidR="00E83856">
              <w:rPr>
                <w:noProof/>
                <w:webHidden/>
              </w:rPr>
              <w:fldChar w:fldCharType="separate"/>
            </w:r>
            <w:r w:rsidR="00DC41FA">
              <w:rPr>
                <w:noProof/>
                <w:webHidden/>
              </w:rPr>
              <w:t>6</w:t>
            </w:r>
            <w:r w:rsidR="00E83856">
              <w:rPr>
                <w:noProof/>
                <w:webHidden/>
              </w:rPr>
              <w:fldChar w:fldCharType="end"/>
            </w:r>
          </w:hyperlink>
        </w:p>
        <w:p w14:paraId="6AD9E395" w14:textId="118F22F2" w:rsidR="00E83856" w:rsidRDefault="0061727C">
          <w:pPr>
            <w:pStyle w:val="TOC1"/>
            <w:tabs>
              <w:tab w:val="right" w:leader="dot" w:pos="9016"/>
            </w:tabs>
            <w:rPr>
              <w:noProof/>
              <w:kern w:val="2"/>
              <w:lang w:eastAsia="en-AU"/>
              <w14:ligatures w14:val="standardContextual"/>
            </w:rPr>
          </w:pPr>
          <w:hyperlink w:anchor="_Toc145681989" w:history="1">
            <w:r w:rsidR="00E83856" w:rsidRPr="003905FE">
              <w:rPr>
                <w:rStyle w:val="Hyperlink"/>
                <w:noProof/>
              </w:rPr>
              <w:t>Disability Inclusion Commissioner</w:t>
            </w:r>
            <w:r w:rsidR="00E83856">
              <w:rPr>
                <w:noProof/>
                <w:webHidden/>
              </w:rPr>
              <w:tab/>
            </w:r>
            <w:r w:rsidR="00E83856">
              <w:rPr>
                <w:noProof/>
                <w:webHidden/>
              </w:rPr>
              <w:fldChar w:fldCharType="begin"/>
            </w:r>
            <w:r w:rsidR="00E83856">
              <w:rPr>
                <w:noProof/>
                <w:webHidden/>
              </w:rPr>
              <w:instrText xml:space="preserve"> PAGEREF _Toc145681989 \h </w:instrText>
            </w:r>
            <w:r w:rsidR="00E83856">
              <w:rPr>
                <w:noProof/>
                <w:webHidden/>
              </w:rPr>
            </w:r>
            <w:r w:rsidR="00E83856">
              <w:rPr>
                <w:noProof/>
                <w:webHidden/>
              </w:rPr>
              <w:fldChar w:fldCharType="separate"/>
            </w:r>
            <w:r w:rsidR="00DC41FA">
              <w:rPr>
                <w:noProof/>
                <w:webHidden/>
              </w:rPr>
              <w:t>6</w:t>
            </w:r>
            <w:r w:rsidR="00E83856">
              <w:rPr>
                <w:noProof/>
                <w:webHidden/>
              </w:rPr>
              <w:fldChar w:fldCharType="end"/>
            </w:r>
          </w:hyperlink>
        </w:p>
        <w:p w14:paraId="43FCB142" w14:textId="14617720" w:rsidR="00E83856" w:rsidRDefault="0061727C">
          <w:pPr>
            <w:pStyle w:val="TOC1"/>
            <w:tabs>
              <w:tab w:val="right" w:leader="dot" w:pos="9016"/>
            </w:tabs>
            <w:rPr>
              <w:noProof/>
              <w:kern w:val="2"/>
              <w:lang w:eastAsia="en-AU"/>
              <w14:ligatures w14:val="standardContextual"/>
            </w:rPr>
          </w:pPr>
          <w:hyperlink w:anchor="_Toc145681990" w:history="1">
            <w:r w:rsidR="00E83856" w:rsidRPr="003905FE">
              <w:rPr>
                <w:rStyle w:val="Hyperlink"/>
                <w:noProof/>
              </w:rPr>
              <w:t>Conclusion</w:t>
            </w:r>
            <w:r w:rsidR="00E83856">
              <w:rPr>
                <w:noProof/>
                <w:webHidden/>
              </w:rPr>
              <w:tab/>
            </w:r>
            <w:r w:rsidR="00E83856">
              <w:rPr>
                <w:noProof/>
                <w:webHidden/>
              </w:rPr>
              <w:fldChar w:fldCharType="begin"/>
            </w:r>
            <w:r w:rsidR="00E83856">
              <w:rPr>
                <w:noProof/>
                <w:webHidden/>
              </w:rPr>
              <w:instrText xml:space="preserve"> PAGEREF _Toc145681990 \h </w:instrText>
            </w:r>
            <w:r w:rsidR="00E83856">
              <w:rPr>
                <w:noProof/>
                <w:webHidden/>
              </w:rPr>
            </w:r>
            <w:r w:rsidR="00E83856">
              <w:rPr>
                <w:noProof/>
                <w:webHidden/>
              </w:rPr>
              <w:fldChar w:fldCharType="separate"/>
            </w:r>
            <w:r w:rsidR="00DC41FA">
              <w:rPr>
                <w:noProof/>
                <w:webHidden/>
              </w:rPr>
              <w:t>7</w:t>
            </w:r>
            <w:r w:rsidR="00E83856">
              <w:rPr>
                <w:noProof/>
                <w:webHidden/>
              </w:rPr>
              <w:fldChar w:fldCharType="end"/>
            </w:r>
          </w:hyperlink>
        </w:p>
        <w:p w14:paraId="1EE93AFE" w14:textId="5028FAA1" w:rsidR="00084A82" w:rsidRPr="009D0A93" w:rsidRDefault="009D0A93" w:rsidP="006F3AF2">
          <w:pPr>
            <w:jc w:val="both"/>
          </w:pPr>
          <w:r>
            <w:rPr>
              <w:b/>
              <w:bCs/>
              <w:noProof/>
            </w:rPr>
            <w:fldChar w:fldCharType="end"/>
          </w:r>
        </w:p>
      </w:sdtContent>
    </w:sdt>
    <w:p w14:paraId="2DAB26D4" w14:textId="77777777" w:rsidR="009D0A93" w:rsidRDefault="009D0A93" w:rsidP="006F3AF2">
      <w:pPr>
        <w:jc w:val="both"/>
        <w:rPr>
          <w:rFonts w:asciiTheme="majorHAnsi" w:eastAsia="Calibri" w:hAnsiTheme="majorHAnsi" w:cstheme="majorBidi"/>
          <w:color w:val="1F3864" w:themeColor="accent1" w:themeShade="80"/>
          <w:sz w:val="36"/>
          <w:szCs w:val="36"/>
        </w:rPr>
      </w:pPr>
      <w:r>
        <w:rPr>
          <w:rFonts w:eastAsia="Calibri"/>
        </w:rPr>
        <w:br w:type="page"/>
      </w:r>
    </w:p>
    <w:p w14:paraId="6B253A87" w14:textId="555B6128" w:rsidR="005328B9" w:rsidRDefault="005328B9" w:rsidP="006F3AF2">
      <w:pPr>
        <w:pStyle w:val="Heading1"/>
        <w:spacing w:before="120" w:after="120" w:line="360" w:lineRule="auto"/>
        <w:jc w:val="both"/>
        <w:rPr>
          <w:rFonts w:eastAsia="Calibri"/>
        </w:rPr>
      </w:pPr>
      <w:bookmarkStart w:id="0" w:name="_Toc145681980"/>
      <w:r>
        <w:rPr>
          <w:rFonts w:eastAsia="Calibri"/>
        </w:rPr>
        <w:lastRenderedPageBreak/>
        <w:t>Introduction</w:t>
      </w:r>
      <w:bookmarkEnd w:id="0"/>
      <w:r>
        <w:rPr>
          <w:rFonts w:eastAsia="Calibri"/>
        </w:rPr>
        <w:t xml:space="preserve"> </w:t>
      </w:r>
    </w:p>
    <w:p w14:paraId="779441A3" w14:textId="515EC3A1" w:rsidR="00FA07DB" w:rsidRPr="0023646F" w:rsidRDefault="000422EB" w:rsidP="006F3AF2">
      <w:pPr>
        <w:spacing w:before="120" w:after="120" w:line="360" w:lineRule="auto"/>
        <w:jc w:val="both"/>
        <w:rPr>
          <w:rFonts w:ascii="Calibri" w:eastAsia="Calibri" w:hAnsi="Calibri" w:cs="Calibri"/>
        </w:rPr>
      </w:pPr>
      <w:r w:rsidRPr="0023646F">
        <w:rPr>
          <w:rFonts w:ascii="Calibri" w:eastAsia="Calibri" w:hAnsi="Calibri" w:cs="Calibri"/>
        </w:rPr>
        <w:t xml:space="preserve">Advocacy Tasmania is an independent not-for-profit organisation that provides client-directed advocacy services to older people, people with a disability ('PWD'), people living with mental </w:t>
      </w:r>
      <w:r w:rsidR="00922EF4">
        <w:rPr>
          <w:rFonts w:ascii="Calibri" w:eastAsia="Calibri" w:hAnsi="Calibri" w:cs="Calibri"/>
        </w:rPr>
        <w:t>health issues</w:t>
      </w:r>
      <w:r w:rsidRPr="0023646F">
        <w:rPr>
          <w:rFonts w:ascii="Calibri" w:eastAsia="Calibri" w:hAnsi="Calibri" w:cs="Calibri"/>
        </w:rPr>
        <w:t xml:space="preserve">, and people who use alcohol and other drugs. Advocacy Tasmania welcomes the opportunity to make a submission to the Tasmanian Government regarding the proposed </w:t>
      </w:r>
      <w:r w:rsidRPr="0023646F">
        <w:rPr>
          <w:rFonts w:ascii="Calibri" w:eastAsia="Calibri" w:hAnsi="Calibri" w:cs="Calibri"/>
          <w:i/>
          <w:iCs/>
        </w:rPr>
        <w:t xml:space="preserve">Disability Inclusion </w:t>
      </w:r>
      <w:r w:rsidR="00FA07DB" w:rsidRPr="0023646F">
        <w:rPr>
          <w:rFonts w:ascii="Calibri" w:eastAsia="Calibri" w:hAnsi="Calibri" w:cs="Calibri"/>
          <w:i/>
          <w:iCs/>
        </w:rPr>
        <w:t>Bill 2023</w:t>
      </w:r>
      <w:r w:rsidR="00AA3BDD" w:rsidRPr="0023646F">
        <w:rPr>
          <w:rFonts w:ascii="Calibri" w:eastAsia="Calibri" w:hAnsi="Calibri" w:cs="Calibri"/>
          <w:i/>
          <w:iCs/>
        </w:rPr>
        <w:t xml:space="preserve"> </w:t>
      </w:r>
      <w:r w:rsidR="00AA3BDD" w:rsidRPr="0023646F">
        <w:rPr>
          <w:rFonts w:ascii="Calibri" w:eastAsia="Calibri" w:hAnsi="Calibri" w:cs="Calibri"/>
        </w:rPr>
        <w:t>(‘the Bill’)</w:t>
      </w:r>
      <w:r w:rsidRPr="0023646F">
        <w:rPr>
          <w:rFonts w:ascii="Calibri" w:eastAsia="Calibri" w:hAnsi="Calibri" w:cs="Calibri"/>
          <w:i/>
          <w:iCs/>
        </w:rPr>
        <w:t xml:space="preserve">. </w:t>
      </w:r>
      <w:r w:rsidR="00FA07DB" w:rsidRPr="0023646F">
        <w:rPr>
          <w:rFonts w:ascii="Calibri" w:eastAsia="Calibri" w:hAnsi="Calibri" w:cs="Calibri"/>
        </w:rPr>
        <w:t xml:space="preserve">Advocacy Tasmania </w:t>
      </w:r>
      <w:r w:rsidR="00922EF4">
        <w:rPr>
          <w:rFonts w:ascii="Calibri" w:eastAsia="Calibri" w:hAnsi="Calibri" w:cs="Calibri"/>
        </w:rPr>
        <w:t>provided feedback</w:t>
      </w:r>
      <w:r w:rsidR="00FA07DB" w:rsidRPr="0023646F">
        <w:rPr>
          <w:rFonts w:ascii="Calibri" w:eastAsia="Calibri" w:hAnsi="Calibri" w:cs="Calibri"/>
        </w:rPr>
        <w:t xml:space="preserve"> regarding the review of the </w:t>
      </w:r>
      <w:r w:rsidR="00FA07DB" w:rsidRPr="0023646F">
        <w:rPr>
          <w:rFonts w:ascii="Calibri" w:eastAsia="Calibri" w:hAnsi="Calibri" w:cs="Calibri"/>
          <w:i/>
          <w:iCs/>
        </w:rPr>
        <w:t>Disability Services Act 2011</w:t>
      </w:r>
      <w:r w:rsidR="00CE04A5" w:rsidRPr="0023646F">
        <w:rPr>
          <w:rFonts w:ascii="Calibri" w:eastAsia="Calibri" w:hAnsi="Calibri" w:cs="Calibri"/>
          <w:i/>
          <w:iCs/>
        </w:rPr>
        <w:t xml:space="preserve"> </w:t>
      </w:r>
      <w:r w:rsidR="00CE04A5" w:rsidRPr="0023646F">
        <w:rPr>
          <w:rFonts w:ascii="Calibri" w:eastAsia="Calibri" w:hAnsi="Calibri" w:cs="Calibri"/>
        </w:rPr>
        <w:t>(‘the DSA’)</w:t>
      </w:r>
      <w:r w:rsidR="00FA07DB" w:rsidRPr="0023646F">
        <w:rPr>
          <w:rFonts w:ascii="Calibri" w:eastAsia="Calibri" w:hAnsi="Calibri" w:cs="Calibri"/>
          <w:i/>
          <w:iCs/>
        </w:rPr>
        <w:t xml:space="preserve"> </w:t>
      </w:r>
      <w:r w:rsidR="00FA07DB" w:rsidRPr="0023646F">
        <w:rPr>
          <w:rFonts w:ascii="Calibri" w:eastAsia="Calibri" w:hAnsi="Calibri" w:cs="Calibri"/>
        </w:rPr>
        <w:t xml:space="preserve">in late 2021 and welcomes the opportunity to reflect </w:t>
      </w:r>
      <w:r w:rsidR="00922EF4">
        <w:rPr>
          <w:rFonts w:ascii="Calibri" w:eastAsia="Calibri" w:hAnsi="Calibri" w:cs="Calibri"/>
        </w:rPr>
        <w:t xml:space="preserve">on </w:t>
      </w:r>
      <w:r w:rsidR="00821234" w:rsidRPr="0023646F">
        <w:rPr>
          <w:rFonts w:ascii="Calibri" w:eastAsia="Calibri" w:hAnsi="Calibri" w:cs="Calibri"/>
        </w:rPr>
        <w:t>th</w:t>
      </w:r>
      <w:r w:rsidR="00A6683C" w:rsidRPr="0023646F">
        <w:rPr>
          <w:rFonts w:ascii="Calibri" w:eastAsia="Calibri" w:hAnsi="Calibri" w:cs="Calibri"/>
        </w:rPr>
        <w:t>e incorporation of that</w:t>
      </w:r>
      <w:r w:rsidR="00821234" w:rsidRPr="0023646F">
        <w:rPr>
          <w:rFonts w:ascii="Calibri" w:eastAsia="Calibri" w:hAnsi="Calibri" w:cs="Calibri"/>
        </w:rPr>
        <w:t xml:space="preserve"> feedback</w:t>
      </w:r>
      <w:r w:rsidR="00A6683C" w:rsidRPr="0023646F">
        <w:rPr>
          <w:rFonts w:ascii="Calibri" w:eastAsia="Calibri" w:hAnsi="Calibri" w:cs="Calibri"/>
        </w:rPr>
        <w:t xml:space="preserve"> in the Bill</w:t>
      </w:r>
      <w:r w:rsidR="00821234" w:rsidRPr="0023646F">
        <w:rPr>
          <w:rFonts w:ascii="Calibri" w:eastAsia="Calibri" w:hAnsi="Calibri" w:cs="Calibri"/>
        </w:rPr>
        <w:t xml:space="preserve">. </w:t>
      </w:r>
    </w:p>
    <w:p w14:paraId="411702F0" w14:textId="657E9BAB" w:rsidR="000422EB" w:rsidRPr="0023646F" w:rsidRDefault="000422EB" w:rsidP="006F3AF2">
      <w:pPr>
        <w:spacing w:before="120" w:after="120" w:line="360" w:lineRule="auto"/>
        <w:jc w:val="both"/>
        <w:rPr>
          <w:rFonts w:ascii="Calibri" w:eastAsia="Calibri" w:hAnsi="Calibri" w:cs="Calibri"/>
        </w:rPr>
      </w:pPr>
      <w:r w:rsidRPr="0023646F">
        <w:rPr>
          <w:rFonts w:ascii="Calibri" w:eastAsia="Calibri" w:hAnsi="Calibri" w:cs="Calibri"/>
        </w:rPr>
        <w:t xml:space="preserve">Our submission is informed by directly reported client experiences and </w:t>
      </w:r>
      <w:r w:rsidR="00FA07DB" w:rsidRPr="0023646F">
        <w:rPr>
          <w:rFonts w:ascii="Calibri" w:eastAsia="Calibri" w:hAnsi="Calibri" w:cs="Calibri"/>
        </w:rPr>
        <w:t xml:space="preserve">case </w:t>
      </w:r>
      <w:r w:rsidRPr="0023646F">
        <w:rPr>
          <w:rFonts w:ascii="Calibri" w:eastAsia="Calibri" w:hAnsi="Calibri" w:cs="Calibri"/>
        </w:rPr>
        <w:t xml:space="preserve">studies included in this submission have been anonymised. They may include the experiences of more than one individual, </w:t>
      </w:r>
      <w:r w:rsidR="000F32E3">
        <w:rPr>
          <w:rFonts w:ascii="Calibri" w:eastAsia="Calibri" w:hAnsi="Calibri" w:cs="Calibri"/>
        </w:rPr>
        <w:t xml:space="preserve">and </w:t>
      </w:r>
      <w:r w:rsidRPr="0023646F">
        <w:rPr>
          <w:rFonts w:ascii="Calibri" w:eastAsia="Calibri" w:hAnsi="Calibri" w:cs="Calibri"/>
        </w:rPr>
        <w:t xml:space="preserve">details not affecting the outcome of the issue may have been changed </w:t>
      </w:r>
      <w:r w:rsidR="00FA07DB" w:rsidRPr="0023646F">
        <w:rPr>
          <w:rFonts w:ascii="Calibri" w:eastAsia="Calibri" w:hAnsi="Calibri" w:cs="Calibri"/>
        </w:rPr>
        <w:t>to</w:t>
      </w:r>
      <w:r w:rsidRPr="0023646F">
        <w:rPr>
          <w:rFonts w:ascii="Calibri" w:eastAsia="Calibri" w:hAnsi="Calibri" w:cs="Calibri"/>
        </w:rPr>
        <w:t xml:space="preserve"> protect the identities of the individuals concerned.</w:t>
      </w:r>
    </w:p>
    <w:p w14:paraId="357EC4C2" w14:textId="062AFA31" w:rsidR="00AA3BDD" w:rsidRDefault="00AA3BDD" w:rsidP="006F3AF2">
      <w:pPr>
        <w:pStyle w:val="Heading1"/>
        <w:spacing w:before="120" w:after="120" w:line="360" w:lineRule="auto"/>
        <w:jc w:val="both"/>
      </w:pPr>
      <w:bookmarkStart w:id="1" w:name="_Toc145681981"/>
      <w:r>
        <w:t>Feedback on DSA</w:t>
      </w:r>
      <w:bookmarkEnd w:id="1"/>
      <w:r>
        <w:t xml:space="preserve"> </w:t>
      </w:r>
    </w:p>
    <w:p w14:paraId="60225CD1" w14:textId="77777777" w:rsidR="006F3AF2" w:rsidRDefault="00AA3BDD" w:rsidP="006F3AF2">
      <w:pPr>
        <w:spacing w:before="120" w:after="120" w:line="360" w:lineRule="auto"/>
        <w:jc w:val="both"/>
      </w:pPr>
      <w:r>
        <w:t xml:space="preserve">Advocacy Tasmania notes the </w:t>
      </w:r>
      <w:r w:rsidR="00D771D0">
        <w:t>Bill incorporates</w:t>
      </w:r>
      <w:r>
        <w:t xml:space="preserve"> </w:t>
      </w:r>
      <w:r w:rsidR="00775FE1">
        <w:t>some matters</w:t>
      </w:r>
      <w:r w:rsidR="009D0A93">
        <w:t xml:space="preserve"> raised</w:t>
      </w:r>
      <w:r w:rsidR="00775FE1">
        <w:t xml:space="preserve"> in </w:t>
      </w:r>
      <w:r w:rsidR="009D0A93">
        <w:t>our</w:t>
      </w:r>
      <w:r w:rsidR="00775FE1">
        <w:t xml:space="preserve"> submission to the review of the DSA</w:t>
      </w:r>
      <w:r w:rsidR="009D0A93">
        <w:t xml:space="preserve"> in 2021</w:t>
      </w:r>
      <w:r w:rsidR="00775FE1">
        <w:t xml:space="preserve">. </w:t>
      </w:r>
      <w:r w:rsidR="00D730BF">
        <w:t>These include</w:t>
      </w:r>
      <w:r w:rsidR="001F28F0">
        <w:t>:</w:t>
      </w:r>
      <w:r w:rsidR="00D730BF">
        <w:t xml:space="preserve"> </w:t>
      </w:r>
      <w:r w:rsidR="001605A4">
        <w:t>centring inclusion as a core object of the Bill</w:t>
      </w:r>
      <w:r w:rsidR="007E6F5A">
        <w:t xml:space="preserve"> (s3)</w:t>
      </w:r>
      <w:r w:rsidR="001F28F0">
        <w:t>;</w:t>
      </w:r>
      <w:r w:rsidR="001605A4">
        <w:t xml:space="preserve"> </w:t>
      </w:r>
      <w:r w:rsidR="00A40B91">
        <w:t>including supported decision-making as a core principle of the Bill</w:t>
      </w:r>
      <w:r w:rsidR="007E6F5A">
        <w:t xml:space="preserve"> (s8(1)(j))</w:t>
      </w:r>
      <w:r w:rsidR="001F28F0">
        <w:t>;</w:t>
      </w:r>
      <w:r w:rsidR="00A40B91">
        <w:t xml:space="preserve"> establishing a Disability Advisory Council with the majority of its members being PWD</w:t>
      </w:r>
      <w:r w:rsidR="007E6F5A">
        <w:t xml:space="preserve"> (s19</w:t>
      </w:r>
      <w:r w:rsidR="004B08CC">
        <w:t>(3)(a)</w:t>
      </w:r>
      <w:r w:rsidR="007E6F5A">
        <w:t>)</w:t>
      </w:r>
      <w:r w:rsidR="001F28F0">
        <w:t>;</w:t>
      </w:r>
      <w:r w:rsidR="00A40B91">
        <w:t xml:space="preserve"> </w:t>
      </w:r>
      <w:r w:rsidR="00953293">
        <w:t>retaining the power for government to grant assistance for</w:t>
      </w:r>
      <w:r w:rsidR="00922EF4">
        <w:t xml:space="preserve"> disability</w:t>
      </w:r>
      <w:r w:rsidR="00953293">
        <w:t xml:space="preserve"> services to</w:t>
      </w:r>
      <w:r w:rsidR="00D730BF">
        <w:t xml:space="preserve"> </w:t>
      </w:r>
      <w:r w:rsidR="00953293">
        <w:t>PWD</w:t>
      </w:r>
      <w:r w:rsidR="004B08CC">
        <w:t xml:space="preserve"> (s61(3)(e))</w:t>
      </w:r>
      <w:r w:rsidR="001F28F0">
        <w:t>;</w:t>
      </w:r>
      <w:r w:rsidR="00953293">
        <w:t xml:space="preserve"> retaining the power to grant funding for advocacy</w:t>
      </w:r>
      <w:r w:rsidR="003858DF">
        <w:t xml:space="preserve"> </w:t>
      </w:r>
      <w:r w:rsidR="00922EF4">
        <w:t xml:space="preserve">services </w:t>
      </w:r>
      <w:r w:rsidR="003858DF">
        <w:t>(s61(3)(b))</w:t>
      </w:r>
      <w:r w:rsidR="001F28F0">
        <w:t>;</w:t>
      </w:r>
      <w:r w:rsidR="00953293">
        <w:t xml:space="preserve"> and establishing the Disability Inclusion Commissioner</w:t>
      </w:r>
      <w:r w:rsidR="006F616C">
        <w:t xml:space="preserve"> (‘the Commissioner’)</w:t>
      </w:r>
      <w:r w:rsidR="003858DF">
        <w:t xml:space="preserve"> (s23) who is able to refer matters to other bodies such as </w:t>
      </w:r>
      <w:r w:rsidR="00CE7AEF">
        <w:t xml:space="preserve">the </w:t>
      </w:r>
      <w:r w:rsidR="003858DF">
        <w:t>NDIS</w:t>
      </w:r>
      <w:r w:rsidR="00CE7AEF">
        <w:t xml:space="preserve"> </w:t>
      </w:r>
      <w:r w:rsidR="003858DF">
        <w:t>Q</w:t>
      </w:r>
      <w:r w:rsidR="00CE7AEF">
        <w:t xml:space="preserve">uality and </w:t>
      </w:r>
      <w:r w:rsidR="003858DF">
        <w:t>S</w:t>
      </w:r>
      <w:r w:rsidR="00CE7AEF">
        <w:t xml:space="preserve">afeguards </w:t>
      </w:r>
      <w:r w:rsidR="003858DF">
        <w:t>C</w:t>
      </w:r>
      <w:r w:rsidR="00CE7AEF">
        <w:t>ommission (</w:t>
      </w:r>
      <w:r w:rsidR="00EE0ECD">
        <w:t>‘</w:t>
      </w:r>
      <w:r w:rsidR="00CE7AEF">
        <w:t>NDISQSC</w:t>
      </w:r>
      <w:r w:rsidR="00EE0ECD">
        <w:t>’</w:t>
      </w:r>
      <w:r w:rsidR="00CE7AEF">
        <w:t xml:space="preserve">) </w:t>
      </w:r>
      <w:r w:rsidR="003858DF">
        <w:t>(s34(2))</w:t>
      </w:r>
      <w:r w:rsidR="00953293">
        <w:t xml:space="preserve">. </w:t>
      </w:r>
    </w:p>
    <w:p w14:paraId="45A5F91F" w14:textId="58661AE3" w:rsidR="005328B9" w:rsidRDefault="006712D8" w:rsidP="006F3AF2">
      <w:pPr>
        <w:spacing w:before="120" w:after="120" w:line="360" w:lineRule="auto"/>
        <w:jc w:val="both"/>
      </w:pPr>
      <w:r>
        <w:t xml:space="preserve">We note that supported decision-making provisions have not been </w:t>
      </w:r>
      <w:r w:rsidR="006F3AF2">
        <w:t>established</w:t>
      </w:r>
      <w:r>
        <w:t xml:space="preserve"> in full as per our </w:t>
      </w:r>
      <w:r w:rsidR="001F28F0">
        <w:t>recommendation and</w:t>
      </w:r>
      <w:r w:rsidR="00922EF4">
        <w:t xml:space="preserve"> are hopeful</w:t>
      </w:r>
      <w:r>
        <w:t xml:space="preserve"> </w:t>
      </w:r>
      <w:r w:rsidR="00080775">
        <w:t xml:space="preserve">that the </w:t>
      </w:r>
      <w:r w:rsidR="00922EF4">
        <w:t>Tasmanian G</w:t>
      </w:r>
      <w:r w:rsidR="00080775">
        <w:t xml:space="preserve">overnment intends to address this </w:t>
      </w:r>
      <w:r w:rsidR="00D843D3">
        <w:t xml:space="preserve">urgent issue </w:t>
      </w:r>
      <w:r w:rsidR="00080775">
        <w:t xml:space="preserve">through current reforms to guardianship and administration legislation. </w:t>
      </w:r>
      <w:r w:rsidR="00953293">
        <w:t>Our submission will focus on strengthening</w:t>
      </w:r>
      <w:r w:rsidR="0010619D">
        <w:t xml:space="preserve"> the Bill </w:t>
      </w:r>
      <w:r w:rsidR="00922EF4">
        <w:t>by incorporating</w:t>
      </w:r>
      <w:r w:rsidR="0010619D">
        <w:t xml:space="preserve"> </w:t>
      </w:r>
      <w:r w:rsidR="003858DF">
        <w:t>a Charter of Rights</w:t>
      </w:r>
      <w:r w:rsidR="0074140C">
        <w:t xml:space="preserve"> for PWD</w:t>
      </w:r>
      <w:r w:rsidR="000F32E3">
        <w:t>,</w:t>
      </w:r>
      <w:r w:rsidR="003858DF">
        <w:t xml:space="preserve"> </w:t>
      </w:r>
      <w:r w:rsidR="000F32E3">
        <w:t xml:space="preserve">an </w:t>
      </w:r>
      <w:r w:rsidR="003858DF">
        <w:t>Official Visitors Scheme</w:t>
      </w:r>
      <w:r w:rsidR="00EE0ECD">
        <w:t>,</w:t>
      </w:r>
      <w:r w:rsidR="0074140C">
        <w:t xml:space="preserve"> </w:t>
      </w:r>
      <w:r w:rsidR="002F59D8">
        <w:t>strengthening</w:t>
      </w:r>
      <w:r w:rsidR="0074140C">
        <w:t xml:space="preserve"> the role of the Disability Inclusion Commissioner, and</w:t>
      </w:r>
      <w:r w:rsidR="00EE0ECD">
        <w:t xml:space="preserve"> taking into consideration the findings of the Disability Royal Commission (‘DRC’). </w:t>
      </w:r>
    </w:p>
    <w:p w14:paraId="7FC487E3" w14:textId="5D70566C" w:rsidR="00F12BC4" w:rsidRDefault="00CA5037" w:rsidP="006F3AF2">
      <w:pPr>
        <w:pStyle w:val="Heading1"/>
        <w:spacing w:before="120" w:after="120" w:line="360" w:lineRule="auto"/>
        <w:jc w:val="both"/>
      </w:pPr>
      <w:bookmarkStart w:id="2" w:name="_Toc145681982"/>
      <w:r>
        <w:t xml:space="preserve">Considering Findings </w:t>
      </w:r>
      <w:r w:rsidR="00F12BC4">
        <w:t>of the Disability Royal Commission</w:t>
      </w:r>
      <w:bookmarkEnd w:id="2"/>
      <w:r w:rsidR="00F12BC4">
        <w:t xml:space="preserve"> </w:t>
      </w:r>
    </w:p>
    <w:p w14:paraId="391F63A5" w14:textId="4F81A1BA" w:rsidR="00E71937" w:rsidRDefault="00B513B6" w:rsidP="006F3AF2">
      <w:pPr>
        <w:spacing w:before="120" w:after="120" w:line="360" w:lineRule="auto"/>
        <w:jc w:val="both"/>
      </w:pPr>
      <w:r>
        <w:t xml:space="preserve">Advocacy Tasmania supported </w:t>
      </w:r>
      <w:r w:rsidR="006F3AF2">
        <w:t xml:space="preserve">many </w:t>
      </w:r>
      <w:r>
        <w:t xml:space="preserve">clients </w:t>
      </w:r>
      <w:r w:rsidR="0060336D">
        <w:t xml:space="preserve">to make </w:t>
      </w:r>
      <w:r>
        <w:t xml:space="preserve">submissions to </w:t>
      </w:r>
      <w:r w:rsidR="003858DF">
        <w:t xml:space="preserve">the </w:t>
      </w:r>
      <w:r>
        <w:t>DRC</w:t>
      </w:r>
      <w:r w:rsidR="0060336D">
        <w:t xml:space="preserve"> on a broad range of issues experienced</w:t>
      </w:r>
      <w:r>
        <w:t xml:space="preserve">. </w:t>
      </w:r>
      <w:r w:rsidR="005C3C0A">
        <w:t xml:space="preserve">Many clients reported difficulty </w:t>
      </w:r>
      <w:r w:rsidR="00BC27C8">
        <w:t>in sharing their stories</w:t>
      </w:r>
      <w:r w:rsidR="000F32E3">
        <w:t>,</w:t>
      </w:r>
      <w:r w:rsidR="001F28F0">
        <w:t xml:space="preserve"> </w:t>
      </w:r>
      <w:proofErr w:type="gramStart"/>
      <w:r w:rsidR="00BC27C8">
        <w:t>however</w:t>
      </w:r>
      <w:proofErr w:type="gramEnd"/>
      <w:r w:rsidR="00BC27C8">
        <w:t xml:space="preserve"> were determined to do </w:t>
      </w:r>
      <w:r w:rsidR="00BC27C8">
        <w:lastRenderedPageBreak/>
        <w:t>so in the hopes of improving outcomes</w:t>
      </w:r>
      <w:r w:rsidR="00824297">
        <w:t xml:space="preserve"> for PWD in future.</w:t>
      </w:r>
      <w:r w:rsidR="005C3C0A">
        <w:t xml:space="preserve"> </w:t>
      </w:r>
      <w:r>
        <w:t xml:space="preserve">As the final report </w:t>
      </w:r>
      <w:r w:rsidR="00DE42B1">
        <w:t xml:space="preserve">of the DRC </w:t>
      </w:r>
      <w:r>
        <w:t xml:space="preserve">is expected to be released </w:t>
      </w:r>
      <w:r w:rsidR="00AF5B89">
        <w:t>on 29 September</w:t>
      </w:r>
      <w:r>
        <w:t xml:space="preserve"> 2023, </w:t>
      </w:r>
      <w:r w:rsidR="004A1C16">
        <w:t xml:space="preserve">which </w:t>
      </w:r>
      <w:r w:rsidR="00902574">
        <w:t>is likely to</w:t>
      </w:r>
      <w:r w:rsidR="004A1C16">
        <w:t xml:space="preserve"> lead to amendments required to the Bill, Advocacy Tasmania submits th</w:t>
      </w:r>
      <w:r w:rsidR="00AF5B89">
        <w:t xml:space="preserve">at the </w:t>
      </w:r>
      <w:r w:rsidR="0060336D">
        <w:t>findings</w:t>
      </w:r>
      <w:r w:rsidR="00AF5B89">
        <w:t xml:space="preserve"> of the DRC should be </w:t>
      </w:r>
      <w:r w:rsidR="001668BF">
        <w:t>taken into consideration</w:t>
      </w:r>
      <w:r w:rsidR="006F3AF2">
        <w:t xml:space="preserve"> by the Tasmanian Government</w:t>
      </w:r>
      <w:r w:rsidR="00B52AD3">
        <w:t xml:space="preserve"> in </w:t>
      </w:r>
      <w:r w:rsidR="006F3AF2">
        <w:t xml:space="preserve">the review process of </w:t>
      </w:r>
      <w:r w:rsidR="00B52AD3">
        <w:t>the Bill</w:t>
      </w:r>
      <w:r w:rsidR="001668BF">
        <w:t xml:space="preserve">. </w:t>
      </w:r>
      <w:r w:rsidR="002245C7">
        <w:t>This would respect</w:t>
      </w:r>
      <w:r w:rsidR="00663ACE">
        <w:t xml:space="preserve"> </w:t>
      </w:r>
      <w:r w:rsidR="00C91311">
        <w:t xml:space="preserve">the effort involved by PWD in making contributions </w:t>
      </w:r>
      <w:r w:rsidR="00F83EFF">
        <w:t>to the DRC,</w:t>
      </w:r>
      <w:r w:rsidR="00C91311">
        <w:t xml:space="preserve"> maximise the opportunities for those contributions to be considered</w:t>
      </w:r>
      <w:r w:rsidR="00151C49">
        <w:t xml:space="preserve"> in government policy</w:t>
      </w:r>
      <w:r w:rsidR="00C91311">
        <w:t>, and ensure their experiences are centred as much as possible.</w:t>
      </w:r>
      <w:r w:rsidR="0013757F">
        <w:t xml:space="preserve"> </w:t>
      </w:r>
      <w:r w:rsidR="0060336D">
        <w:t xml:space="preserve">If </w:t>
      </w:r>
      <w:r w:rsidR="00C91311">
        <w:t>the Bill proceeds without consideration of the findings of the DR</w:t>
      </w:r>
      <w:r w:rsidR="006F3AF2">
        <w:t>C</w:t>
      </w:r>
      <w:r w:rsidR="00F749A2">
        <w:t xml:space="preserve"> </w:t>
      </w:r>
      <w:r w:rsidR="00B52AD3">
        <w:t>the government should</w:t>
      </w:r>
      <w:r w:rsidR="006F3AF2">
        <w:t>,</w:t>
      </w:r>
      <w:r w:rsidR="00CA5037">
        <w:t xml:space="preserve"> as a matter of urgency</w:t>
      </w:r>
      <w:r w:rsidR="006F3AF2">
        <w:t>,</w:t>
      </w:r>
      <w:r w:rsidR="000F32E3">
        <w:t xml:space="preserve"> </w:t>
      </w:r>
      <w:r w:rsidR="00B52AD3">
        <w:t>give an</w:t>
      </w:r>
      <w:r w:rsidR="00F749A2">
        <w:t xml:space="preserve"> indication of the timeframe intended to take the findings into consideration</w:t>
      </w:r>
      <w:r w:rsidR="00824297">
        <w:t xml:space="preserve"> in relation to the Bill</w:t>
      </w:r>
      <w:r w:rsidR="00F749A2">
        <w:t xml:space="preserve"> and table </w:t>
      </w:r>
      <w:r w:rsidR="00824297">
        <w:t>any</w:t>
      </w:r>
      <w:r w:rsidR="00F749A2">
        <w:t xml:space="preserve"> amendments. </w:t>
      </w:r>
    </w:p>
    <w:p w14:paraId="68AD4833" w14:textId="0DD6895A" w:rsidR="00E21E38" w:rsidRDefault="00E21E38" w:rsidP="006F3AF2">
      <w:pPr>
        <w:pStyle w:val="Heading1"/>
        <w:spacing w:before="120" w:after="120" w:line="360" w:lineRule="auto"/>
        <w:jc w:val="both"/>
      </w:pPr>
      <w:bookmarkStart w:id="3" w:name="_Toc145681983"/>
      <w:r>
        <w:t>Charter of Rights</w:t>
      </w:r>
      <w:bookmarkEnd w:id="3"/>
      <w:r>
        <w:t xml:space="preserve"> </w:t>
      </w:r>
    </w:p>
    <w:p w14:paraId="1E3B843D" w14:textId="7FCF6A7C" w:rsidR="00974B78" w:rsidRDefault="00B8444D" w:rsidP="006F3AF2">
      <w:pPr>
        <w:spacing w:before="120" w:after="120" w:line="360" w:lineRule="auto"/>
        <w:jc w:val="both"/>
      </w:pPr>
      <w:r>
        <w:t xml:space="preserve">Advocacy Tasmania submits that </w:t>
      </w:r>
      <w:r w:rsidR="006F3AF2">
        <w:t>listing</w:t>
      </w:r>
      <w:r w:rsidR="0060336D">
        <w:t xml:space="preserve"> rights </w:t>
      </w:r>
      <w:r w:rsidR="00C91311">
        <w:t xml:space="preserve">of PWD </w:t>
      </w:r>
      <w:r w:rsidR="0060336D">
        <w:t xml:space="preserve">as ‘inclusion principles to be observed’ </w:t>
      </w:r>
      <w:r w:rsidR="00C91311">
        <w:t xml:space="preserve">in section 8 of the Bill </w:t>
      </w:r>
      <w:r w:rsidR="0060336D">
        <w:t>does not go far enough to protect the rights of PWD.</w:t>
      </w:r>
      <w:r w:rsidR="00575D4A">
        <w:t xml:space="preserve"> </w:t>
      </w:r>
      <w:r w:rsidR="002F59D8">
        <w:t>We</w:t>
      </w:r>
      <w:r w:rsidR="00991E2F">
        <w:t xml:space="preserve"> recommend</w:t>
      </w:r>
      <w:r w:rsidR="002F59D8">
        <w:t xml:space="preserve"> </w:t>
      </w:r>
      <w:r w:rsidR="00991E2F">
        <w:t>that the Bill incorporates a Charter of Rights for PWD accessing services in Tasmania which</w:t>
      </w:r>
      <w:r w:rsidR="00922EF4">
        <w:t xml:space="preserve"> </w:t>
      </w:r>
      <w:r w:rsidR="00991E2F">
        <w:t xml:space="preserve">explicitly includes the right of access to </w:t>
      </w:r>
      <w:r w:rsidR="00F83EFF">
        <w:t>advocacy and</w:t>
      </w:r>
      <w:r w:rsidR="00991E2F">
        <w:t xml:space="preserve"> </w:t>
      </w:r>
      <w:r w:rsidR="002F59D8">
        <w:t>that</w:t>
      </w:r>
      <w:r w:rsidR="00991E2F">
        <w:t xml:space="preserve"> the Commissioner </w:t>
      </w:r>
      <w:r w:rsidR="002F59D8">
        <w:t>has</w:t>
      </w:r>
      <w:r w:rsidR="00991E2F">
        <w:t xml:space="preserve"> oversight of complaints made </w:t>
      </w:r>
      <w:r w:rsidR="00B43303">
        <w:t>where rights under the Charter are breached</w:t>
      </w:r>
      <w:r w:rsidR="00991E2F">
        <w:t xml:space="preserve">. </w:t>
      </w:r>
      <w:r w:rsidR="000822BC">
        <w:t>Access</w:t>
      </w:r>
      <w:r w:rsidR="00991E2F">
        <w:t xml:space="preserve"> to </w:t>
      </w:r>
      <w:r w:rsidR="006E0EAC">
        <w:t>independent advocacy</w:t>
      </w:r>
      <w:r w:rsidR="008F6CC7">
        <w:t>, which of itself is not</w:t>
      </w:r>
      <w:r w:rsidR="00DF191A">
        <w:t xml:space="preserve"> a safeguarding mechanism, provides a critical support to PWD </w:t>
      </w:r>
      <w:r w:rsidR="00141D72">
        <w:t xml:space="preserve">and facilitates access to and effectiveness of </w:t>
      </w:r>
      <w:r w:rsidR="00922EF4">
        <w:t xml:space="preserve">any </w:t>
      </w:r>
      <w:r w:rsidR="00141D72">
        <w:t xml:space="preserve">safeguarding mechanisms that do exist. </w:t>
      </w:r>
      <w:r w:rsidR="00077968">
        <w:t>The importance of access to advocacy is highlighted in the N</w:t>
      </w:r>
      <w:r w:rsidR="001C42F7">
        <w:t xml:space="preserve">ational </w:t>
      </w:r>
      <w:r w:rsidR="00077968">
        <w:t>S</w:t>
      </w:r>
      <w:r w:rsidR="001C42F7">
        <w:t xml:space="preserve">tandards for </w:t>
      </w:r>
      <w:r w:rsidR="00077968">
        <w:t>D</w:t>
      </w:r>
      <w:r w:rsidR="001C42F7">
        <w:t xml:space="preserve">isability </w:t>
      </w:r>
      <w:r w:rsidR="00077968">
        <w:t>S</w:t>
      </w:r>
      <w:r w:rsidR="001C42F7">
        <w:t>ervices</w:t>
      </w:r>
      <w:r w:rsidR="00077968">
        <w:t>, N</w:t>
      </w:r>
      <w:r w:rsidR="001C42F7">
        <w:t xml:space="preserve">ational </w:t>
      </w:r>
      <w:r w:rsidR="00077968">
        <w:t>D</w:t>
      </w:r>
      <w:r w:rsidR="001C42F7">
        <w:t xml:space="preserve">isability </w:t>
      </w:r>
      <w:r w:rsidR="00077968">
        <w:t>I</w:t>
      </w:r>
      <w:r w:rsidR="001C42F7">
        <w:t xml:space="preserve">nsurance </w:t>
      </w:r>
      <w:r w:rsidR="00077968">
        <w:t>S</w:t>
      </w:r>
      <w:r w:rsidR="001C42F7">
        <w:t>cheme (‘NDIS’)</w:t>
      </w:r>
      <w:r w:rsidR="00077968">
        <w:t xml:space="preserve"> Act, NDIS Rules, and in the inclusion principles of the proposed Bill. </w:t>
      </w:r>
      <w:r w:rsidR="00F83EFF">
        <w:t>However,</w:t>
      </w:r>
      <w:r w:rsidR="00077968">
        <w:t xml:space="preserve"> none of these frameworks </w:t>
      </w:r>
      <w:r w:rsidR="006E0EAC">
        <w:t xml:space="preserve">create an obligation on providers to facilitate access to advocacy. </w:t>
      </w:r>
    </w:p>
    <w:p w14:paraId="27A5028B" w14:textId="12657884" w:rsidR="00781D93" w:rsidRPr="00AB3EEC" w:rsidRDefault="00974B78" w:rsidP="006F3AF2">
      <w:pPr>
        <w:spacing w:before="120" w:after="120" w:line="360" w:lineRule="auto"/>
        <w:jc w:val="both"/>
      </w:pPr>
      <w:r>
        <w:t>A comparison can be drawn to the Charter of Aged Care Rights across national government-funded aged care services, which sets out the core rights of any person accessing aged care services, including the right of access to advocacy.</w:t>
      </w:r>
      <w:r>
        <w:rPr>
          <w:rStyle w:val="FootnoteReference"/>
        </w:rPr>
        <w:footnoteReference w:id="1"/>
      </w:r>
      <w:r>
        <w:t xml:space="preserve"> </w:t>
      </w:r>
      <w:r w:rsidR="006F3AF2">
        <w:t xml:space="preserve">The legislated Charter increases the number of older persons able to access individual advocacy and </w:t>
      </w:r>
      <w:r w:rsidR="005338FE">
        <w:t>improv</w:t>
      </w:r>
      <w:r w:rsidR="006F3AF2">
        <w:t>es</w:t>
      </w:r>
      <w:r w:rsidR="005338FE">
        <w:t xml:space="preserve"> outcomes </w:t>
      </w:r>
      <w:r w:rsidR="00922EF4">
        <w:t>by increasing awareness amongst older persons of their rights as well as creating an</w:t>
      </w:r>
      <w:r w:rsidR="005C3456">
        <w:t xml:space="preserve"> obligation on providers to uphold them</w:t>
      </w:r>
      <w:r w:rsidR="007F033C">
        <w:t xml:space="preserve">. Many of our </w:t>
      </w:r>
      <w:r w:rsidR="00B43303">
        <w:t xml:space="preserve">aged care </w:t>
      </w:r>
      <w:r w:rsidR="007F033C">
        <w:t xml:space="preserve">clients are aware of their rights as there is a requirement for their aged care service provider to </w:t>
      </w:r>
      <w:r w:rsidR="00790AB4">
        <w:t xml:space="preserve">assist them to understand the Charter and </w:t>
      </w:r>
      <w:r w:rsidR="007F033C">
        <w:t xml:space="preserve">provide them with </w:t>
      </w:r>
      <w:r w:rsidR="00922EF4">
        <w:t xml:space="preserve">the </w:t>
      </w:r>
      <w:r w:rsidR="00790AB4">
        <w:t xml:space="preserve">opportunity to sign the </w:t>
      </w:r>
      <w:r w:rsidR="00922EF4">
        <w:t>Charter</w:t>
      </w:r>
      <w:r w:rsidR="007F033C">
        <w:t xml:space="preserve"> </w:t>
      </w:r>
      <w:r w:rsidR="007C1F47">
        <w:t>on entering aged care services.</w:t>
      </w:r>
      <w:r w:rsidR="005C3456">
        <w:rPr>
          <w:rStyle w:val="FootnoteReference"/>
        </w:rPr>
        <w:footnoteReference w:id="2"/>
      </w:r>
      <w:r w:rsidR="007C1F47">
        <w:t xml:space="preserve"> See below case studies</w:t>
      </w:r>
      <w:r w:rsidR="00A76BE6">
        <w:t xml:space="preserve"> </w:t>
      </w:r>
      <w:r w:rsidR="007C1F47">
        <w:t>highlighting the importance of legislated rights for older persons</w:t>
      </w:r>
      <w:r w:rsidR="00A76BE6">
        <w:t xml:space="preserve"> accessing aged care services</w:t>
      </w:r>
      <w:r w:rsidR="00922EF4">
        <w:t xml:space="preserve"> in keeping providers accountable for upholding client rights. </w:t>
      </w:r>
    </w:p>
    <w:p w14:paraId="599B0C91" w14:textId="77777777" w:rsidR="00FC7D77" w:rsidRDefault="00FC7D77" w:rsidP="006F3AF2">
      <w:pPr>
        <w:pStyle w:val="Heading2"/>
        <w:spacing w:before="120" w:after="120" w:line="360" w:lineRule="auto"/>
        <w:jc w:val="both"/>
      </w:pPr>
      <w:bookmarkStart w:id="4" w:name="_Toc145681984"/>
      <w:r>
        <w:lastRenderedPageBreak/>
        <w:t>Case study – Geoff</w:t>
      </w:r>
      <w:bookmarkEnd w:id="4"/>
    </w:p>
    <w:p w14:paraId="7D7A5851" w14:textId="68784E93" w:rsidR="00FC7D77" w:rsidRDefault="00FC7D77" w:rsidP="006F3AF2">
      <w:pPr>
        <w:spacing w:before="120" w:after="120" w:line="360" w:lineRule="auto"/>
        <w:jc w:val="both"/>
      </w:pPr>
      <w:r w:rsidRPr="008C28CE">
        <w:rPr>
          <w:color w:val="000000"/>
        </w:rPr>
        <w:t xml:space="preserve">Geoff resides in residential aged care and had complained about the standard of food to staff at the facility, however, did not feel as though the complaints were taken seriously and was told he needed to ‘complain higher’ if he wanted anything done about it. Geoff wanted to have his voice heard and engaged an advocate to make a complaint to the CEO. The advocate explained to Geoff his right under the Charter of Aged Care Rights to receive safe and </w:t>
      </w:r>
      <w:r w:rsidR="006F3AF2" w:rsidRPr="008C28CE">
        <w:rPr>
          <w:color w:val="000000"/>
        </w:rPr>
        <w:t>high-quality</w:t>
      </w:r>
      <w:r w:rsidRPr="008C28CE">
        <w:rPr>
          <w:color w:val="000000"/>
        </w:rPr>
        <w:t xml:space="preserve"> services</w:t>
      </w:r>
      <w:r>
        <w:rPr>
          <w:color w:val="000000"/>
        </w:rPr>
        <w:t>,</w:t>
      </w:r>
      <w:r>
        <w:rPr>
          <w:rStyle w:val="FootnoteReference"/>
          <w:color w:val="000000"/>
        </w:rPr>
        <w:footnoteReference w:id="3"/>
      </w:r>
      <w:r>
        <w:rPr>
          <w:color w:val="000000"/>
        </w:rPr>
        <w:t xml:space="preserve"> and his right to have an advocate support him</w:t>
      </w:r>
      <w:r w:rsidRPr="008C28CE">
        <w:rPr>
          <w:color w:val="000000"/>
        </w:rPr>
        <w:t>.</w:t>
      </w:r>
      <w:r>
        <w:rPr>
          <w:rStyle w:val="FootnoteReference"/>
          <w:color w:val="000000"/>
        </w:rPr>
        <w:footnoteReference w:id="4"/>
      </w:r>
      <w:r w:rsidRPr="008C28CE">
        <w:rPr>
          <w:color w:val="000000"/>
        </w:rPr>
        <w:t xml:space="preserve"> At Geoff’s direction the advocate met with the CEO of the service to raise his concerns on his behalf, highlighting his rights, and reques</w:t>
      </w:r>
      <w:r w:rsidR="00453653">
        <w:rPr>
          <w:color w:val="000000"/>
        </w:rPr>
        <w:t>ti</w:t>
      </w:r>
      <w:r w:rsidR="004E1EFC">
        <w:rPr>
          <w:color w:val="000000"/>
        </w:rPr>
        <w:t>ng</w:t>
      </w:r>
      <w:r w:rsidRPr="008C28CE">
        <w:rPr>
          <w:color w:val="000000"/>
        </w:rPr>
        <w:t xml:space="preserve"> a written response from the service </w:t>
      </w:r>
      <w:r w:rsidR="00922EF4">
        <w:rPr>
          <w:color w:val="000000"/>
        </w:rPr>
        <w:t xml:space="preserve">provider </w:t>
      </w:r>
      <w:r w:rsidRPr="008C28CE">
        <w:rPr>
          <w:color w:val="000000"/>
        </w:rPr>
        <w:t xml:space="preserve">to Geoff. The written response was </w:t>
      </w:r>
      <w:proofErr w:type="gramStart"/>
      <w:r w:rsidRPr="008C28CE">
        <w:rPr>
          <w:color w:val="000000"/>
        </w:rPr>
        <w:t>received</w:t>
      </w:r>
      <w:proofErr w:type="gramEnd"/>
      <w:r w:rsidRPr="008C28CE">
        <w:rPr>
          <w:color w:val="000000"/>
        </w:rPr>
        <w:t xml:space="preserve"> and Geoff reported some improvements within the facility.  </w:t>
      </w:r>
      <w:r>
        <w:rPr>
          <w:color w:val="000000"/>
        </w:rPr>
        <w:t xml:space="preserve">Highlighting the provider’s obligation to uphold Geoff’s rights was central to achieving a positive outcome. </w:t>
      </w:r>
    </w:p>
    <w:p w14:paraId="4D398AEC" w14:textId="2102A4D6" w:rsidR="00A9361A" w:rsidRDefault="005B42B6" w:rsidP="006F3AF2">
      <w:pPr>
        <w:pStyle w:val="Heading2"/>
        <w:spacing w:before="120" w:after="120" w:line="360" w:lineRule="auto"/>
        <w:jc w:val="both"/>
      </w:pPr>
      <w:bookmarkStart w:id="5" w:name="_Toc145681985"/>
      <w:r>
        <w:t xml:space="preserve">Case study </w:t>
      </w:r>
      <w:r w:rsidR="00A9361A">
        <w:t>–</w:t>
      </w:r>
      <w:r>
        <w:t xml:space="preserve"> </w:t>
      </w:r>
      <w:r w:rsidR="00A9361A">
        <w:t>Sylvia</w:t>
      </w:r>
      <w:bookmarkEnd w:id="5"/>
      <w:r w:rsidR="00A9361A">
        <w:t xml:space="preserve"> </w:t>
      </w:r>
    </w:p>
    <w:p w14:paraId="18CD913A" w14:textId="109FFA1D" w:rsidR="002258C5" w:rsidRDefault="00A9361A" w:rsidP="006F3AF2">
      <w:pPr>
        <w:spacing w:before="120" w:after="120" w:line="360" w:lineRule="auto"/>
        <w:jc w:val="both"/>
      </w:pPr>
      <w:r>
        <w:t>Sylvia was a resident of an aged care facility</w:t>
      </w:r>
      <w:r w:rsidR="005127F3">
        <w:t xml:space="preserve"> and </w:t>
      </w:r>
      <w:r w:rsidR="00FB0569">
        <w:t>experienced</w:t>
      </w:r>
      <w:r w:rsidR="005127F3">
        <w:t xml:space="preserve"> </w:t>
      </w:r>
      <w:r w:rsidR="00406A9D">
        <w:t>several</w:t>
      </w:r>
      <w:r w:rsidR="005127F3">
        <w:t xml:space="preserve"> concerns including </w:t>
      </w:r>
      <w:r w:rsidR="007C1F47">
        <w:t xml:space="preserve">regarding </w:t>
      </w:r>
      <w:r w:rsidR="00EE4A5D">
        <w:t>access to her information, refusal of information requests by the facility,</w:t>
      </w:r>
      <w:r w:rsidR="00FD0171">
        <w:t xml:space="preserve"> and breaches of </w:t>
      </w:r>
      <w:r w:rsidR="007C1F47">
        <w:t xml:space="preserve">the </w:t>
      </w:r>
      <w:r w:rsidR="00FD0171">
        <w:t xml:space="preserve">code of conduct by facility staff. </w:t>
      </w:r>
      <w:r w:rsidR="00EE4A5D">
        <w:t xml:space="preserve"> </w:t>
      </w:r>
      <w:r w:rsidR="00FB0569">
        <w:t xml:space="preserve">Sylvia sought advocacy assistance to </w:t>
      </w:r>
      <w:r w:rsidR="002258C5">
        <w:t xml:space="preserve">discuss her rights, assist with correspondence with the facility, and progress a complaint with the Aged Care Quality and Safety Commission. </w:t>
      </w:r>
      <w:r w:rsidR="00A25CF0">
        <w:t>Sylvia was a strong self-advocate and had</w:t>
      </w:r>
      <w:r w:rsidR="00AA49CF">
        <w:t xml:space="preserve"> arranged</w:t>
      </w:r>
      <w:r w:rsidR="00A25CF0">
        <w:t xml:space="preserve"> a meeting with the Board Chair of the aged care facility. </w:t>
      </w:r>
      <w:r w:rsidR="004E1EFC">
        <w:t xml:space="preserve">When </w:t>
      </w:r>
      <w:r w:rsidR="00BD6B6F">
        <w:t xml:space="preserve">Sylvia advised her advocate would be attending the meeting to support her, the Board Chair refused to proceed with the meeting. The advocate </w:t>
      </w:r>
      <w:r w:rsidR="007F73B3">
        <w:t xml:space="preserve">communicated with the Board Chair </w:t>
      </w:r>
      <w:r w:rsidR="002851AD">
        <w:t xml:space="preserve">to point out </w:t>
      </w:r>
      <w:r w:rsidR="007F73B3">
        <w:t>Sylvia’s legislated right under the Charter of Aged Care Rights to have support of an</w:t>
      </w:r>
      <w:r w:rsidR="004A402E">
        <w:t xml:space="preserve"> aged care</w:t>
      </w:r>
      <w:r w:rsidR="007F73B3">
        <w:t xml:space="preserve"> advocate.</w:t>
      </w:r>
      <w:r w:rsidR="00453653">
        <w:t xml:space="preserve"> </w:t>
      </w:r>
      <w:r w:rsidR="002851AD">
        <w:t xml:space="preserve">This highlights the importance of an explicitly legislated right to independent advocacy </w:t>
      </w:r>
      <w:r w:rsidR="00CA1E56">
        <w:t>to</w:t>
      </w:r>
      <w:r w:rsidR="00AA49CF">
        <w:t xml:space="preserve"> </w:t>
      </w:r>
      <w:r w:rsidR="00C828BC">
        <w:t xml:space="preserve">articulate </w:t>
      </w:r>
      <w:r w:rsidR="00AA49CF">
        <w:t xml:space="preserve">the obligation </w:t>
      </w:r>
      <w:r w:rsidR="00C828BC">
        <w:t xml:space="preserve">of </w:t>
      </w:r>
      <w:r w:rsidR="00AA49CF">
        <w:t>the provider</w:t>
      </w:r>
      <w:r w:rsidR="00CA1E56">
        <w:t xml:space="preserve"> to facilitate access to advocacy</w:t>
      </w:r>
      <w:r w:rsidR="004A402E">
        <w:t xml:space="preserve"> for the client</w:t>
      </w:r>
      <w:r w:rsidR="002851AD">
        <w:t xml:space="preserve">. </w:t>
      </w:r>
    </w:p>
    <w:p w14:paraId="408E8756" w14:textId="754DB044" w:rsidR="00E21E38" w:rsidRDefault="00E21E38" w:rsidP="006F3AF2">
      <w:pPr>
        <w:pStyle w:val="Heading1"/>
        <w:spacing w:before="120" w:after="120" w:line="360" w:lineRule="auto"/>
        <w:jc w:val="both"/>
      </w:pPr>
      <w:bookmarkStart w:id="6" w:name="_Toc145681986"/>
      <w:r>
        <w:t>Official Visitors Scheme</w:t>
      </w:r>
      <w:bookmarkEnd w:id="6"/>
      <w:r>
        <w:t xml:space="preserve"> </w:t>
      </w:r>
    </w:p>
    <w:p w14:paraId="14C16B26" w14:textId="77777777" w:rsidR="00D866B1" w:rsidRDefault="0010619D" w:rsidP="006F3AF2">
      <w:pPr>
        <w:spacing w:before="120" w:after="120" w:line="360" w:lineRule="auto"/>
        <w:jc w:val="both"/>
      </w:pPr>
      <w:r>
        <w:t>The</w:t>
      </w:r>
      <w:r w:rsidR="00496E68">
        <w:t xml:space="preserve"> Bill should incorporate an Official Visitor</w:t>
      </w:r>
      <w:r w:rsidR="00905766">
        <w:t xml:space="preserve">s </w:t>
      </w:r>
      <w:r w:rsidR="00496E68">
        <w:t xml:space="preserve">Scheme empowered to make frequent, unannounced visits to </w:t>
      </w:r>
      <w:r w:rsidR="006D7B27">
        <w:t xml:space="preserve">the premises of </w:t>
      </w:r>
      <w:r w:rsidR="00496E68">
        <w:t xml:space="preserve">services offering accommodation or </w:t>
      </w:r>
      <w:r w:rsidR="00E36A0A">
        <w:t xml:space="preserve">daytime support services to PWD. </w:t>
      </w:r>
      <w:r w:rsidR="007350BB">
        <w:t xml:space="preserve">This would allow the Official Visitor to both directly witness conditions in centre-based disability supports and maximise the opportunities for PWD to speak up about their experiences. </w:t>
      </w:r>
      <w:r w:rsidR="00CA7DAE">
        <w:t>We</w:t>
      </w:r>
      <w:r w:rsidR="003E69D3">
        <w:t xml:space="preserve"> note the Bill empowers the Commissioner to ‘establish and monitor safeguards’ </w:t>
      </w:r>
      <w:r w:rsidR="00E61D81">
        <w:t xml:space="preserve">(s24(h)) however </w:t>
      </w:r>
      <w:r w:rsidR="00922EF4">
        <w:t>it</w:t>
      </w:r>
      <w:r w:rsidR="00E61D81">
        <w:t xml:space="preserve"> could go further and </w:t>
      </w:r>
      <w:r w:rsidR="0091476D">
        <w:t>establish</w:t>
      </w:r>
      <w:r w:rsidR="00E61D81">
        <w:t xml:space="preserve"> the Official Visitors Scheme </w:t>
      </w:r>
      <w:r w:rsidR="00AB03BF">
        <w:t>as a safeguarding mechanism</w:t>
      </w:r>
      <w:r w:rsidR="00E61D81">
        <w:t xml:space="preserve">. </w:t>
      </w:r>
      <w:r w:rsidR="00921C12">
        <w:t xml:space="preserve">For example, </w:t>
      </w:r>
      <w:r w:rsidR="00820450">
        <w:t xml:space="preserve">official </w:t>
      </w:r>
      <w:r w:rsidR="00820450">
        <w:lastRenderedPageBreak/>
        <w:t>visitors are established</w:t>
      </w:r>
      <w:r w:rsidR="0062460B">
        <w:t xml:space="preserve"> in Tasmania</w:t>
      </w:r>
      <w:r w:rsidR="00820450">
        <w:t xml:space="preserve"> by the </w:t>
      </w:r>
      <w:r w:rsidR="00820450">
        <w:rPr>
          <w:i/>
          <w:iCs/>
        </w:rPr>
        <w:t>Corrections Act 1997</w:t>
      </w:r>
      <w:r w:rsidR="00DC24CC">
        <w:rPr>
          <w:i/>
          <w:iCs/>
        </w:rPr>
        <w:t xml:space="preserve"> </w:t>
      </w:r>
      <w:r w:rsidR="00DC24CC">
        <w:t>for prison facilities</w:t>
      </w:r>
      <w:r w:rsidR="00820450">
        <w:t>,</w:t>
      </w:r>
      <w:r w:rsidR="00820450">
        <w:rPr>
          <w:rStyle w:val="FootnoteReference"/>
        </w:rPr>
        <w:footnoteReference w:id="5"/>
      </w:r>
      <w:r w:rsidR="00820450">
        <w:t xml:space="preserve"> and by the </w:t>
      </w:r>
      <w:r w:rsidR="00820450">
        <w:rPr>
          <w:i/>
          <w:iCs/>
        </w:rPr>
        <w:t xml:space="preserve">Mental Health Act </w:t>
      </w:r>
      <w:r w:rsidR="00C15FD0">
        <w:rPr>
          <w:i/>
          <w:iCs/>
        </w:rPr>
        <w:t>2013</w:t>
      </w:r>
      <w:r w:rsidR="00C15FD0">
        <w:t xml:space="preserve"> for mental health </w:t>
      </w:r>
      <w:r w:rsidR="00810504">
        <w:t>facilities</w:t>
      </w:r>
      <w:r w:rsidR="00C15FD0">
        <w:t>.</w:t>
      </w:r>
      <w:r w:rsidR="00C15FD0">
        <w:rPr>
          <w:rStyle w:val="FootnoteReference"/>
        </w:rPr>
        <w:footnoteReference w:id="6"/>
      </w:r>
      <w:r w:rsidR="00C15FD0">
        <w:t xml:space="preserve"> </w:t>
      </w:r>
      <w:r w:rsidR="00820450">
        <w:t xml:space="preserve"> </w:t>
      </w:r>
    </w:p>
    <w:p w14:paraId="429F3E5B" w14:textId="3D9B2FFE" w:rsidR="00496E68" w:rsidRDefault="003836DE" w:rsidP="006F3AF2">
      <w:pPr>
        <w:spacing w:before="120" w:after="120" w:line="360" w:lineRule="auto"/>
        <w:jc w:val="both"/>
      </w:pPr>
      <w:r>
        <w:t xml:space="preserve">In the ACT, the Official Visitors </w:t>
      </w:r>
      <w:r w:rsidR="003C724C">
        <w:t xml:space="preserve">scheme </w:t>
      </w:r>
      <w:r>
        <w:t>applies to children and young people, corrections, mental health, disability and ho</w:t>
      </w:r>
      <w:r w:rsidR="003C724C">
        <w:t>melessness</w:t>
      </w:r>
      <w:r>
        <w:t>.</w:t>
      </w:r>
      <w:r>
        <w:rPr>
          <w:rStyle w:val="FootnoteReference"/>
        </w:rPr>
        <w:footnoteReference w:id="7"/>
      </w:r>
      <w:r>
        <w:t xml:space="preserve"> </w:t>
      </w:r>
      <w:r w:rsidR="00D866B1">
        <w:t>In terms of disability, visitable premises are respite facilities and long term residential facilities owned, rented, or operated by specialist disability providers or where specialist providers provide services.</w:t>
      </w:r>
      <w:r w:rsidR="00D866B1">
        <w:rPr>
          <w:rStyle w:val="FootnoteReference"/>
        </w:rPr>
        <w:footnoteReference w:id="8"/>
      </w:r>
      <w:r w:rsidR="00D866B1">
        <w:t xml:space="preserve"> </w:t>
      </w:r>
      <w:r w:rsidR="0062460B">
        <w:t>Official Visitors can observe conditions in service environments including interactions between staff and residents, communicate with residents regarding any specific issues, and identify any concerns</w:t>
      </w:r>
      <w:r w:rsidR="00A67F2A">
        <w:t xml:space="preserve">. </w:t>
      </w:r>
      <w:r w:rsidR="00D866B1">
        <w:t xml:space="preserve">Whilst it could be argued that unannounced visits to accommodation premises infringe on a person’s right to quiet enjoyment of their property, </w:t>
      </w:r>
      <w:r w:rsidR="00A67F2A">
        <w:t>the scheme is supported and overseen by the Minister for Human Rights via a reporting framework.</w:t>
      </w:r>
      <w:r w:rsidR="003C724C">
        <w:t xml:space="preserve"> The Bill should establish an Official Visitors Scheme overseen by the Disability Inclusion Commissioner. </w:t>
      </w:r>
    </w:p>
    <w:p w14:paraId="385FEDCE" w14:textId="7139A570" w:rsidR="004D752F" w:rsidRPr="004A402E" w:rsidRDefault="00810504" w:rsidP="006F3AF2">
      <w:pPr>
        <w:spacing w:before="120" w:after="120" w:line="360" w:lineRule="auto"/>
        <w:jc w:val="both"/>
        <w:rPr>
          <w:color w:val="000000" w:themeColor="text1"/>
        </w:rPr>
      </w:pPr>
      <w:r w:rsidRPr="004A402E">
        <w:rPr>
          <w:color w:val="000000" w:themeColor="text1"/>
        </w:rPr>
        <w:t>The Victorian Community Visitor model</w:t>
      </w:r>
      <w:r w:rsidR="0011760A" w:rsidRPr="004A402E">
        <w:rPr>
          <w:rStyle w:val="FootnoteReference"/>
          <w:color w:val="000000" w:themeColor="text1"/>
        </w:rPr>
        <w:t xml:space="preserve"> </w:t>
      </w:r>
      <w:r w:rsidRPr="004A402E">
        <w:rPr>
          <w:color w:val="000000" w:themeColor="text1"/>
        </w:rPr>
        <w:t>makes use of volunteer programs to ensure a high frequency of site visits</w:t>
      </w:r>
      <w:r w:rsidR="00020BB3">
        <w:rPr>
          <w:color w:val="000000" w:themeColor="text1"/>
        </w:rPr>
        <w:t xml:space="preserve"> </w:t>
      </w:r>
      <w:r w:rsidR="00577D5F">
        <w:rPr>
          <w:color w:val="000000" w:themeColor="text1"/>
        </w:rPr>
        <w:t>and could</w:t>
      </w:r>
      <w:r w:rsidRPr="004A402E">
        <w:rPr>
          <w:color w:val="000000" w:themeColor="text1"/>
        </w:rPr>
        <w:t xml:space="preserve"> provide a strong basis for an equivalent program in Tasmania</w:t>
      </w:r>
      <w:r w:rsidR="00577D5F">
        <w:rPr>
          <w:color w:val="000000" w:themeColor="text1"/>
        </w:rPr>
        <w:t>.</w:t>
      </w:r>
      <w:r w:rsidR="00020BB3" w:rsidRPr="00577D5F">
        <w:rPr>
          <w:rStyle w:val="FootnoteReference"/>
          <w:color w:val="000000" w:themeColor="text1"/>
        </w:rPr>
        <w:t xml:space="preserve"> </w:t>
      </w:r>
      <w:r w:rsidR="00020BB3" w:rsidRPr="004A402E">
        <w:rPr>
          <w:rStyle w:val="FootnoteReference"/>
          <w:color w:val="000000" w:themeColor="text1"/>
        </w:rPr>
        <w:footnoteReference w:id="9"/>
      </w:r>
      <w:r w:rsidR="00020BB3" w:rsidRPr="004A402E">
        <w:rPr>
          <w:color w:val="000000" w:themeColor="text1"/>
        </w:rPr>
        <w:t xml:space="preserve"> </w:t>
      </w:r>
      <w:r w:rsidR="00577D5F">
        <w:rPr>
          <w:color w:val="000000" w:themeColor="text1"/>
        </w:rPr>
        <w:t xml:space="preserve"> This model </w:t>
      </w:r>
      <w:r w:rsidRPr="004A402E">
        <w:rPr>
          <w:color w:val="000000" w:themeColor="text1"/>
        </w:rPr>
        <w:t>could be strengthened further by the</w:t>
      </w:r>
      <w:r w:rsidR="00BD30FC">
        <w:rPr>
          <w:color w:val="000000" w:themeColor="text1"/>
        </w:rPr>
        <w:t xml:space="preserve"> </w:t>
      </w:r>
      <w:r w:rsidRPr="004A402E">
        <w:rPr>
          <w:color w:val="000000" w:themeColor="text1"/>
        </w:rPr>
        <w:t>inclusion of centre-based daytime support services</w:t>
      </w:r>
      <w:r w:rsidR="00577D5F">
        <w:rPr>
          <w:color w:val="000000" w:themeColor="text1"/>
        </w:rPr>
        <w:t xml:space="preserve"> in addition to accommodation providers</w:t>
      </w:r>
      <w:r w:rsidRPr="004A402E">
        <w:rPr>
          <w:color w:val="000000" w:themeColor="text1"/>
        </w:rPr>
        <w:t>.</w:t>
      </w:r>
      <w:r w:rsidR="00475D6B" w:rsidRPr="004A402E">
        <w:rPr>
          <w:color w:val="000000" w:themeColor="text1"/>
        </w:rPr>
        <w:t xml:space="preserve"> </w:t>
      </w:r>
      <w:r w:rsidR="007576BE">
        <w:rPr>
          <w:color w:val="000000" w:themeColor="text1"/>
        </w:rPr>
        <w:t xml:space="preserve">It can be common for clients with communication barriers to struggle to speak up about their experiences. </w:t>
      </w:r>
      <w:r w:rsidR="005454CC" w:rsidRPr="004A402E">
        <w:rPr>
          <w:color w:val="000000" w:themeColor="text1"/>
        </w:rPr>
        <w:t>Many are reluctant to disclose issues relating to abuse or neglect in the service setting where it occurs due to fear of retribution</w:t>
      </w:r>
      <w:r w:rsidR="00A83503" w:rsidRPr="004A402E">
        <w:rPr>
          <w:color w:val="000000" w:themeColor="text1"/>
        </w:rPr>
        <w:t xml:space="preserve">. However, some PWD may be more likely to disclose in the setting where incidents occurred as the physical </w:t>
      </w:r>
      <w:r w:rsidR="00F73B0F">
        <w:rPr>
          <w:color w:val="000000" w:themeColor="text1"/>
        </w:rPr>
        <w:t>surroundings</w:t>
      </w:r>
      <w:r w:rsidR="00A83503" w:rsidRPr="004A402E">
        <w:rPr>
          <w:color w:val="000000" w:themeColor="text1"/>
        </w:rPr>
        <w:t xml:space="preserve"> assist</w:t>
      </w:r>
      <w:r w:rsidR="00922EF4">
        <w:rPr>
          <w:color w:val="000000" w:themeColor="text1"/>
        </w:rPr>
        <w:t xml:space="preserve"> </w:t>
      </w:r>
      <w:r w:rsidR="00A83503" w:rsidRPr="004A402E">
        <w:rPr>
          <w:color w:val="000000" w:themeColor="text1"/>
        </w:rPr>
        <w:t>to prompt memories</w:t>
      </w:r>
      <w:r w:rsidR="00F73B0F">
        <w:rPr>
          <w:color w:val="000000" w:themeColor="text1"/>
        </w:rPr>
        <w:t xml:space="preserve"> of events</w:t>
      </w:r>
      <w:r w:rsidR="007350BB" w:rsidRPr="004A402E">
        <w:rPr>
          <w:color w:val="000000" w:themeColor="text1"/>
        </w:rPr>
        <w:t xml:space="preserve">. </w:t>
      </w:r>
      <w:r w:rsidR="00DC24CC" w:rsidRPr="004A402E">
        <w:t>See below case studies for examples where a client may have benefitted from this scheme to observe or disclose their concerns.</w:t>
      </w:r>
    </w:p>
    <w:p w14:paraId="7FBF65AE" w14:textId="5581ADDC" w:rsidR="00475A24" w:rsidRDefault="00196655" w:rsidP="006F3AF2">
      <w:pPr>
        <w:pStyle w:val="Heading2"/>
        <w:spacing w:before="120" w:after="120" w:line="360" w:lineRule="auto"/>
        <w:jc w:val="both"/>
      </w:pPr>
      <w:bookmarkStart w:id="7" w:name="_Toc145681987"/>
      <w:r>
        <w:t xml:space="preserve">Case study </w:t>
      </w:r>
      <w:r w:rsidR="00475A24">
        <w:t>–</w:t>
      </w:r>
      <w:r>
        <w:t xml:space="preserve"> </w:t>
      </w:r>
      <w:r w:rsidR="00475A24">
        <w:t>Jacinta</w:t>
      </w:r>
      <w:bookmarkEnd w:id="7"/>
      <w:r w:rsidR="00475A24">
        <w:t xml:space="preserve"> </w:t>
      </w:r>
    </w:p>
    <w:p w14:paraId="186D4157" w14:textId="396370AB" w:rsidR="00475A24" w:rsidRPr="00475A24" w:rsidRDefault="00475A24" w:rsidP="006F3AF2">
      <w:pPr>
        <w:pStyle w:val="NormalWeb"/>
        <w:spacing w:before="120" w:beforeAutospacing="0" w:after="120" w:afterAutospacing="0" w:line="360" w:lineRule="auto"/>
        <w:jc w:val="both"/>
        <w:rPr>
          <w:rFonts w:asciiTheme="minorHAnsi" w:hAnsiTheme="minorHAnsi" w:cstheme="minorHAnsi"/>
          <w:color w:val="000000"/>
          <w:sz w:val="22"/>
          <w:szCs w:val="22"/>
        </w:rPr>
      </w:pPr>
      <w:r w:rsidRPr="00475A24">
        <w:rPr>
          <w:rFonts w:asciiTheme="minorHAnsi" w:hAnsiTheme="minorHAnsi" w:cstheme="minorHAnsi"/>
          <w:color w:val="000000"/>
          <w:sz w:val="22"/>
          <w:szCs w:val="22"/>
        </w:rPr>
        <w:t>Jacinta, a woman with a neurological disability, is a National Disability Insurance Scheme (NDIS) participant</w:t>
      </w:r>
      <w:r w:rsidR="007350BB">
        <w:rPr>
          <w:rFonts w:asciiTheme="minorHAnsi" w:hAnsiTheme="minorHAnsi" w:cstheme="minorHAnsi"/>
          <w:color w:val="000000"/>
          <w:sz w:val="22"/>
          <w:szCs w:val="22"/>
        </w:rPr>
        <w:t xml:space="preserve"> and </w:t>
      </w:r>
      <w:r w:rsidRPr="00475A24">
        <w:rPr>
          <w:rFonts w:asciiTheme="minorHAnsi" w:hAnsiTheme="minorHAnsi" w:cstheme="minorHAnsi"/>
          <w:color w:val="000000"/>
          <w:sz w:val="22"/>
          <w:szCs w:val="22"/>
        </w:rPr>
        <w:t xml:space="preserve">lives in a group home. She reported that her housemate always shouts profanities at her and </w:t>
      </w:r>
      <w:r w:rsidR="00DA3392">
        <w:rPr>
          <w:rFonts w:asciiTheme="minorHAnsi" w:hAnsiTheme="minorHAnsi" w:cstheme="minorHAnsi"/>
          <w:color w:val="000000"/>
          <w:sz w:val="22"/>
          <w:szCs w:val="22"/>
        </w:rPr>
        <w:t xml:space="preserve">often </w:t>
      </w:r>
      <w:r w:rsidRPr="00475A24">
        <w:rPr>
          <w:rFonts w:asciiTheme="minorHAnsi" w:hAnsiTheme="minorHAnsi" w:cstheme="minorHAnsi"/>
          <w:color w:val="000000"/>
          <w:sz w:val="22"/>
          <w:szCs w:val="22"/>
        </w:rPr>
        <w:t>make</w:t>
      </w:r>
      <w:r w:rsidR="00DA3392">
        <w:rPr>
          <w:rFonts w:asciiTheme="minorHAnsi" w:hAnsiTheme="minorHAnsi" w:cstheme="minorHAnsi"/>
          <w:color w:val="000000"/>
          <w:sz w:val="22"/>
          <w:szCs w:val="22"/>
        </w:rPr>
        <w:t>s</w:t>
      </w:r>
      <w:r w:rsidRPr="00475A24">
        <w:rPr>
          <w:rFonts w:asciiTheme="minorHAnsi" w:hAnsiTheme="minorHAnsi" w:cstheme="minorHAnsi"/>
          <w:color w:val="000000"/>
          <w:sz w:val="22"/>
          <w:szCs w:val="22"/>
        </w:rPr>
        <w:t xml:space="preserve"> physical threats toward her. </w:t>
      </w:r>
      <w:r w:rsidR="007350BB">
        <w:rPr>
          <w:rFonts w:asciiTheme="minorHAnsi" w:hAnsiTheme="minorHAnsi" w:cstheme="minorHAnsi"/>
          <w:color w:val="000000"/>
          <w:sz w:val="22"/>
          <w:szCs w:val="22"/>
        </w:rPr>
        <w:t>Jacinta advise</w:t>
      </w:r>
      <w:r w:rsidR="00DA3392">
        <w:rPr>
          <w:rFonts w:asciiTheme="minorHAnsi" w:hAnsiTheme="minorHAnsi" w:cstheme="minorHAnsi"/>
          <w:color w:val="000000"/>
          <w:sz w:val="22"/>
          <w:szCs w:val="22"/>
        </w:rPr>
        <w:t>d</w:t>
      </w:r>
      <w:r w:rsidR="007350BB">
        <w:rPr>
          <w:rFonts w:asciiTheme="minorHAnsi" w:hAnsiTheme="minorHAnsi" w:cstheme="minorHAnsi"/>
          <w:color w:val="000000"/>
          <w:sz w:val="22"/>
          <w:szCs w:val="22"/>
        </w:rPr>
        <w:t xml:space="preserve"> she </w:t>
      </w:r>
      <w:r w:rsidR="00DA3392" w:rsidRPr="00475A24">
        <w:rPr>
          <w:rFonts w:asciiTheme="minorHAnsi" w:hAnsiTheme="minorHAnsi" w:cstheme="minorHAnsi"/>
          <w:color w:val="000000"/>
          <w:sz w:val="22"/>
          <w:szCs w:val="22"/>
        </w:rPr>
        <w:t>must</w:t>
      </w:r>
      <w:r w:rsidRPr="00475A24">
        <w:rPr>
          <w:rFonts w:asciiTheme="minorHAnsi" w:hAnsiTheme="minorHAnsi" w:cstheme="minorHAnsi"/>
          <w:color w:val="000000"/>
          <w:sz w:val="22"/>
          <w:szCs w:val="22"/>
        </w:rPr>
        <w:t xml:space="preserve"> lock herself in the room so her housemate </w:t>
      </w:r>
      <w:r w:rsidR="004B080D">
        <w:rPr>
          <w:rFonts w:asciiTheme="minorHAnsi" w:hAnsiTheme="minorHAnsi" w:cstheme="minorHAnsi"/>
          <w:color w:val="000000"/>
          <w:sz w:val="22"/>
          <w:szCs w:val="22"/>
        </w:rPr>
        <w:t xml:space="preserve">cannot </w:t>
      </w:r>
      <w:r w:rsidRPr="00475A24">
        <w:rPr>
          <w:rFonts w:asciiTheme="minorHAnsi" w:hAnsiTheme="minorHAnsi" w:cstheme="minorHAnsi"/>
          <w:color w:val="000000"/>
          <w:sz w:val="22"/>
          <w:szCs w:val="22"/>
        </w:rPr>
        <w:t>harm her</w:t>
      </w:r>
      <w:r w:rsidR="00DA3392">
        <w:rPr>
          <w:rFonts w:asciiTheme="minorHAnsi" w:hAnsiTheme="minorHAnsi" w:cstheme="minorHAnsi"/>
          <w:color w:val="000000"/>
          <w:sz w:val="22"/>
          <w:szCs w:val="22"/>
        </w:rPr>
        <w:t>, and sh</w:t>
      </w:r>
      <w:r w:rsidRPr="00475A24">
        <w:rPr>
          <w:rFonts w:asciiTheme="minorHAnsi" w:hAnsiTheme="minorHAnsi" w:cstheme="minorHAnsi"/>
          <w:color w:val="000000"/>
          <w:sz w:val="22"/>
          <w:szCs w:val="22"/>
        </w:rPr>
        <w:t>e does not feel safe at her home. However, she would like to continue to live in that group home.</w:t>
      </w:r>
      <w:r w:rsidR="00A76BE6">
        <w:rPr>
          <w:rFonts w:asciiTheme="minorHAnsi" w:hAnsiTheme="minorHAnsi" w:cstheme="minorHAnsi"/>
          <w:color w:val="000000"/>
          <w:sz w:val="22"/>
          <w:szCs w:val="22"/>
        </w:rPr>
        <w:t xml:space="preserve"> </w:t>
      </w:r>
      <w:r w:rsidRPr="00475A24">
        <w:rPr>
          <w:rFonts w:asciiTheme="minorHAnsi" w:hAnsiTheme="minorHAnsi" w:cstheme="minorHAnsi"/>
          <w:color w:val="000000"/>
          <w:sz w:val="22"/>
          <w:szCs w:val="22"/>
        </w:rPr>
        <w:t xml:space="preserve">The group home staff and management </w:t>
      </w:r>
      <w:r w:rsidR="00DA3392">
        <w:rPr>
          <w:rFonts w:asciiTheme="minorHAnsi" w:hAnsiTheme="minorHAnsi" w:cstheme="minorHAnsi"/>
          <w:color w:val="000000"/>
          <w:sz w:val="22"/>
          <w:szCs w:val="22"/>
        </w:rPr>
        <w:t>were</w:t>
      </w:r>
      <w:r w:rsidRPr="00475A24">
        <w:rPr>
          <w:rFonts w:asciiTheme="minorHAnsi" w:hAnsiTheme="minorHAnsi" w:cstheme="minorHAnsi"/>
          <w:color w:val="000000"/>
          <w:sz w:val="22"/>
          <w:szCs w:val="22"/>
        </w:rPr>
        <w:t xml:space="preserve"> </w:t>
      </w:r>
      <w:r w:rsidR="000227D6" w:rsidRPr="00475A24">
        <w:rPr>
          <w:rFonts w:asciiTheme="minorHAnsi" w:hAnsiTheme="minorHAnsi" w:cstheme="minorHAnsi"/>
          <w:color w:val="000000"/>
          <w:sz w:val="22"/>
          <w:szCs w:val="22"/>
        </w:rPr>
        <w:t>aware</w:t>
      </w:r>
      <w:r w:rsidRPr="00475A24">
        <w:rPr>
          <w:rFonts w:asciiTheme="minorHAnsi" w:hAnsiTheme="minorHAnsi" w:cstheme="minorHAnsi"/>
          <w:color w:val="000000"/>
          <w:sz w:val="22"/>
          <w:szCs w:val="22"/>
        </w:rPr>
        <w:t xml:space="preserve"> of the issue</w:t>
      </w:r>
      <w:r w:rsidR="00DA3392">
        <w:rPr>
          <w:rFonts w:asciiTheme="minorHAnsi" w:hAnsiTheme="minorHAnsi" w:cstheme="minorHAnsi"/>
          <w:color w:val="000000"/>
          <w:sz w:val="22"/>
          <w:szCs w:val="22"/>
        </w:rPr>
        <w:t xml:space="preserve"> and</w:t>
      </w:r>
      <w:r w:rsidRPr="00475A24">
        <w:rPr>
          <w:rFonts w:asciiTheme="minorHAnsi" w:hAnsiTheme="minorHAnsi" w:cstheme="minorHAnsi"/>
          <w:color w:val="000000"/>
          <w:sz w:val="22"/>
          <w:szCs w:val="22"/>
        </w:rPr>
        <w:t xml:space="preserve"> Jacinta had reflected her concerns to the group home management on many occasions, but her efforts were to no avail. She sought advocacy support to communicate with the group home management.</w:t>
      </w:r>
    </w:p>
    <w:p w14:paraId="3DAEF28D" w14:textId="78A15D0F" w:rsidR="00BE6FC9" w:rsidRDefault="00475A24" w:rsidP="006F3AF2">
      <w:pPr>
        <w:pStyle w:val="NormalWeb"/>
        <w:spacing w:before="120" w:beforeAutospacing="0" w:after="120" w:afterAutospacing="0" w:line="360" w:lineRule="auto"/>
        <w:jc w:val="both"/>
        <w:rPr>
          <w:rFonts w:asciiTheme="minorHAnsi" w:hAnsiTheme="minorHAnsi" w:cstheme="minorHAnsi"/>
          <w:color w:val="000000"/>
          <w:sz w:val="22"/>
          <w:szCs w:val="22"/>
        </w:rPr>
      </w:pPr>
      <w:r w:rsidRPr="00475A24">
        <w:rPr>
          <w:rFonts w:asciiTheme="minorHAnsi" w:hAnsiTheme="minorHAnsi" w:cstheme="minorHAnsi"/>
          <w:color w:val="000000"/>
          <w:sz w:val="22"/>
          <w:szCs w:val="22"/>
        </w:rPr>
        <w:lastRenderedPageBreak/>
        <w:t xml:space="preserve">Contrasting with what Jacinta said, the group home management told </w:t>
      </w:r>
      <w:r w:rsidR="00B83FFF">
        <w:rPr>
          <w:rFonts w:asciiTheme="minorHAnsi" w:hAnsiTheme="minorHAnsi" w:cstheme="minorHAnsi"/>
          <w:color w:val="000000"/>
          <w:sz w:val="22"/>
          <w:szCs w:val="22"/>
        </w:rPr>
        <w:t>the a</w:t>
      </w:r>
      <w:r w:rsidRPr="00475A24">
        <w:rPr>
          <w:rFonts w:asciiTheme="minorHAnsi" w:hAnsiTheme="minorHAnsi" w:cstheme="minorHAnsi"/>
          <w:color w:val="000000"/>
          <w:sz w:val="22"/>
          <w:szCs w:val="22"/>
        </w:rPr>
        <w:t xml:space="preserve">dvocate that Jacinta and the housemate in question </w:t>
      </w:r>
      <w:r w:rsidR="00DA3392">
        <w:rPr>
          <w:rFonts w:asciiTheme="minorHAnsi" w:hAnsiTheme="minorHAnsi" w:cstheme="minorHAnsi"/>
          <w:color w:val="000000"/>
          <w:sz w:val="22"/>
          <w:szCs w:val="22"/>
        </w:rPr>
        <w:t>were</w:t>
      </w:r>
      <w:r w:rsidRPr="00475A24">
        <w:rPr>
          <w:rFonts w:asciiTheme="minorHAnsi" w:hAnsiTheme="minorHAnsi" w:cstheme="minorHAnsi"/>
          <w:color w:val="000000"/>
          <w:sz w:val="22"/>
          <w:szCs w:val="22"/>
        </w:rPr>
        <w:t xml:space="preserve"> working with a behavioural specialist to address concerns, and there </w:t>
      </w:r>
      <w:r w:rsidR="00DA3392">
        <w:rPr>
          <w:rFonts w:asciiTheme="minorHAnsi" w:hAnsiTheme="minorHAnsi" w:cstheme="minorHAnsi"/>
          <w:color w:val="000000"/>
          <w:sz w:val="22"/>
          <w:szCs w:val="22"/>
        </w:rPr>
        <w:t xml:space="preserve">were </w:t>
      </w:r>
      <w:r w:rsidRPr="00475A24">
        <w:rPr>
          <w:rFonts w:asciiTheme="minorHAnsi" w:hAnsiTheme="minorHAnsi" w:cstheme="minorHAnsi"/>
          <w:color w:val="000000"/>
          <w:sz w:val="22"/>
          <w:szCs w:val="22"/>
        </w:rPr>
        <w:t>no incidents recorded between them. The management also said that the client would like to move to another group home.</w:t>
      </w:r>
      <w:r w:rsidR="00C0535E">
        <w:rPr>
          <w:rFonts w:asciiTheme="minorHAnsi" w:hAnsiTheme="minorHAnsi" w:cstheme="minorHAnsi"/>
          <w:color w:val="000000"/>
          <w:sz w:val="22"/>
          <w:szCs w:val="22"/>
        </w:rPr>
        <w:t xml:space="preserve"> </w:t>
      </w:r>
      <w:r w:rsidRPr="00475A24">
        <w:rPr>
          <w:rFonts w:asciiTheme="minorHAnsi" w:hAnsiTheme="minorHAnsi" w:cstheme="minorHAnsi"/>
          <w:color w:val="000000"/>
          <w:sz w:val="22"/>
          <w:szCs w:val="22"/>
        </w:rPr>
        <w:t>Jacinta advised</w:t>
      </w:r>
      <w:r w:rsidR="00C0535E">
        <w:rPr>
          <w:rFonts w:asciiTheme="minorHAnsi" w:hAnsiTheme="minorHAnsi" w:cstheme="minorHAnsi"/>
          <w:color w:val="000000"/>
          <w:sz w:val="22"/>
          <w:szCs w:val="22"/>
        </w:rPr>
        <w:t xml:space="preserve"> she was disappointed with the group home management.</w:t>
      </w:r>
      <w:r w:rsidR="00B83FFF">
        <w:rPr>
          <w:rFonts w:asciiTheme="minorHAnsi" w:hAnsiTheme="minorHAnsi" w:cstheme="minorHAnsi"/>
          <w:color w:val="000000"/>
          <w:sz w:val="22"/>
          <w:szCs w:val="22"/>
        </w:rPr>
        <w:t xml:space="preserve"> If an Official Visitor had been empowered to visit the group home,</w:t>
      </w:r>
      <w:r w:rsidR="000227D6">
        <w:rPr>
          <w:rFonts w:asciiTheme="minorHAnsi" w:hAnsiTheme="minorHAnsi" w:cstheme="minorHAnsi"/>
          <w:color w:val="000000"/>
          <w:sz w:val="22"/>
          <w:szCs w:val="22"/>
        </w:rPr>
        <w:t xml:space="preserve"> they may have witnessed these incidents, </w:t>
      </w:r>
      <w:r w:rsidR="00C0535E">
        <w:rPr>
          <w:rFonts w:asciiTheme="minorHAnsi" w:hAnsiTheme="minorHAnsi" w:cstheme="minorHAnsi"/>
          <w:color w:val="000000"/>
          <w:sz w:val="22"/>
          <w:szCs w:val="22"/>
        </w:rPr>
        <w:t xml:space="preserve">which would have assisted </w:t>
      </w:r>
      <w:r w:rsidR="005D4D91">
        <w:rPr>
          <w:rFonts w:asciiTheme="minorHAnsi" w:hAnsiTheme="minorHAnsi" w:cstheme="minorHAnsi"/>
          <w:color w:val="000000"/>
          <w:sz w:val="22"/>
          <w:szCs w:val="22"/>
        </w:rPr>
        <w:t>Jacinta in corroborating her experience to the management</w:t>
      </w:r>
      <w:r w:rsidR="007E40A9">
        <w:rPr>
          <w:rFonts w:asciiTheme="minorHAnsi" w:hAnsiTheme="minorHAnsi" w:cstheme="minorHAnsi"/>
          <w:color w:val="000000"/>
          <w:sz w:val="22"/>
          <w:szCs w:val="22"/>
        </w:rPr>
        <w:t>, or alternatively</w:t>
      </w:r>
      <w:r w:rsidR="004B080D">
        <w:rPr>
          <w:rFonts w:asciiTheme="minorHAnsi" w:hAnsiTheme="minorHAnsi" w:cstheme="minorHAnsi"/>
          <w:color w:val="000000"/>
          <w:sz w:val="22"/>
          <w:szCs w:val="22"/>
        </w:rPr>
        <w:t>(comma)</w:t>
      </w:r>
      <w:r w:rsidR="007E40A9">
        <w:rPr>
          <w:rFonts w:asciiTheme="minorHAnsi" w:hAnsiTheme="minorHAnsi" w:cstheme="minorHAnsi"/>
          <w:color w:val="000000"/>
          <w:sz w:val="22"/>
          <w:szCs w:val="22"/>
        </w:rPr>
        <w:t xml:space="preserve"> provided Jacinta an earlier opportunity to raise her concerns directly with the Visitor. </w:t>
      </w:r>
    </w:p>
    <w:p w14:paraId="117E78A8" w14:textId="45C2C0F4" w:rsidR="006945B9" w:rsidRDefault="00BE6FC9" w:rsidP="006F3AF2">
      <w:pPr>
        <w:pStyle w:val="Heading2"/>
        <w:spacing w:before="120" w:after="120" w:line="360" w:lineRule="auto"/>
        <w:jc w:val="both"/>
      </w:pPr>
      <w:bookmarkStart w:id="8" w:name="_Toc145681988"/>
      <w:r>
        <w:t xml:space="preserve">Case study </w:t>
      </w:r>
      <w:r w:rsidR="006945B9">
        <w:t>–</w:t>
      </w:r>
      <w:r>
        <w:t xml:space="preserve"> </w:t>
      </w:r>
      <w:r w:rsidR="006945B9">
        <w:t>Jamie</w:t>
      </w:r>
      <w:bookmarkEnd w:id="8"/>
      <w:r w:rsidR="006945B9">
        <w:t xml:space="preserve"> </w:t>
      </w:r>
    </w:p>
    <w:p w14:paraId="2839FFC3" w14:textId="38F6A500" w:rsidR="006945B9" w:rsidRPr="006945B9" w:rsidRDefault="006945B9" w:rsidP="006F3AF2">
      <w:pPr>
        <w:pStyle w:val="NormalWeb"/>
        <w:spacing w:before="120" w:beforeAutospacing="0" w:after="120" w:afterAutospacing="0" w:line="360" w:lineRule="auto"/>
        <w:jc w:val="both"/>
        <w:rPr>
          <w:rFonts w:asciiTheme="minorHAnsi" w:hAnsiTheme="minorHAnsi" w:cstheme="minorHAnsi"/>
          <w:color w:val="000000"/>
          <w:sz w:val="22"/>
          <w:szCs w:val="22"/>
        </w:rPr>
      </w:pPr>
      <w:r w:rsidRPr="006945B9">
        <w:rPr>
          <w:rFonts w:asciiTheme="minorHAnsi" w:hAnsiTheme="minorHAnsi" w:cstheme="minorHAnsi"/>
          <w:color w:val="000000"/>
          <w:sz w:val="22"/>
          <w:szCs w:val="22"/>
        </w:rPr>
        <w:t>Jamie, a young person with a neurological disability, is a NDIS participant</w:t>
      </w:r>
      <w:r w:rsidR="005D4D91">
        <w:rPr>
          <w:rFonts w:asciiTheme="minorHAnsi" w:hAnsiTheme="minorHAnsi" w:cstheme="minorHAnsi"/>
          <w:color w:val="000000"/>
          <w:sz w:val="22"/>
          <w:szCs w:val="22"/>
        </w:rPr>
        <w:t xml:space="preserve"> and</w:t>
      </w:r>
      <w:r w:rsidRPr="006945B9">
        <w:rPr>
          <w:rFonts w:asciiTheme="minorHAnsi" w:hAnsiTheme="minorHAnsi" w:cstheme="minorHAnsi"/>
          <w:color w:val="000000"/>
          <w:sz w:val="22"/>
          <w:szCs w:val="22"/>
        </w:rPr>
        <w:t xml:space="preserve"> </w:t>
      </w:r>
      <w:r w:rsidR="0011743C">
        <w:rPr>
          <w:rFonts w:asciiTheme="minorHAnsi" w:hAnsiTheme="minorHAnsi" w:cstheme="minorHAnsi"/>
          <w:color w:val="000000"/>
          <w:sz w:val="22"/>
          <w:szCs w:val="22"/>
        </w:rPr>
        <w:t xml:space="preserve">a </w:t>
      </w:r>
      <w:r w:rsidRPr="006945B9">
        <w:rPr>
          <w:rFonts w:asciiTheme="minorHAnsi" w:hAnsiTheme="minorHAnsi" w:cstheme="minorHAnsi"/>
          <w:color w:val="000000"/>
          <w:sz w:val="22"/>
          <w:szCs w:val="22"/>
        </w:rPr>
        <w:t xml:space="preserve">resident of a private care facility. </w:t>
      </w:r>
      <w:r w:rsidR="005D4D91">
        <w:rPr>
          <w:rFonts w:asciiTheme="minorHAnsi" w:hAnsiTheme="minorHAnsi" w:cstheme="minorHAnsi"/>
          <w:color w:val="000000"/>
          <w:sz w:val="22"/>
          <w:szCs w:val="22"/>
        </w:rPr>
        <w:t>The facility management are husband and wife, and Jamie advised his advocate that the management abused him</w:t>
      </w:r>
      <w:r w:rsidR="00E56A67">
        <w:rPr>
          <w:rFonts w:asciiTheme="minorHAnsi" w:hAnsiTheme="minorHAnsi" w:cstheme="minorHAnsi"/>
          <w:color w:val="000000"/>
          <w:sz w:val="22"/>
          <w:szCs w:val="22"/>
        </w:rPr>
        <w:t xml:space="preserve">; </w:t>
      </w:r>
      <w:r w:rsidR="005D4D91">
        <w:rPr>
          <w:rFonts w:asciiTheme="minorHAnsi" w:hAnsiTheme="minorHAnsi" w:cstheme="minorHAnsi"/>
          <w:color w:val="000000"/>
          <w:sz w:val="22"/>
          <w:szCs w:val="22"/>
        </w:rPr>
        <w:t xml:space="preserve">he was forced to attend activities he did not wish to </w:t>
      </w:r>
      <w:r w:rsidR="002F3498">
        <w:rPr>
          <w:rFonts w:asciiTheme="minorHAnsi" w:hAnsiTheme="minorHAnsi" w:cstheme="minorHAnsi"/>
          <w:color w:val="000000"/>
          <w:sz w:val="22"/>
          <w:szCs w:val="22"/>
        </w:rPr>
        <w:t>so the man</w:t>
      </w:r>
      <w:r w:rsidR="00E56A67">
        <w:rPr>
          <w:rFonts w:asciiTheme="minorHAnsi" w:hAnsiTheme="minorHAnsi" w:cstheme="minorHAnsi"/>
          <w:color w:val="000000"/>
          <w:sz w:val="22"/>
          <w:szCs w:val="22"/>
        </w:rPr>
        <w:t xml:space="preserve">agement could gain a financial benefit; they stopped him from attending group-based activities outside of the facility; they </w:t>
      </w:r>
      <w:r w:rsidR="00CB0580">
        <w:rPr>
          <w:rFonts w:asciiTheme="minorHAnsi" w:hAnsiTheme="minorHAnsi" w:cstheme="minorHAnsi"/>
          <w:color w:val="000000"/>
          <w:sz w:val="22"/>
          <w:szCs w:val="22"/>
        </w:rPr>
        <w:t xml:space="preserve">imposed a curfew on him and locked him out in the cold if he did not return by 9pm; they turned the </w:t>
      </w:r>
      <w:r w:rsidR="00BD30FC">
        <w:rPr>
          <w:rFonts w:asciiTheme="minorHAnsi" w:hAnsiTheme="minorHAnsi" w:cstheme="minorHAnsi"/>
          <w:color w:val="000000"/>
          <w:sz w:val="22"/>
          <w:szCs w:val="22"/>
        </w:rPr>
        <w:t>Wi-Fi</w:t>
      </w:r>
      <w:r w:rsidR="00CB0580">
        <w:rPr>
          <w:rFonts w:asciiTheme="minorHAnsi" w:hAnsiTheme="minorHAnsi" w:cstheme="minorHAnsi"/>
          <w:color w:val="000000"/>
          <w:sz w:val="22"/>
          <w:szCs w:val="22"/>
        </w:rPr>
        <w:t xml:space="preserve"> off at 10pm although he paid for the </w:t>
      </w:r>
      <w:r w:rsidR="00BD30FC">
        <w:rPr>
          <w:rFonts w:asciiTheme="minorHAnsi" w:hAnsiTheme="minorHAnsi" w:cstheme="minorHAnsi"/>
          <w:color w:val="000000"/>
          <w:sz w:val="22"/>
          <w:szCs w:val="22"/>
        </w:rPr>
        <w:t>Wi-Fi</w:t>
      </w:r>
      <w:r w:rsidR="00CB0580">
        <w:rPr>
          <w:rFonts w:asciiTheme="minorHAnsi" w:hAnsiTheme="minorHAnsi" w:cstheme="minorHAnsi"/>
          <w:color w:val="000000"/>
          <w:sz w:val="22"/>
          <w:szCs w:val="22"/>
        </w:rPr>
        <w:t xml:space="preserve">; </w:t>
      </w:r>
      <w:r w:rsidR="0091023A">
        <w:rPr>
          <w:rFonts w:asciiTheme="minorHAnsi" w:hAnsiTheme="minorHAnsi" w:cstheme="minorHAnsi"/>
          <w:color w:val="000000"/>
          <w:sz w:val="22"/>
          <w:szCs w:val="22"/>
        </w:rPr>
        <w:t xml:space="preserve">they used his card to purchase groceries which were not for him; and </w:t>
      </w:r>
      <w:r w:rsidR="0011743C">
        <w:rPr>
          <w:rFonts w:asciiTheme="minorHAnsi" w:hAnsiTheme="minorHAnsi" w:cstheme="minorHAnsi"/>
          <w:color w:val="000000"/>
          <w:sz w:val="22"/>
          <w:szCs w:val="22"/>
        </w:rPr>
        <w:t xml:space="preserve">limited his cigarette usage although he uses his own money to purchase cigarettes and is not under a guardianship or administration order. </w:t>
      </w:r>
    </w:p>
    <w:p w14:paraId="322E09BB" w14:textId="0C0556F5" w:rsidR="002572AF" w:rsidRDefault="006945B9" w:rsidP="006F3AF2">
      <w:pPr>
        <w:pStyle w:val="NormalWeb"/>
        <w:spacing w:before="120" w:beforeAutospacing="0" w:after="120" w:afterAutospacing="0" w:line="360" w:lineRule="auto"/>
        <w:jc w:val="both"/>
        <w:rPr>
          <w:rFonts w:asciiTheme="minorHAnsi" w:hAnsiTheme="minorHAnsi" w:cstheme="minorHAnsi"/>
          <w:color w:val="000000"/>
          <w:sz w:val="22"/>
          <w:szCs w:val="22"/>
        </w:rPr>
      </w:pPr>
      <w:r w:rsidRPr="006945B9">
        <w:rPr>
          <w:rFonts w:asciiTheme="minorHAnsi" w:hAnsiTheme="minorHAnsi" w:cstheme="minorHAnsi"/>
          <w:color w:val="000000"/>
          <w:sz w:val="22"/>
          <w:szCs w:val="22"/>
        </w:rPr>
        <w:t>While Jamie kn</w:t>
      </w:r>
      <w:r w:rsidR="0011743C">
        <w:rPr>
          <w:rFonts w:asciiTheme="minorHAnsi" w:hAnsiTheme="minorHAnsi" w:cstheme="minorHAnsi"/>
          <w:color w:val="000000"/>
          <w:sz w:val="22"/>
          <w:szCs w:val="22"/>
        </w:rPr>
        <w:t>ew</w:t>
      </w:r>
      <w:r w:rsidRPr="006945B9">
        <w:rPr>
          <w:rFonts w:asciiTheme="minorHAnsi" w:hAnsiTheme="minorHAnsi" w:cstheme="minorHAnsi"/>
          <w:color w:val="000000"/>
          <w:sz w:val="22"/>
          <w:szCs w:val="22"/>
        </w:rPr>
        <w:t xml:space="preserve"> his rights, he d</w:t>
      </w:r>
      <w:r w:rsidR="0011743C">
        <w:rPr>
          <w:rFonts w:asciiTheme="minorHAnsi" w:hAnsiTheme="minorHAnsi" w:cstheme="minorHAnsi"/>
          <w:color w:val="000000"/>
          <w:sz w:val="22"/>
          <w:szCs w:val="22"/>
        </w:rPr>
        <w:t xml:space="preserve">id </w:t>
      </w:r>
      <w:r w:rsidRPr="006945B9">
        <w:rPr>
          <w:rFonts w:asciiTheme="minorHAnsi" w:hAnsiTheme="minorHAnsi" w:cstheme="minorHAnsi"/>
          <w:color w:val="000000"/>
          <w:sz w:val="22"/>
          <w:szCs w:val="22"/>
        </w:rPr>
        <w:t>not wish to pursue any action against the management until he move</w:t>
      </w:r>
      <w:r w:rsidR="0011743C">
        <w:rPr>
          <w:rFonts w:asciiTheme="minorHAnsi" w:hAnsiTheme="minorHAnsi" w:cstheme="minorHAnsi"/>
          <w:color w:val="000000"/>
          <w:sz w:val="22"/>
          <w:szCs w:val="22"/>
        </w:rPr>
        <w:t xml:space="preserve">d </w:t>
      </w:r>
      <w:r w:rsidRPr="006945B9">
        <w:rPr>
          <w:rFonts w:asciiTheme="minorHAnsi" w:hAnsiTheme="minorHAnsi" w:cstheme="minorHAnsi"/>
          <w:color w:val="000000"/>
          <w:sz w:val="22"/>
          <w:szCs w:val="22"/>
        </w:rPr>
        <w:t xml:space="preserve">out from that care facility due to fear of retribution. He </w:t>
      </w:r>
      <w:r w:rsidR="0011743C">
        <w:rPr>
          <w:rFonts w:asciiTheme="minorHAnsi" w:hAnsiTheme="minorHAnsi" w:cstheme="minorHAnsi"/>
          <w:color w:val="000000"/>
          <w:sz w:val="22"/>
          <w:szCs w:val="22"/>
        </w:rPr>
        <w:t>was</w:t>
      </w:r>
      <w:r w:rsidRPr="006945B9">
        <w:rPr>
          <w:rFonts w:asciiTheme="minorHAnsi" w:hAnsiTheme="minorHAnsi" w:cstheme="minorHAnsi"/>
          <w:color w:val="000000"/>
          <w:sz w:val="22"/>
          <w:szCs w:val="22"/>
        </w:rPr>
        <w:t xml:space="preserve"> working with his coordinator of support to explore alternative accommodation options when </w:t>
      </w:r>
      <w:r w:rsidR="0011743C">
        <w:rPr>
          <w:rFonts w:asciiTheme="minorHAnsi" w:hAnsiTheme="minorHAnsi" w:cstheme="minorHAnsi"/>
          <w:color w:val="000000"/>
          <w:sz w:val="22"/>
          <w:szCs w:val="22"/>
        </w:rPr>
        <w:t>his a</w:t>
      </w:r>
      <w:r w:rsidRPr="006945B9">
        <w:rPr>
          <w:rFonts w:asciiTheme="minorHAnsi" w:hAnsiTheme="minorHAnsi" w:cstheme="minorHAnsi"/>
          <w:color w:val="000000"/>
          <w:sz w:val="22"/>
          <w:szCs w:val="22"/>
        </w:rPr>
        <w:t>dvocate last spoke with him.</w:t>
      </w:r>
      <w:r w:rsidR="0011743C">
        <w:rPr>
          <w:rFonts w:asciiTheme="minorHAnsi" w:hAnsiTheme="minorHAnsi" w:cstheme="minorHAnsi"/>
          <w:color w:val="000000"/>
          <w:sz w:val="22"/>
          <w:szCs w:val="22"/>
        </w:rPr>
        <w:t xml:space="preserve"> If an Official Visitor was empowered to make frequent, unannounced visits to services such as Jamie’s accommodation provider, </w:t>
      </w:r>
      <w:r w:rsidR="00503B37">
        <w:rPr>
          <w:rFonts w:asciiTheme="minorHAnsi" w:hAnsiTheme="minorHAnsi" w:cstheme="minorHAnsi"/>
          <w:color w:val="000000"/>
          <w:sz w:val="22"/>
          <w:szCs w:val="22"/>
        </w:rPr>
        <w:t xml:space="preserve">their visits may have reduced the likelihood of the management abusing Jamie, or they may have witnessed </w:t>
      </w:r>
      <w:r w:rsidR="00FC46AE">
        <w:rPr>
          <w:rFonts w:asciiTheme="minorHAnsi" w:hAnsiTheme="minorHAnsi" w:cstheme="minorHAnsi"/>
          <w:color w:val="000000"/>
          <w:sz w:val="22"/>
          <w:szCs w:val="22"/>
        </w:rPr>
        <w:t>one of the above incidents</w:t>
      </w:r>
      <w:r w:rsidR="00F83EFF">
        <w:rPr>
          <w:rFonts w:asciiTheme="minorHAnsi" w:hAnsiTheme="minorHAnsi" w:cstheme="minorHAnsi"/>
          <w:color w:val="000000"/>
          <w:sz w:val="22"/>
          <w:szCs w:val="22"/>
        </w:rPr>
        <w:t xml:space="preserve">, allowing the matter to be observed without Jamie raising it himself. </w:t>
      </w:r>
    </w:p>
    <w:p w14:paraId="6CD1CB4A" w14:textId="71C2DA71" w:rsidR="002572AF" w:rsidRDefault="002572AF" w:rsidP="006F3AF2">
      <w:pPr>
        <w:pStyle w:val="Heading1"/>
        <w:spacing w:before="120" w:after="120" w:line="360" w:lineRule="auto"/>
        <w:jc w:val="both"/>
      </w:pPr>
      <w:bookmarkStart w:id="9" w:name="_Toc145681989"/>
      <w:r>
        <w:t>Disability</w:t>
      </w:r>
      <w:r w:rsidR="006F616C">
        <w:t xml:space="preserve"> Inclusion</w:t>
      </w:r>
      <w:r>
        <w:t xml:space="preserve"> Commissioner</w:t>
      </w:r>
      <w:bookmarkEnd w:id="9"/>
      <w:r>
        <w:t xml:space="preserve"> </w:t>
      </w:r>
    </w:p>
    <w:p w14:paraId="3C53167F" w14:textId="42661DA0" w:rsidR="00D560CE" w:rsidRPr="00F33027" w:rsidRDefault="006F616C" w:rsidP="006F3AF2">
      <w:pPr>
        <w:pStyle w:val="NormalWeb"/>
        <w:spacing w:before="120" w:beforeAutospacing="0" w:after="120" w:afterAutospacing="0" w:line="360" w:lineRule="auto"/>
        <w:jc w:val="both"/>
        <w:rPr>
          <w:rFonts w:asciiTheme="minorHAnsi" w:hAnsiTheme="minorHAnsi" w:cstheme="minorHAnsi"/>
          <w:color w:val="000000"/>
          <w:sz w:val="22"/>
          <w:szCs w:val="22"/>
        </w:rPr>
      </w:pPr>
      <w:r w:rsidRPr="00F33027">
        <w:rPr>
          <w:rFonts w:asciiTheme="minorHAnsi" w:hAnsiTheme="minorHAnsi" w:cstheme="minorHAnsi"/>
          <w:sz w:val="22"/>
          <w:szCs w:val="22"/>
        </w:rPr>
        <w:t>The</w:t>
      </w:r>
      <w:r w:rsidR="006712D8" w:rsidRPr="00F33027">
        <w:rPr>
          <w:rFonts w:asciiTheme="minorHAnsi" w:hAnsiTheme="minorHAnsi" w:cstheme="minorHAnsi"/>
          <w:sz w:val="22"/>
          <w:szCs w:val="22"/>
        </w:rPr>
        <w:t xml:space="preserve"> provisions of the Bill relating to the </w:t>
      </w:r>
      <w:r w:rsidRPr="00F33027">
        <w:rPr>
          <w:rFonts w:asciiTheme="minorHAnsi" w:hAnsiTheme="minorHAnsi" w:cstheme="minorHAnsi"/>
          <w:sz w:val="22"/>
          <w:szCs w:val="22"/>
        </w:rPr>
        <w:t>Commissioner</w:t>
      </w:r>
      <w:r w:rsidR="002572AF" w:rsidRPr="00F33027">
        <w:rPr>
          <w:rFonts w:asciiTheme="minorHAnsi" w:hAnsiTheme="minorHAnsi" w:cstheme="minorHAnsi"/>
          <w:sz w:val="22"/>
          <w:szCs w:val="22"/>
        </w:rPr>
        <w:t xml:space="preserve"> can be strengthened</w:t>
      </w:r>
      <w:r w:rsidR="00020BB3">
        <w:rPr>
          <w:rFonts w:asciiTheme="minorHAnsi" w:hAnsiTheme="minorHAnsi" w:cstheme="minorHAnsi"/>
          <w:sz w:val="22"/>
          <w:szCs w:val="22"/>
        </w:rPr>
        <w:t>, as currently the Commissioner does not have power to enforce compliance by defined entities with their disability inclusion plans</w:t>
      </w:r>
      <w:r w:rsidR="002572AF" w:rsidRPr="00F33027">
        <w:rPr>
          <w:rFonts w:asciiTheme="minorHAnsi" w:hAnsiTheme="minorHAnsi" w:cstheme="minorHAnsi"/>
          <w:sz w:val="22"/>
          <w:szCs w:val="22"/>
        </w:rPr>
        <w:t>.</w:t>
      </w:r>
      <w:r w:rsidR="002572AF" w:rsidRPr="00F33027">
        <w:rPr>
          <w:rFonts w:asciiTheme="minorHAnsi" w:hAnsiTheme="minorHAnsi" w:cstheme="minorHAnsi"/>
        </w:rPr>
        <w:t xml:space="preserve"> </w:t>
      </w:r>
      <w:r w:rsidR="00D560CE" w:rsidRPr="00F33027">
        <w:rPr>
          <w:rFonts w:asciiTheme="minorHAnsi" w:hAnsiTheme="minorHAnsi" w:cstheme="minorHAnsi"/>
          <w:color w:val="000000"/>
          <w:sz w:val="22"/>
          <w:szCs w:val="22"/>
        </w:rPr>
        <w:t xml:space="preserve">Enforcement mechanisms should be implemented to empower the Commissioner to order </w:t>
      </w:r>
      <w:r w:rsidR="00020BB3">
        <w:rPr>
          <w:rFonts w:asciiTheme="minorHAnsi" w:hAnsiTheme="minorHAnsi" w:cstheme="minorHAnsi"/>
          <w:color w:val="000000"/>
          <w:sz w:val="22"/>
          <w:szCs w:val="22"/>
        </w:rPr>
        <w:t>compliance</w:t>
      </w:r>
      <w:r w:rsidR="00D560CE" w:rsidRPr="00F33027">
        <w:rPr>
          <w:rFonts w:asciiTheme="minorHAnsi" w:hAnsiTheme="minorHAnsi" w:cstheme="minorHAnsi"/>
          <w:color w:val="000000"/>
          <w:sz w:val="22"/>
          <w:szCs w:val="22"/>
        </w:rPr>
        <w:t xml:space="preserve"> </w:t>
      </w:r>
      <w:r w:rsidR="00020BB3">
        <w:rPr>
          <w:rFonts w:asciiTheme="minorHAnsi" w:hAnsiTheme="minorHAnsi" w:cstheme="minorHAnsi"/>
          <w:color w:val="000000"/>
          <w:sz w:val="22"/>
          <w:szCs w:val="22"/>
        </w:rPr>
        <w:t>and/or fines</w:t>
      </w:r>
      <w:r w:rsidR="00D560CE" w:rsidRPr="00F33027">
        <w:rPr>
          <w:rFonts w:asciiTheme="minorHAnsi" w:hAnsiTheme="minorHAnsi" w:cstheme="minorHAnsi"/>
          <w:color w:val="000000"/>
          <w:sz w:val="22"/>
          <w:szCs w:val="22"/>
        </w:rPr>
        <w:t xml:space="preserve"> </w:t>
      </w:r>
      <w:r w:rsidR="00720CA3">
        <w:rPr>
          <w:rFonts w:asciiTheme="minorHAnsi" w:hAnsiTheme="minorHAnsi" w:cstheme="minorHAnsi"/>
          <w:color w:val="000000"/>
          <w:sz w:val="22"/>
          <w:szCs w:val="22"/>
        </w:rPr>
        <w:t xml:space="preserve">by defined entities </w:t>
      </w:r>
      <w:r w:rsidR="00D560CE" w:rsidRPr="00F33027">
        <w:rPr>
          <w:rFonts w:asciiTheme="minorHAnsi" w:hAnsiTheme="minorHAnsi" w:cstheme="minorHAnsi"/>
          <w:color w:val="000000"/>
          <w:sz w:val="22"/>
          <w:szCs w:val="22"/>
        </w:rPr>
        <w:t xml:space="preserve">if </w:t>
      </w:r>
      <w:r w:rsidR="00720CA3">
        <w:rPr>
          <w:rFonts w:asciiTheme="minorHAnsi" w:hAnsiTheme="minorHAnsi" w:cstheme="minorHAnsi"/>
          <w:color w:val="000000"/>
          <w:sz w:val="22"/>
          <w:szCs w:val="22"/>
        </w:rPr>
        <w:t xml:space="preserve">their </w:t>
      </w:r>
      <w:r w:rsidR="00D560CE" w:rsidRPr="00F33027">
        <w:rPr>
          <w:rFonts w:asciiTheme="minorHAnsi" w:hAnsiTheme="minorHAnsi" w:cstheme="minorHAnsi"/>
          <w:color w:val="000000"/>
          <w:sz w:val="22"/>
          <w:szCs w:val="22"/>
        </w:rPr>
        <w:t xml:space="preserve">plans are not complied with. </w:t>
      </w:r>
      <w:r w:rsidR="00720CA3">
        <w:rPr>
          <w:rFonts w:asciiTheme="minorHAnsi" w:hAnsiTheme="minorHAnsi" w:cstheme="minorHAnsi"/>
          <w:color w:val="000000"/>
          <w:sz w:val="22"/>
          <w:szCs w:val="22"/>
        </w:rPr>
        <w:t xml:space="preserve">This would ensure commitment to </w:t>
      </w:r>
      <w:r w:rsidR="001459D2">
        <w:rPr>
          <w:rFonts w:asciiTheme="minorHAnsi" w:hAnsiTheme="minorHAnsi" w:cstheme="minorHAnsi"/>
          <w:color w:val="000000"/>
          <w:sz w:val="22"/>
          <w:szCs w:val="22"/>
        </w:rPr>
        <w:t>Further, the Bill provides</w:t>
      </w:r>
      <w:r w:rsidR="00A67F2A">
        <w:rPr>
          <w:rFonts w:asciiTheme="minorHAnsi" w:hAnsiTheme="minorHAnsi" w:cstheme="minorHAnsi"/>
          <w:color w:val="000000"/>
          <w:sz w:val="22"/>
          <w:szCs w:val="22"/>
        </w:rPr>
        <w:t xml:space="preserve"> that the Tasmanian</w:t>
      </w:r>
      <w:r w:rsidR="001459D2">
        <w:rPr>
          <w:rFonts w:asciiTheme="minorHAnsi" w:hAnsiTheme="minorHAnsi" w:cstheme="minorHAnsi"/>
          <w:color w:val="000000"/>
          <w:sz w:val="22"/>
          <w:szCs w:val="22"/>
        </w:rPr>
        <w:t xml:space="preserve"> disability inclusion plan </w:t>
      </w:r>
      <w:r w:rsidR="007E270D">
        <w:rPr>
          <w:rFonts w:asciiTheme="minorHAnsi" w:hAnsiTheme="minorHAnsi" w:cstheme="minorHAnsi"/>
          <w:color w:val="000000"/>
          <w:sz w:val="22"/>
          <w:szCs w:val="22"/>
        </w:rPr>
        <w:t xml:space="preserve">and the plans of defined entities </w:t>
      </w:r>
      <w:r w:rsidR="001459D2">
        <w:rPr>
          <w:rFonts w:asciiTheme="minorHAnsi" w:hAnsiTheme="minorHAnsi" w:cstheme="minorHAnsi"/>
          <w:color w:val="000000"/>
          <w:sz w:val="22"/>
          <w:szCs w:val="22"/>
        </w:rPr>
        <w:t xml:space="preserve">must be published in ‘at least one accessible format’ </w:t>
      </w:r>
      <w:r w:rsidR="00A67F2A">
        <w:rPr>
          <w:rFonts w:asciiTheme="minorHAnsi" w:hAnsiTheme="minorHAnsi" w:cstheme="minorHAnsi"/>
          <w:color w:val="000000"/>
          <w:sz w:val="22"/>
          <w:szCs w:val="22"/>
        </w:rPr>
        <w:t>(s</w:t>
      </w:r>
      <w:r w:rsidR="007E270D">
        <w:rPr>
          <w:rFonts w:asciiTheme="minorHAnsi" w:hAnsiTheme="minorHAnsi" w:cstheme="minorHAnsi"/>
          <w:color w:val="000000"/>
          <w:sz w:val="22"/>
          <w:szCs w:val="22"/>
        </w:rPr>
        <w:t xml:space="preserve">s </w:t>
      </w:r>
      <w:r w:rsidR="00A67F2A">
        <w:rPr>
          <w:rFonts w:asciiTheme="minorHAnsi" w:hAnsiTheme="minorHAnsi" w:cstheme="minorHAnsi"/>
          <w:color w:val="000000"/>
          <w:sz w:val="22"/>
          <w:szCs w:val="22"/>
        </w:rPr>
        <w:t>(4)b))</w:t>
      </w:r>
      <w:r w:rsidR="007E270D">
        <w:rPr>
          <w:rFonts w:asciiTheme="minorHAnsi" w:hAnsiTheme="minorHAnsi" w:cstheme="minorHAnsi"/>
          <w:color w:val="000000"/>
          <w:sz w:val="22"/>
          <w:szCs w:val="22"/>
        </w:rPr>
        <w:t>, (6)(a))</w:t>
      </w:r>
      <w:r w:rsidR="00A67F2A">
        <w:rPr>
          <w:rFonts w:asciiTheme="minorHAnsi" w:hAnsiTheme="minorHAnsi" w:cstheme="minorHAnsi"/>
          <w:color w:val="000000"/>
          <w:sz w:val="22"/>
          <w:szCs w:val="22"/>
        </w:rPr>
        <w:t xml:space="preserve"> </w:t>
      </w:r>
      <w:r w:rsidR="001459D2">
        <w:rPr>
          <w:rFonts w:asciiTheme="minorHAnsi" w:hAnsiTheme="minorHAnsi" w:cstheme="minorHAnsi"/>
          <w:color w:val="000000"/>
          <w:sz w:val="22"/>
          <w:szCs w:val="22"/>
        </w:rPr>
        <w:t xml:space="preserve">which is insufficient considering the range of accessibility needs of PWD. This must be expanded to include </w:t>
      </w:r>
      <w:r w:rsidR="001459D2">
        <w:rPr>
          <w:rFonts w:asciiTheme="minorHAnsi" w:hAnsiTheme="minorHAnsi" w:cstheme="minorHAnsi"/>
          <w:color w:val="000000"/>
          <w:sz w:val="22"/>
          <w:szCs w:val="22"/>
        </w:rPr>
        <w:lastRenderedPageBreak/>
        <w:t xml:space="preserve">formats accessible to all PWD the government consults with. </w:t>
      </w:r>
      <w:r w:rsidR="00A67F2A">
        <w:rPr>
          <w:rFonts w:asciiTheme="minorHAnsi" w:hAnsiTheme="minorHAnsi" w:cstheme="minorHAnsi"/>
          <w:color w:val="000000"/>
          <w:sz w:val="22"/>
          <w:szCs w:val="22"/>
        </w:rPr>
        <w:t>It is important to recognise that providing</w:t>
      </w:r>
      <w:r w:rsidR="001945CE">
        <w:rPr>
          <w:rFonts w:asciiTheme="minorHAnsi" w:hAnsiTheme="minorHAnsi" w:cstheme="minorHAnsi"/>
          <w:color w:val="000000"/>
          <w:sz w:val="22"/>
          <w:szCs w:val="22"/>
        </w:rPr>
        <w:t xml:space="preserve"> accessible</w:t>
      </w:r>
      <w:r w:rsidR="00A67F2A">
        <w:rPr>
          <w:rFonts w:asciiTheme="minorHAnsi" w:hAnsiTheme="minorHAnsi" w:cstheme="minorHAnsi"/>
          <w:color w:val="000000"/>
          <w:sz w:val="22"/>
          <w:szCs w:val="22"/>
        </w:rPr>
        <w:t xml:space="preserve"> </w:t>
      </w:r>
      <w:r w:rsidR="001945CE">
        <w:rPr>
          <w:rFonts w:asciiTheme="minorHAnsi" w:hAnsiTheme="minorHAnsi" w:cstheme="minorHAnsi"/>
          <w:color w:val="000000"/>
          <w:sz w:val="22"/>
          <w:szCs w:val="22"/>
        </w:rPr>
        <w:t>resources</w:t>
      </w:r>
      <w:r w:rsidR="00A67F2A">
        <w:rPr>
          <w:rFonts w:asciiTheme="minorHAnsi" w:hAnsiTheme="minorHAnsi" w:cstheme="minorHAnsi"/>
          <w:color w:val="000000"/>
          <w:sz w:val="22"/>
          <w:szCs w:val="22"/>
        </w:rPr>
        <w:t xml:space="preserve"> in the first instance may address barriers faced by PWD in asking for accessibility adjustments. </w:t>
      </w:r>
    </w:p>
    <w:p w14:paraId="370B5270" w14:textId="62C57BF9" w:rsidR="00260B8C" w:rsidRDefault="00A67F2A" w:rsidP="006F3AF2">
      <w:pPr>
        <w:pStyle w:val="NormalWeb"/>
        <w:spacing w:before="120" w:beforeAutospacing="0" w:after="120" w:afterAutospacing="0"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Provisions should be included in the Bill for t</w:t>
      </w:r>
      <w:r w:rsidR="00260B8C">
        <w:rPr>
          <w:rFonts w:asciiTheme="minorHAnsi" w:hAnsiTheme="minorHAnsi" w:cstheme="minorHAnsi"/>
          <w:color w:val="000000"/>
          <w:sz w:val="22"/>
          <w:szCs w:val="22"/>
        </w:rPr>
        <w:t>he Commissioner</w:t>
      </w:r>
      <w:r>
        <w:rPr>
          <w:rFonts w:asciiTheme="minorHAnsi" w:hAnsiTheme="minorHAnsi" w:cstheme="minorHAnsi"/>
          <w:color w:val="000000"/>
          <w:sz w:val="22"/>
          <w:szCs w:val="22"/>
        </w:rPr>
        <w:t xml:space="preserve"> to</w:t>
      </w:r>
      <w:r w:rsidR="00260B8C">
        <w:rPr>
          <w:rFonts w:asciiTheme="minorHAnsi" w:hAnsiTheme="minorHAnsi" w:cstheme="minorHAnsi"/>
          <w:color w:val="000000"/>
          <w:sz w:val="22"/>
          <w:szCs w:val="22"/>
        </w:rPr>
        <w:t xml:space="preserve"> be appropriately resource</w:t>
      </w:r>
      <w:r>
        <w:rPr>
          <w:rFonts w:asciiTheme="minorHAnsi" w:hAnsiTheme="minorHAnsi" w:cstheme="minorHAnsi"/>
          <w:color w:val="000000"/>
          <w:sz w:val="22"/>
          <w:szCs w:val="22"/>
        </w:rPr>
        <w:t>d</w:t>
      </w:r>
      <w:r w:rsidR="00260B8C">
        <w:rPr>
          <w:rFonts w:asciiTheme="minorHAnsi" w:hAnsiTheme="minorHAnsi" w:cstheme="minorHAnsi"/>
          <w:color w:val="000000"/>
          <w:sz w:val="22"/>
          <w:szCs w:val="22"/>
        </w:rPr>
        <w:t xml:space="preserve">. </w:t>
      </w:r>
      <w:r>
        <w:rPr>
          <w:rFonts w:asciiTheme="minorHAnsi" w:hAnsiTheme="minorHAnsi" w:cstheme="minorHAnsi"/>
          <w:color w:val="000000"/>
          <w:sz w:val="22"/>
          <w:szCs w:val="22"/>
        </w:rPr>
        <w:t>It appears from</w:t>
      </w:r>
      <w:r w:rsidR="00260B8C">
        <w:rPr>
          <w:rFonts w:asciiTheme="minorHAnsi" w:hAnsiTheme="minorHAnsi" w:cstheme="minorHAnsi"/>
          <w:color w:val="000000"/>
          <w:sz w:val="22"/>
          <w:szCs w:val="22"/>
        </w:rPr>
        <w:t xml:space="preserve"> s28(1)(a) of the Bill </w:t>
      </w:r>
      <w:r>
        <w:rPr>
          <w:rFonts w:asciiTheme="minorHAnsi" w:hAnsiTheme="minorHAnsi" w:cstheme="minorHAnsi"/>
          <w:color w:val="000000"/>
          <w:sz w:val="22"/>
          <w:szCs w:val="22"/>
        </w:rPr>
        <w:t>that</w:t>
      </w:r>
      <w:r w:rsidR="00260B8C">
        <w:rPr>
          <w:rFonts w:asciiTheme="minorHAnsi" w:hAnsiTheme="minorHAnsi" w:cstheme="minorHAnsi"/>
          <w:color w:val="000000"/>
          <w:sz w:val="22"/>
          <w:szCs w:val="22"/>
        </w:rPr>
        <w:t xml:space="preserve"> the Commissioner is only able to retain staff from other government departments. The Commissioner should be empowered to employ their own staff to ensure they are able to fulfil their functions under the Bill. For example, </w:t>
      </w:r>
      <w:r w:rsidR="00F33027">
        <w:rPr>
          <w:rFonts w:asciiTheme="minorHAnsi" w:hAnsiTheme="minorHAnsi" w:cstheme="minorHAnsi"/>
          <w:color w:val="000000"/>
          <w:sz w:val="22"/>
          <w:szCs w:val="22"/>
        </w:rPr>
        <w:t>in Victoria there is provision for the Commissioner to have necessary staff and employees.</w:t>
      </w:r>
      <w:r w:rsidR="00F33027">
        <w:rPr>
          <w:rStyle w:val="FootnoteReference"/>
          <w:rFonts w:asciiTheme="minorHAnsi" w:hAnsiTheme="minorHAnsi" w:cstheme="minorHAnsi"/>
          <w:color w:val="000000"/>
          <w:sz w:val="22"/>
          <w:szCs w:val="22"/>
        </w:rPr>
        <w:footnoteReference w:id="10"/>
      </w:r>
      <w:r w:rsidR="00260B8C">
        <w:rPr>
          <w:rFonts w:asciiTheme="minorHAnsi" w:hAnsiTheme="minorHAnsi" w:cstheme="minorHAnsi"/>
          <w:color w:val="000000"/>
          <w:sz w:val="22"/>
          <w:szCs w:val="22"/>
        </w:rPr>
        <w:t xml:space="preserve"> Our clients report difficulty </w:t>
      </w:r>
      <w:r>
        <w:rPr>
          <w:rFonts w:asciiTheme="minorHAnsi" w:hAnsiTheme="minorHAnsi" w:cstheme="minorHAnsi"/>
          <w:color w:val="000000"/>
          <w:sz w:val="22"/>
          <w:szCs w:val="22"/>
        </w:rPr>
        <w:t>experienced with the</w:t>
      </w:r>
      <w:r w:rsidR="00260B8C">
        <w:rPr>
          <w:rFonts w:asciiTheme="minorHAnsi" w:hAnsiTheme="minorHAnsi" w:cstheme="minorHAnsi"/>
          <w:color w:val="000000"/>
          <w:sz w:val="22"/>
          <w:szCs w:val="22"/>
        </w:rPr>
        <w:t xml:space="preserve"> lengthy timeframes of existing complaint mechanisms, and it is important to minimise </w:t>
      </w:r>
      <w:r>
        <w:rPr>
          <w:rFonts w:asciiTheme="minorHAnsi" w:hAnsiTheme="minorHAnsi" w:cstheme="minorHAnsi"/>
          <w:color w:val="000000"/>
          <w:sz w:val="22"/>
          <w:szCs w:val="22"/>
        </w:rPr>
        <w:t>delays</w:t>
      </w:r>
      <w:r w:rsidR="00260B8C">
        <w:rPr>
          <w:rFonts w:asciiTheme="minorHAnsi" w:hAnsiTheme="minorHAnsi" w:cstheme="minorHAnsi"/>
          <w:color w:val="000000"/>
          <w:sz w:val="22"/>
          <w:szCs w:val="22"/>
        </w:rPr>
        <w:t xml:space="preserve"> in the establishment of the Commissioner’s office as much as possible.  </w:t>
      </w:r>
    </w:p>
    <w:p w14:paraId="48ECD1AC" w14:textId="43C7BE98" w:rsidR="002572AF" w:rsidRPr="00CC6382" w:rsidRDefault="002572AF" w:rsidP="006F3AF2">
      <w:pPr>
        <w:spacing w:before="120" w:after="120" w:line="360" w:lineRule="auto"/>
        <w:jc w:val="both"/>
      </w:pPr>
      <w:r>
        <w:t xml:space="preserve">Currently, </w:t>
      </w:r>
      <w:r w:rsidR="003F3D92">
        <w:t xml:space="preserve">the </w:t>
      </w:r>
      <w:r>
        <w:t>Commissioner can investigate any matter in relation to objects of the Bill of its own motion or via report (s30(1)) and a report does not need to be in writing (s30(2))</w:t>
      </w:r>
      <w:r w:rsidR="00E83856">
        <w:t xml:space="preserve">. </w:t>
      </w:r>
      <w:r>
        <w:t xml:space="preserve">It </w:t>
      </w:r>
      <w:r w:rsidR="003F3D92">
        <w:t xml:space="preserve">should be </w:t>
      </w:r>
      <w:r w:rsidR="008B3C34">
        <w:t>clear</w:t>
      </w:r>
      <w:r>
        <w:t xml:space="preserve"> that any person c</w:t>
      </w:r>
      <w:r w:rsidR="00E83856">
        <w:t xml:space="preserve">an make a </w:t>
      </w:r>
      <w:r>
        <w:t xml:space="preserve">report to the </w:t>
      </w:r>
      <w:r w:rsidR="003F3D92">
        <w:t>C</w:t>
      </w:r>
      <w:r>
        <w:t>ommissioner on any matter relating to rights (see above Charter), or in relation to the provision of services</w:t>
      </w:r>
      <w:r w:rsidR="003F3D92">
        <w:t>. The following</w:t>
      </w:r>
      <w:r>
        <w:t xml:space="preserve"> section</w:t>
      </w:r>
      <w:r w:rsidR="00210E82">
        <w:t xml:space="preserve"> 31(1)(a)</w:t>
      </w:r>
      <w:r>
        <w:t xml:space="preserve"> regarding making a report where PWD </w:t>
      </w:r>
      <w:r w:rsidR="00A67F2A">
        <w:t>is at risk</w:t>
      </w:r>
      <w:r w:rsidR="00E83856">
        <w:t xml:space="preserve"> is clearer, </w:t>
      </w:r>
      <w:r w:rsidR="008B3C34">
        <w:t>setting out that ‘</w:t>
      </w:r>
      <w:r>
        <w:t>a</w:t>
      </w:r>
      <w:r w:rsidR="00E83856">
        <w:t xml:space="preserve"> </w:t>
      </w:r>
      <w:r>
        <w:t>person can make a report to the Commissioner</w:t>
      </w:r>
      <w:r w:rsidR="008B3C34">
        <w:t>’</w:t>
      </w:r>
      <w:r>
        <w:t xml:space="preserve"> regarding those matters. </w:t>
      </w:r>
      <w:r w:rsidR="006712D8">
        <w:t xml:space="preserve">Our clients report confusion in relation to existing complaint pathways, and it needs to be clear </w:t>
      </w:r>
      <w:r w:rsidR="00E83856">
        <w:t xml:space="preserve">to PWD as to when a </w:t>
      </w:r>
      <w:r w:rsidR="006712D8">
        <w:t xml:space="preserve">report </w:t>
      </w:r>
      <w:r w:rsidR="00E83856">
        <w:t>can be</w:t>
      </w:r>
      <w:r w:rsidR="006712D8">
        <w:t xml:space="preserve"> made to the Commissioner. </w:t>
      </w:r>
    </w:p>
    <w:p w14:paraId="3CCF530C" w14:textId="70307CD3" w:rsidR="00475A24" w:rsidRDefault="000D58C5" w:rsidP="006F3AF2">
      <w:pPr>
        <w:pStyle w:val="Heading1"/>
        <w:spacing w:before="120" w:after="120" w:line="360" w:lineRule="auto"/>
        <w:jc w:val="both"/>
      </w:pPr>
      <w:bookmarkStart w:id="10" w:name="_Toc145681990"/>
      <w:r>
        <w:t>Conclusion</w:t>
      </w:r>
      <w:bookmarkEnd w:id="10"/>
      <w:r>
        <w:t xml:space="preserve"> </w:t>
      </w:r>
    </w:p>
    <w:p w14:paraId="5642EE03" w14:textId="616E627F" w:rsidR="00793D4E" w:rsidRPr="00BD30FC" w:rsidRDefault="00453824" w:rsidP="006F3AF2">
      <w:pPr>
        <w:spacing w:before="120" w:after="120" w:line="360" w:lineRule="auto"/>
        <w:jc w:val="both"/>
      </w:pPr>
      <w:r>
        <w:t xml:space="preserve">We </w:t>
      </w:r>
      <w:r w:rsidR="00A67F2A">
        <w:t xml:space="preserve">aim to have </w:t>
      </w:r>
      <w:r>
        <w:t>demonstrated in</w:t>
      </w:r>
      <w:r w:rsidR="00A67F2A">
        <w:t xml:space="preserve"> this submission ways in which the Bill can be </w:t>
      </w:r>
      <w:r w:rsidR="00BD30FC">
        <w:t>strengthened</w:t>
      </w:r>
      <w:r w:rsidR="00B4173E">
        <w:t xml:space="preserve"> </w:t>
      </w:r>
      <w:r w:rsidR="00BD30FC">
        <w:t>to ensure the rights of Tasmanian PWD are upheld and monitored by effective safeguards</w:t>
      </w:r>
      <w:r w:rsidR="00A67F2A">
        <w:t xml:space="preserve">. </w:t>
      </w:r>
      <w:r>
        <w:t xml:space="preserve">As a client-directed advocacy organisation, our recommendations are informed by the reported experiences of our clients. </w:t>
      </w:r>
      <w:r w:rsidR="00A67F2A">
        <w:t>These include considering the findings of the Disability Royal Commission, establishing a Charter of Rights for PWD, an Official Visitors Scheme, and strengthening the provisions relating to the Disability Inclusion Commissioner</w:t>
      </w:r>
      <w:r w:rsidR="00460BE8">
        <w:t xml:space="preserve"> as set out above</w:t>
      </w:r>
      <w:r w:rsidR="00A67F2A">
        <w:t>.</w:t>
      </w:r>
      <w:r w:rsidR="00BD30FC">
        <w:t xml:space="preserve"> </w:t>
      </w:r>
      <w:r w:rsidR="00793D4E">
        <w:t>We welcome any further opportunities for consultation regarding th</w:t>
      </w:r>
      <w:r w:rsidR="00460BE8">
        <w:t>is review.</w:t>
      </w:r>
    </w:p>
    <w:sectPr w:rsidR="00793D4E" w:rsidRPr="00BD30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35F7" w14:textId="77777777" w:rsidR="004D6666" w:rsidRDefault="004D6666" w:rsidP="00820450">
      <w:pPr>
        <w:spacing w:after="0" w:line="240" w:lineRule="auto"/>
      </w:pPr>
      <w:r>
        <w:separator/>
      </w:r>
    </w:p>
  </w:endnote>
  <w:endnote w:type="continuationSeparator" w:id="0">
    <w:p w14:paraId="6850A131" w14:textId="77777777" w:rsidR="004D6666" w:rsidRDefault="004D6666" w:rsidP="0082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120997"/>
      <w:docPartObj>
        <w:docPartGallery w:val="Page Numbers (Bottom of Page)"/>
        <w:docPartUnique/>
      </w:docPartObj>
    </w:sdtPr>
    <w:sdtEndPr>
      <w:rPr>
        <w:noProof/>
      </w:rPr>
    </w:sdtEndPr>
    <w:sdtContent>
      <w:p w14:paraId="322B5107" w14:textId="56FCF21A" w:rsidR="00F83EFF" w:rsidRDefault="00F83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70B446" w14:textId="77777777" w:rsidR="00F83EFF" w:rsidRDefault="00F83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2A60" w14:textId="77777777" w:rsidR="004D6666" w:rsidRDefault="004D6666" w:rsidP="00820450">
      <w:pPr>
        <w:spacing w:after="0" w:line="240" w:lineRule="auto"/>
      </w:pPr>
      <w:r>
        <w:separator/>
      </w:r>
    </w:p>
  </w:footnote>
  <w:footnote w:type="continuationSeparator" w:id="0">
    <w:p w14:paraId="7614E5FA" w14:textId="77777777" w:rsidR="004D6666" w:rsidRDefault="004D6666" w:rsidP="00820450">
      <w:pPr>
        <w:spacing w:after="0" w:line="240" w:lineRule="auto"/>
      </w:pPr>
      <w:r>
        <w:continuationSeparator/>
      </w:r>
    </w:p>
  </w:footnote>
  <w:footnote w:id="1">
    <w:p w14:paraId="58A687A7" w14:textId="77777777" w:rsidR="00974B78" w:rsidRPr="00E401E4" w:rsidRDefault="00974B78" w:rsidP="00974B78">
      <w:pPr>
        <w:pStyle w:val="FootnoteText"/>
        <w:rPr>
          <w:lang w:val="en-US"/>
        </w:rPr>
      </w:pPr>
      <w:r>
        <w:rPr>
          <w:rStyle w:val="FootnoteReference"/>
        </w:rPr>
        <w:footnoteRef/>
      </w:r>
      <w:r>
        <w:t xml:space="preserve"> </w:t>
      </w:r>
      <w:r>
        <w:rPr>
          <w:i/>
          <w:iCs/>
          <w:lang w:val="en-US"/>
        </w:rPr>
        <w:t xml:space="preserve">User Rights Principles 2014 </w:t>
      </w:r>
      <w:r>
        <w:rPr>
          <w:lang w:val="en-US"/>
        </w:rPr>
        <w:t xml:space="preserve">(Cth), Schedule 1, s2.  </w:t>
      </w:r>
    </w:p>
  </w:footnote>
  <w:footnote w:id="2">
    <w:p w14:paraId="13E93AE3" w14:textId="50916DFD" w:rsidR="005C3456" w:rsidRPr="00B51359" w:rsidRDefault="005C3456">
      <w:pPr>
        <w:pStyle w:val="FootnoteText"/>
        <w:rPr>
          <w:lang w:val="en-US"/>
        </w:rPr>
      </w:pPr>
      <w:r>
        <w:rPr>
          <w:rStyle w:val="FootnoteReference"/>
        </w:rPr>
        <w:footnoteRef/>
      </w:r>
      <w:r>
        <w:t xml:space="preserve"> </w:t>
      </w:r>
      <w:r w:rsidR="0054140D">
        <w:rPr>
          <w:lang w:val="en-US"/>
        </w:rPr>
        <w:t>Ibid,</w:t>
      </w:r>
      <w:r w:rsidR="00B51359">
        <w:rPr>
          <w:lang w:val="en-US"/>
        </w:rPr>
        <w:t xml:space="preserve"> s</w:t>
      </w:r>
      <w:r w:rsidR="00C67290">
        <w:rPr>
          <w:lang w:val="en-US"/>
        </w:rPr>
        <w:t>11(1)(a), s</w:t>
      </w:r>
      <w:r w:rsidR="00A76BE6">
        <w:rPr>
          <w:lang w:val="en-US"/>
        </w:rPr>
        <w:t xml:space="preserve">20(1)(a). </w:t>
      </w:r>
    </w:p>
  </w:footnote>
  <w:footnote w:id="3">
    <w:p w14:paraId="60DEB700" w14:textId="77777777" w:rsidR="00FC7D77" w:rsidRPr="004A402E" w:rsidRDefault="00FC7D77" w:rsidP="00FC7D77">
      <w:pPr>
        <w:pStyle w:val="FootnoteText"/>
        <w:rPr>
          <w:lang w:val="en-US"/>
        </w:rPr>
      </w:pPr>
      <w:r>
        <w:rPr>
          <w:rStyle w:val="FootnoteReference"/>
        </w:rPr>
        <w:footnoteRef/>
      </w:r>
      <w:r>
        <w:t xml:space="preserve"> </w:t>
      </w:r>
      <w:r>
        <w:rPr>
          <w:lang w:val="en-US"/>
        </w:rPr>
        <w:t xml:space="preserve">Ibid, Schedule 1, s2(1). </w:t>
      </w:r>
    </w:p>
  </w:footnote>
  <w:footnote w:id="4">
    <w:p w14:paraId="5B1F68C5" w14:textId="65F54971" w:rsidR="00FC7D77" w:rsidRPr="004A402E" w:rsidRDefault="00FC7D77" w:rsidP="00FC7D77">
      <w:pPr>
        <w:pStyle w:val="FootnoteText"/>
        <w:rPr>
          <w:lang w:val="en-US"/>
        </w:rPr>
      </w:pPr>
      <w:r>
        <w:rPr>
          <w:rStyle w:val="FootnoteReference"/>
        </w:rPr>
        <w:footnoteRef/>
      </w:r>
      <w:r>
        <w:t xml:space="preserve"> </w:t>
      </w:r>
      <w:r w:rsidR="00453653">
        <w:rPr>
          <w:lang w:val="en-US"/>
        </w:rPr>
        <w:t>Ibid, Schedule 1, s2(11)</w:t>
      </w:r>
      <w:r>
        <w:rPr>
          <w:lang w:val="en-US"/>
        </w:rPr>
        <w:t xml:space="preserve">. </w:t>
      </w:r>
    </w:p>
  </w:footnote>
  <w:footnote w:id="5">
    <w:p w14:paraId="491366C6" w14:textId="2E2FA815" w:rsidR="00820450" w:rsidRPr="00820450" w:rsidRDefault="00820450">
      <w:pPr>
        <w:pStyle w:val="FootnoteText"/>
        <w:rPr>
          <w:lang w:val="en-US"/>
        </w:rPr>
      </w:pPr>
      <w:r>
        <w:rPr>
          <w:rStyle w:val="FootnoteReference"/>
        </w:rPr>
        <w:footnoteRef/>
      </w:r>
      <w:r>
        <w:t xml:space="preserve"> </w:t>
      </w:r>
      <w:r>
        <w:rPr>
          <w:i/>
          <w:iCs/>
          <w:lang w:val="en-US"/>
        </w:rPr>
        <w:t>Corrections Act 1997</w:t>
      </w:r>
      <w:r>
        <w:rPr>
          <w:lang w:val="en-US"/>
        </w:rPr>
        <w:t xml:space="preserve"> (Tas), s10. </w:t>
      </w:r>
    </w:p>
  </w:footnote>
  <w:footnote w:id="6">
    <w:p w14:paraId="19025743" w14:textId="163B8A97" w:rsidR="00C15FD0" w:rsidRPr="00C15FD0" w:rsidRDefault="00C15FD0">
      <w:pPr>
        <w:pStyle w:val="FootnoteText"/>
        <w:rPr>
          <w:lang w:val="en-US"/>
        </w:rPr>
      </w:pPr>
      <w:r>
        <w:rPr>
          <w:rStyle w:val="FootnoteReference"/>
        </w:rPr>
        <w:footnoteRef/>
      </w:r>
      <w:r>
        <w:t xml:space="preserve"> </w:t>
      </w:r>
      <w:r>
        <w:rPr>
          <w:i/>
          <w:iCs/>
          <w:lang w:val="en-US"/>
        </w:rPr>
        <w:t>Mental Health Act 2013</w:t>
      </w:r>
      <w:r w:rsidR="00C80AB8">
        <w:rPr>
          <w:i/>
          <w:iCs/>
          <w:lang w:val="en-US"/>
        </w:rPr>
        <w:t xml:space="preserve"> </w:t>
      </w:r>
      <w:r w:rsidR="00C80AB8">
        <w:rPr>
          <w:lang w:val="en-US"/>
        </w:rPr>
        <w:t>(Tas)</w:t>
      </w:r>
      <w:r>
        <w:rPr>
          <w:lang w:val="en-US"/>
        </w:rPr>
        <w:t xml:space="preserve">, s155. </w:t>
      </w:r>
    </w:p>
  </w:footnote>
  <w:footnote w:id="7">
    <w:p w14:paraId="65253898" w14:textId="025803E1" w:rsidR="003836DE" w:rsidRPr="003836DE" w:rsidRDefault="003836DE">
      <w:pPr>
        <w:pStyle w:val="FootnoteText"/>
        <w:rPr>
          <w:lang w:val="en-US"/>
        </w:rPr>
      </w:pPr>
      <w:r>
        <w:rPr>
          <w:rStyle w:val="FootnoteReference"/>
        </w:rPr>
        <w:footnoteRef/>
      </w:r>
      <w:r>
        <w:t xml:space="preserve"> </w:t>
      </w:r>
      <w:r>
        <w:rPr>
          <w:i/>
          <w:iCs/>
        </w:rPr>
        <w:t xml:space="preserve">Official Visitor Act 2012 </w:t>
      </w:r>
      <w:r>
        <w:t xml:space="preserve">(ACT), s7. </w:t>
      </w:r>
    </w:p>
  </w:footnote>
  <w:footnote w:id="8">
    <w:p w14:paraId="33FC323C" w14:textId="61104A51" w:rsidR="00D866B1" w:rsidRPr="00D866B1" w:rsidRDefault="00D866B1">
      <w:pPr>
        <w:pStyle w:val="FootnoteText"/>
        <w:rPr>
          <w:lang w:val="en-US"/>
        </w:rPr>
      </w:pPr>
      <w:r>
        <w:rPr>
          <w:rStyle w:val="FootnoteReference"/>
        </w:rPr>
        <w:footnoteRef/>
      </w:r>
      <w:r>
        <w:t xml:space="preserve"> </w:t>
      </w:r>
      <w:r>
        <w:rPr>
          <w:i/>
          <w:iCs/>
          <w:lang w:val="en-US"/>
        </w:rPr>
        <w:t xml:space="preserve">Disability Act 1991 </w:t>
      </w:r>
      <w:r>
        <w:rPr>
          <w:lang w:val="en-US"/>
        </w:rPr>
        <w:t>(ACT), s8B(1).</w:t>
      </w:r>
    </w:p>
  </w:footnote>
  <w:footnote w:id="9">
    <w:p w14:paraId="549878C6" w14:textId="77777777" w:rsidR="00020BB3" w:rsidRPr="00C80AB8" w:rsidRDefault="00020BB3" w:rsidP="00020BB3">
      <w:pPr>
        <w:pStyle w:val="FootnoteText"/>
        <w:rPr>
          <w:lang w:val="en-US"/>
        </w:rPr>
      </w:pPr>
      <w:r>
        <w:rPr>
          <w:rStyle w:val="FootnoteReference"/>
        </w:rPr>
        <w:footnoteRef/>
      </w:r>
      <w:r>
        <w:t xml:space="preserve"> </w:t>
      </w:r>
      <w:r>
        <w:rPr>
          <w:i/>
          <w:iCs/>
        </w:rPr>
        <w:t xml:space="preserve">Disability Act 2006 </w:t>
      </w:r>
      <w:r>
        <w:t xml:space="preserve">(Vic), s28. </w:t>
      </w:r>
    </w:p>
  </w:footnote>
  <w:footnote w:id="10">
    <w:p w14:paraId="6287D9E2" w14:textId="7BF30B9E" w:rsidR="00F33027" w:rsidRPr="00F33027" w:rsidRDefault="00F33027">
      <w:pPr>
        <w:pStyle w:val="FootnoteText"/>
        <w:rPr>
          <w:lang w:val="en-US"/>
        </w:rPr>
      </w:pPr>
      <w:r>
        <w:rPr>
          <w:rStyle w:val="FootnoteReference"/>
        </w:rPr>
        <w:footnoteRef/>
      </w:r>
      <w:r>
        <w:t xml:space="preserve"> </w:t>
      </w:r>
      <w:r>
        <w:rPr>
          <w:i/>
          <w:iCs/>
          <w:lang w:val="en-US"/>
        </w:rPr>
        <w:t xml:space="preserve">Disability Act 2006 </w:t>
      </w:r>
      <w:r>
        <w:rPr>
          <w:lang w:val="en-US"/>
        </w:rPr>
        <w:t xml:space="preserve">(Vic), s18(1).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7E8B"/>
    <w:multiLevelType w:val="hybridMultilevel"/>
    <w:tmpl w:val="B97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C77CF7"/>
    <w:multiLevelType w:val="hybridMultilevel"/>
    <w:tmpl w:val="BDD64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E0567"/>
    <w:multiLevelType w:val="hybridMultilevel"/>
    <w:tmpl w:val="E236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467E31"/>
    <w:multiLevelType w:val="hybridMultilevel"/>
    <w:tmpl w:val="DB60B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0768967">
    <w:abstractNumId w:val="0"/>
  </w:num>
  <w:num w:numId="2" w16cid:durableId="1351026938">
    <w:abstractNumId w:val="1"/>
  </w:num>
  <w:num w:numId="3" w16cid:durableId="586161192">
    <w:abstractNumId w:val="3"/>
  </w:num>
  <w:num w:numId="4" w16cid:durableId="878855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77"/>
    <w:rsid w:val="00004B01"/>
    <w:rsid w:val="00020BB3"/>
    <w:rsid w:val="000227D6"/>
    <w:rsid w:val="00032F99"/>
    <w:rsid w:val="000422EB"/>
    <w:rsid w:val="00065E55"/>
    <w:rsid w:val="00071E66"/>
    <w:rsid w:val="00077968"/>
    <w:rsid w:val="00080775"/>
    <w:rsid w:val="000822BC"/>
    <w:rsid w:val="00084A82"/>
    <w:rsid w:val="00090C22"/>
    <w:rsid w:val="0009103E"/>
    <w:rsid w:val="0009491D"/>
    <w:rsid w:val="000A10C2"/>
    <w:rsid w:val="000B4E36"/>
    <w:rsid w:val="000D58C5"/>
    <w:rsid w:val="000F262F"/>
    <w:rsid w:val="000F32E3"/>
    <w:rsid w:val="000F45A7"/>
    <w:rsid w:val="0010619D"/>
    <w:rsid w:val="0011743C"/>
    <w:rsid w:val="0011760A"/>
    <w:rsid w:val="00117B4D"/>
    <w:rsid w:val="0013757F"/>
    <w:rsid w:val="00141D72"/>
    <w:rsid w:val="001459D2"/>
    <w:rsid w:val="00151C49"/>
    <w:rsid w:val="00155E34"/>
    <w:rsid w:val="001605A4"/>
    <w:rsid w:val="001668BF"/>
    <w:rsid w:val="0017371B"/>
    <w:rsid w:val="00187051"/>
    <w:rsid w:val="00190168"/>
    <w:rsid w:val="00192C05"/>
    <w:rsid w:val="001945CE"/>
    <w:rsid w:val="00196655"/>
    <w:rsid w:val="001B789F"/>
    <w:rsid w:val="001C42F7"/>
    <w:rsid w:val="001D1F26"/>
    <w:rsid w:val="001D65E7"/>
    <w:rsid w:val="001F28F0"/>
    <w:rsid w:val="00203E90"/>
    <w:rsid w:val="00210E82"/>
    <w:rsid w:val="002245C7"/>
    <w:rsid w:val="002258C5"/>
    <w:rsid w:val="0023646F"/>
    <w:rsid w:val="0024394F"/>
    <w:rsid w:val="00247EB0"/>
    <w:rsid w:val="002572AF"/>
    <w:rsid w:val="00260B8C"/>
    <w:rsid w:val="002818E2"/>
    <w:rsid w:val="002851AD"/>
    <w:rsid w:val="002A4F93"/>
    <w:rsid w:val="002B0993"/>
    <w:rsid w:val="002F3498"/>
    <w:rsid w:val="002F59D8"/>
    <w:rsid w:val="00302C75"/>
    <w:rsid w:val="00304084"/>
    <w:rsid w:val="00354976"/>
    <w:rsid w:val="00356E48"/>
    <w:rsid w:val="00363737"/>
    <w:rsid w:val="00382E77"/>
    <w:rsid w:val="003836DE"/>
    <w:rsid w:val="003858DF"/>
    <w:rsid w:val="003A1709"/>
    <w:rsid w:val="003C724C"/>
    <w:rsid w:val="003E69D3"/>
    <w:rsid w:val="003F3D92"/>
    <w:rsid w:val="00406A9D"/>
    <w:rsid w:val="00416C59"/>
    <w:rsid w:val="004203C4"/>
    <w:rsid w:val="00453653"/>
    <w:rsid w:val="00453824"/>
    <w:rsid w:val="00456D1A"/>
    <w:rsid w:val="00460BE8"/>
    <w:rsid w:val="00465349"/>
    <w:rsid w:val="00475A24"/>
    <w:rsid w:val="00475D6B"/>
    <w:rsid w:val="00496B88"/>
    <w:rsid w:val="00496E68"/>
    <w:rsid w:val="004A1C16"/>
    <w:rsid w:val="004A402E"/>
    <w:rsid w:val="004B080D"/>
    <w:rsid w:val="004B08CC"/>
    <w:rsid w:val="004C7BFE"/>
    <w:rsid w:val="004D3E56"/>
    <w:rsid w:val="004D6666"/>
    <w:rsid w:val="004D752F"/>
    <w:rsid w:val="004E1EFC"/>
    <w:rsid w:val="00503B37"/>
    <w:rsid w:val="005127F3"/>
    <w:rsid w:val="00523F06"/>
    <w:rsid w:val="00525A63"/>
    <w:rsid w:val="005328B9"/>
    <w:rsid w:val="00532E0F"/>
    <w:rsid w:val="005338FE"/>
    <w:rsid w:val="005363B5"/>
    <w:rsid w:val="0054140D"/>
    <w:rsid w:val="005454CC"/>
    <w:rsid w:val="00553CBD"/>
    <w:rsid w:val="00575D4A"/>
    <w:rsid w:val="00577D5F"/>
    <w:rsid w:val="005B42B6"/>
    <w:rsid w:val="005C3456"/>
    <w:rsid w:val="005C3C0A"/>
    <w:rsid w:val="005D4D91"/>
    <w:rsid w:val="005F45AE"/>
    <w:rsid w:val="0060336D"/>
    <w:rsid w:val="00606682"/>
    <w:rsid w:val="00607F5A"/>
    <w:rsid w:val="006220B9"/>
    <w:rsid w:val="0062460B"/>
    <w:rsid w:val="0063312B"/>
    <w:rsid w:val="00640EF3"/>
    <w:rsid w:val="006442B8"/>
    <w:rsid w:val="00646392"/>
    <w:rsid w:val="00663ACE"/>
    <w:rsid w:val="006712D8"/>
    <w:rsid w:val="006945B9"/>
    <w:rsid w:val="006D1DED"/>
    <w:rsid w:val="006D7B27"/>
    <w:rsid w:val="006E0EAC"/>
    <w:rsid w:val="006E2AFD"/>
    <w:rsid w:val="006F066B"/>
    <w:rsid w:val="006F3AF2"/>
    <w:rsid w:val="006F4CB6"/>
    <w:rsid w:val="006F616C"/>
    <w:rsid w:val="007108FB"/>
    <w:rsid w:val="00720CA3"/>
    <w:rsid w:val="007350BB"/>
    <w:rsid w:val="0074140C"/>
    <w:rsid w:val="007576BE"/>
    <w:rsid w:val="00775FE1"/>
    <w:rsid w:val="00780489"/>
    <w:rsid w:val="00781D93"/>
    <w:rsid w:val="00790AB4"/>
    <w:rsid w:val="00793D4E"/>
    <w:rsid w:val="007941DD"/>
    <w:rsid w:val="007C1F47"/>
    <w:rsid w:val="007E270D"/>
    <w:rsid w:val="007E40A9"/>
    <w:rsid w:val="007E6F5A"/>
    <w:rsid w:val="007E7FAC"/>
    <w:rsid w:val="007F033C"/>
    <w:rsid w:val="007F73B3"/>
    <w:rsid w:val="00810504"/>
    <w:rsid w:val="00820450"/>
    <w:rsid w:val="00821234"/>
    <w:rsid w:val="00824297"/>
    <w:rsid w:val="00845C47"/>
    <w:rsid w:val="00856B9A"/>
    <w:rsid w:val="00880101"/>
    <w:rsid w:val="00890735"/>
    <w:rsid w:val="008B0D38"/>
    <w:rsid w:val="008B3C34"/>
    <w:rsid w:val="008C28CE"/>
    <w:rsid w:val="008F24A2"/>
    <w:rsid w:val="008F6CC7"/>
    <w:rsid w:val="00902574"/>
    <w:rsid w:val="00905766"/>
    <w:rsid w:val="0091023A"/>
    <w:rsid w:val="0091476D"/>
    <w:rsid w:val="009215DE"/>
    <w:rsid w:val="00921C12"/>
    <w:rsid w:val="00922EF4"/>
    <w:rsid w:val="00941AEA"/>
    <w:rsid w:val="00953293"/>
    <w:rsid w:val="009640AA"/>
    <w:rsid w:val="00974B78"/>
    <w:rsid w:val="00991E2F"/>
    <w:rsid w:val="00993CF0"/>
    <w:rsid w:val="009972C7"/>
    <w:rsid w:val="009B188D"/>
    <w:rsid w:val="009D0A93"/>
    <w:rsid w:val="009D12F0"/>
    <w:rsid w:val="00A25CF0"/>
    <w:rsid w:val="00A331B7"/>
    <w:rsid w:val="00A357FD"/>
    <w:rsid w:val="00A37F71"/>
    <w:rsid w:val="00A40B91"/>
    <w:rsid w:val="00A55389"/>
    <w:rsid w:val="00A6683C"/>
    <w:rsid w:val="00A67F2A"/>
    <w:rsid w:val="00A76BE6"/>
    <w:rsid w:val="00A83503"/>
    <w:rsid w:val="00A9361A"/>
    <w:rsid w:val="00AA3BDD"/>
    <w:rsid w:val="00AA49CF"/>
    <w:rsid w:val="00AB03BF"/>
    <w:rsid w:val="00AB3EEC"/>
    <w:rsid w:val="00AD0EF7"/>
    <w:rsid w:val="00AF5B89"/>
    <w:rsid w:val="00B015CB"/>
    <w:rsid w:val="00B25838"/>
    <w:rsid w:val="00B30962"/>
    <w:rsid w:val="00B4173E"/>
    <w:rsid w:val="00B43303"/>
    <w:rsid w:val="00B51359"/>
    <w:rsid w:val="00B513B6"/>
    <w:rsid w:val="00B52AD3"/>
    <w:rsid w:val="00B60063"/>
    <w:rsid w:val="00B82829"/>
    <w:rsid w:val="00B83444"/>
    <w:rsid w:val="00B83FFF"/>
    <w:rsid w:val="00B8444D"/>
    <w:rsid w:val="00B90037"/>
    <w:rsid w:val="00BB139A"/>
    <w:rsid w:val="00BC27C8"/>
    <w:rsid w:val="00BD30FC"/>
    <w:rsid w:val="00BD6B6F"/>
    <w:rsid w:val="00BE6FC9"/>
    <w:rsid w:val="00BE77A1"/>
    <w:rsid w:val="00C01621"/>
    <w:rsid w:val="00C02F3E"/>
    <w:rsid w:val="00C0535E"/>
    <w:rsid w:val="00C15FD0"/>
    <w:rsid w:val="00C1706F"/>
    <w:rsid w:val="00C67290"/>
    <w:rsid w:val="00C804D2"/>
    <w:rsid w:val="00C80AB8"/>
    <w:rsid w:val="00C828BC"/>
    <w:rsid w:val="00C91311"/>
    <w:rsid w:val="00C91776"/>
    <w:rsid w:val="00CA1E56"/>
    <w:rsid w:val="00CA5037"/>
    <w:rsid w:val="00CA7B66"/>
    <w:rsid w:val="00CA7DAE"/>
    <w:rsid w:val="00CB0580"/>
    <w:rsid w:val="00CC6382"/>
    <w:rsid w:val="00CE04A5"/>
    <w:rsid w:val="00CE7AEF"/>
    <w:rsid w:val="00CF4741"/>
    <w:rsid w:val="00D15A06"/>
    <w:rsid w:val="00D1665D"/>
    <w:rsid w:val="00D31E6F"/>
    <w:rsid w:val="00D556E5"/>
    <w:rsid w:val="00D560CE"/>
    <w:rsid w:val="00D72B08"/>
    <w:rsid w:val="00D730BF"/>
    <w:rsid w:val="00D771D0"/>
    <w:rsid w:val="00D843D3"/>
    <w:rsid w:val="00D8669B"/>
    <w:rsid w:val="00D866B1"/>
    <w:rsid w:val="00DA332E"/>
    <w:rsid w:val="00DA3392"/>
    <w:rsid w:val="00DC24CC"/>
    <w:rsid w:val="00DC41FA"/>
    <w:rsid w:val="00DE42B1"/>
    <w:rsid w:val="00DF191A"/>
    <w:rsid w:val="00E15307"/>
    <w:rsid w:val="00E21E38"/>
    <w:rsid w:val="00E25D94"/>
    <w:rsid w:val="00E36A0A"/>
    <w:rsid w:val="00E401E4"/>
    <w:rsid w:val="00E50197"/>
    <w:rsid w:val="00E56A67"/>
    <w:rsid w:val="00E61D81"/>
    <w:rsid w:val="00E71937"/>
    <w:rsid w:val="00E80A67"/>
    <w:rsid w:val="00E8160F"/>
    <w:rsid w:val="00E83856"/>
    <w:rsid w:val="00E864BA"/>
    <w:rsid w:val="00EB0ABF"/>
    <w:rsid w:val="00ED5B86"/>
    <w:rsid w:val="00EE0ECD"/>
    <w:rsid w:val="00EE4A5D"/>
    <w:rsid w:val="00EF5C8E"/>
    <w:rsid w:val="00F04E26"/>
    <w:rsid w:val="00F12BC4"/>
    <w:rsid w:val="00F33027"/>
    <w:rsid w:val="00F731E7"/>
    <w:rsid w:val="00F73B0F"/>
    <w:rsid w:val="00F749A2"/>
    <w:rsid w:val="00F83EFF"/>
    <w:rsid w:val="00F90FA5"/>
    <w:rsid w:val="00FA07DB"/>
    <w:rsid w:val="00FB0569"/>
    <w:rsid w:val="00FC46AE"/>
    <w:rsid w:val="00FC6876"/>
    <w:rsid w:val="00FC7D77"/>
    <w:rsid w:val="00FD0171"/>
    <w:rsid w:val="00FE0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9FE"/>
  <w15:docId w15:val="{9B9A36A0-AE0B-4B9D-A40F-2990A45D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B9"/>
  </w:style>
  <w:style w:type="paragraph" w:styleId="Heading1">
    <w:name w:val="heading 1"/>
    <w:basedOn w:val="Normal"/>
    <w:next w:val="Normal"/>
    <w:link w:val="Heading1Char"/>
    <w:uiPriority w:val="9"/>
    <w:qFormat/>
    <w:rsid w:val="005328B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328B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28B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28B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328B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328B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328B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328B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328B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E77"/>
    <w:pPr>
      <w:ind w:left="720"/>
      <w:contextualSpacing/>
    </w:pPr>
  </w:style>
  <w:style w:type="character" w:customStyle="1" w:styleId="Heading1Char">
    <w:name w:val="Heading 1 Char"/>
    <w:basedOn w:val="DefaultParagraphFont"/>
    <w:link w:val="Heading1"/>
    <w:uiPriority w:val="9"/>
    <w:rsid w:val="005328B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328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28B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28B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328B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328B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328B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328B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328B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328B9"/>
    <w:pPr>
      <w:spacing w:line="240" w:lineRule="auto"/>
    </w:pPr>
    <w:rPr>
      <w:b/>
      <w:bCs/>
      <w:smallCaps/>
      <w:color w:val="44546A" w:themeColor="text2"/>
    </w:rPr>
  </w:style>
  <w:style w:type="paragraph" w:styleId="Title">
    <w:name w:val="Title"/>
    <w:basedOn w:val="Normal"/>
    <w:next w:val="Normal"/>
    <w:link w:val="TitleChar"/>
    <w:uiPriority w:val="10"/>
    <w:qFormat/>
    <w:rsid w:val="005328B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328B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328B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328B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328B9"/>
    <w:rPr>
      <w:b/>
      <w:bCs/>
    </w:rPr>
  </w:style>
  <w:style w:type="character" w:styleId="Emphasis">
    <w:name w:val="Emphasis"/>
    <w:basedOn w:val="DefaultParagraphFont"/>
    <w:uiPriority w:val="20"/>
    <w:qFormat/>
    <w:rsid w:val="005328B9"/>
    <w:rPr>
      <w:i/>
      <w:iCs/>
    </w:rPr>
  </w:style>
  <w:style w:type="paragraph" w:styleId="NoSpacing">
    <w:name w:val="No Spacing"/>
    <w:uiPriority w:val="1"/>
    <w:qFormat/>
    <w:rsid w:val="005328B9"/>
    <w:pPr>
      <w:spacing w:after="0" w:line="240" w:lineRule="auto"/>
    </w:pPr>
  </w:style>
  <w:style w:type="paragraph" w:styleId="Quote">
    <w:name w:val="Quote"/>
    <w:basedOn w:val="Normal"/>
    <w:next w:val="Normal"/>
    <w:link w:val="QuoteChar"/>
    <w:uiPriority w:val="29"/>
    <w:qFormat/>
    <w:rsid w:val="005328B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328B9"/>
    <w:rPr>
      <w:color w:val="44546A" w:themeColor="text2"/>
      <w:sz w:val="24"/>
      <w:szCs w:val="24"/>
    </w:rPr>
  </w:style>
  <w:style w:type="paragraph" w:styleId="IntenseQuote">
    <w:name w:val="Intense Quote"/>
    <w:basedOn w:val="Normal"/>
    <w:next w:val="Normal"/>
    <w:link w:val="IntenseQuoteChar"/>
    <w:uiPriority w:val="30"/>
    <w:qFormat/>
    <w:rsid w:val="005328B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328B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328B9"/>
    <w:rPr>
      <w:i/>
      <w:iCs/>
      <w:color w:val="595959" w:themeColor="text1" w:themeTint="A6"/>
    </w:rPr>
  </w:style>
  <w:style w:type="character" w:styleId="IntenseEmphasis">
    <w:name w:val="Intense Emphasis"/>
    <w:basedOn w:val="DefaultParagraphFont"/>
    <w:uiPriority w:val="21"/>
    <w:qFormat/>
    <w:rsid w:val="005328B9"/>
    <w:rPr>
      <w:b/>
      <w:bCs/>
      <w:i/>
      <w:iCs/>
    </w:rPr>
  </w:style>
  <w:style w:type="character" w:styleId="SubtleReference">
    <w:name w:val="Subtle Reference"/>
    <w:basedOn w:val="DefaultParagraphFont"/>
    <w:uiPriority w:val="31"/>
    <w:qFormat/>
    <w:rsid w:val="005328B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328B9"/>
    <w:rPr>
      <w:b/>
      <w:bCs/>
      <w:smallCaps/>
      <w:color w:val="44546A" w:themeColor="text2"/>
      <w:u w:val="single"/>
    </w:rPr>
  </w:style>
  <w:style w:type="character" w:styleId="BookTitle">
    <w:name w:val="Book Title"/>
    <w:basedOn w:val="DefaultParagraphFont"/>
    <w:uiPriority w:val="33"/>
    <w:qFormat/>
    <w:rsid w:val="005328B9"/>
    <w:rPr>
      <w:b/>
      <w:bCs/>
      <w:smallCaps/>
      <w:spacing w:val="10"/>
    </w:rPr>
  </w:style>
  <w:style w:type="paragraph" w:styleId="TOCHeading">
    <w:name w:val="TOC Heading"/>
    <w:basedOn w:val="Heading1"/>
    <w:next w:val="Normal"/>
    <w:uiPriority w:val="39"/>
    <w:unhideWhenUsed/>
    <w:qFormat/>
    <w:rsid w:val="005328B9"/>
    <w:pPr>
      <w:outlineLvl w:val="9"/>
    </w:pPr>
  </w:style>
  <w:style w:type="paragraph" w:styleId="NormalWeb">
    <w:name w:val="Normal (Web)"/>
    <w:basedOn w:val="Normal"/>
    <w:uiPriority w:val="99"/>
    <w:unhideWhenUsed/>
    <w:rsid w:val="00475A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820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450"/>
    <w:rPr>
      <w:sz w:val="20"/>
      <w:szCs w:val="20"/>
    </w:rPr>
  </w:style>
  <w:style w:type="character" w:styleId="FootnoteReference">
    <w:name w:val="footnote reference"/>
    <w:basedOn w:val="DefaultParagraphFont"/>
    <w:uiPriority w:val="99"/>
    <w:semiHidden/>
    <w:unhideWhenUsed/>
    <w:rsid w:val="00820450"/>
    <w:rPr>
      <w:vertAlign w:val="superscript"/>
    </w:rPr>
  </w:style>
  <w:style w:type="character" w:styleId="CommentReference">
    <w:name w:val="annotation reference"/>
    <w:basedOn w:val="DefaultParagraphFont"/>
    <w:uiPriority w:val="99"/>
    <w:semiHidden/>
    <w:unhideWhenUsed/>
    <w:rsid w:val="00E864BA"/>
    <w:rPr>
      <w:sz w:val="16"/>
      <w:szCs w:val="16"/>
    </w:rPr>
  </w:style>
  <w:style w:type="paragraph" w:styleId="CommentText">
    <w:name w:val="annotation text"/>
    <w:basedOn w:val="Normal"/>
    <w:link w:val="CommentTextChar"/>
    <w:uiPriority w:val="99"/>
    <w:unhideWhenUsed/>
    <w:rsid w:val="00E864BA"/>
    <w:pPr>
      <w:spacing w:line="240" w:lineRule="auto"/>
    </w:pPr>
    <w:rPr>
      <w:sz w:val="20"/>
      <w:szCs w:val="20"/>
    </w:rPr>
  </w:style>
  <w:style w:type="character" w:customStyle="1" w:styleId="CommentTextChar">
    <w:name w:val="Comment Text Char"/>
    <w:basedOn w:val="DefaultParagraphFont"/>
    <w:link w:val="CommentText"/>
    <w:uiPriority w:val="99"/>
    <w:rsid w:val="00E864BA"/>
    <w:rPr>
      <w:sz w:val="20"/>
      <w:szCs w:val="20"/>
    </w:rPr>
  </w:style>
  <w:style w:type="paragraph" w:styleId="CommentSubject">
    <w:name w:val="annotation subject"/>
    <w:basedOn w:val="CommentText"/>
    <w:next w:val="CommentText"/>
    <w:link w:val="CommentSubjectChar"/>
    <w:uiPriority w:val="99"/>
    <w:semiHidden/>
    <w:unhideWhenUsed/>
    <w:rsid w:val="00E864BA"/>
    <w:rPr>
      <w:b/>
      <w:bCs/>
    </w:rPr>
  </w:style>
  <w:style w:type="character" w:customStyle="1" w:styleId="CommentSubjectChar">
    <w:name w:val="Comment Subject Char"/>
    <w:basedOn w:val="CommentTextChar"/>
    <w:link w:val="CommentSubject"/>
    <w:uiPriority w:val="99"/>
    <w:semiHidden/>
    <w:rsid w:val="00E864BA"/>
    <w:rPr>
      <w:b/>
      <w:bCs/>
      <w:sz w:val="20"/>
      <w:szCs w:val="20"/>
    </w:rPr>
  </w:style>
  <w:style w:type="paragraph" w:styleId="TOC1">
    <w:name w:val="toc 1"/>
    <w:basedOn w:val="Normal"/>
    <w:next w:val="Normal"/>
    <w:autoRedefine/>
    <w:uiPriority w:val="39"/>
    <w:unhideWhenUsed/>
    <w:rsid w:val="00CA7B66"/>
    <w:pPr>
      <w:spacing w:after="100"/>
      <w:jc w:val="center"/>
    </w:pPr>
  </w:style>
  <w:style w:type="paragraph" w:styleId="TOC2">
    <w:name w:val="toc 2"/>
    <w:basedOn w:val="Normal"/>
    <w:next w:val="Normal"/>
    <w:autoRedefine/>
    <w:uiPriority w:val="39"/>
    <w:unhideWhenUsed/>
    <w:rsid w:val="009D0A93"/>
    <w:pPr>
      <w:spacing w:after="100"/>
      <w:ind w:left="220"/>
    </w:pPr>
  </w:style>
  <w:style w:type="character" w:styleId="Hyperlink">
    <w:name w:val="Hyperlink"/>
    <w:basedOn w:val="DefaultParagraphFont"/>
    <w:uiPriority w:val="99"/>
    <w:unhideWhenUsed/>
    <w:rsid w:val="009D0A93"/>
    <w:rPr>
      <w:color w:val="0563C1" w:themeColor="hyperlink"/>
      <w:u w:val="single"/>
    </w:rPr>
  </w:style>
  <w:style w:type="paragraph" w:styleId="Header">
    <w:name w:val="header"/>
    <w:basedOn w:val="Normal"/>
    <w:link w:val="HeaderChar"/>
    <w:uiPriority w:val="99"/>
    <w:unhideWhenUsed/>
    <w:rsid w:val="00F8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FF"/>
  </w:style>
  <w:style w:type="paragraph" w:styleId="Footer">
    <w:name w:val="footer"/>
    <w:basedOn w:val="Normal"/>
    <w:link w:val="FooterChar"/>
    <w:uiPriority w:val="99"/>
    <w:unhideWhenUsed/>
    <w:rsid w:val="00F8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FF"/>
  </w:style>
  <w:style w:type="paragraph" w:styleId="Revision">
    <w:name w:val="Revision"/>
    <w:hidden/>
    <w:uiPriority w:val="99"/>
    <w:semiHidden/>
    <w:rsid w:val="00856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85560">
      <w:bodyDiv w:val="1"/>
      <w:marLeft w:val="0"/>
      <w:marRight w:val="0"/>
      <w:marTop w:val="0"/>
      <w:marBottom w:val="0"/>
      <w:divBdr>
        <w:top w:val="none" w:sz="0" w:space="0" w:color="auto"/>
        <w:left w:val="none" w:sz="0" w:space="0" w:color="auto"/>
        <w:bottom w:val="none" w:sz="0" w:space="0" w:color="auto"/>
        <w:right w:val="none" w:sz="0" w:space="0" w:color="auto"/>
      </w:divBdr>
    </w:div>
    <w:div w:id="204906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E450-EB0C-4E39-B4E1-6C02B067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2476</Words>
  <Characters>13380</Characters>
  <Application>Microsoft Office Word</Application>
  <DocSecurity>2</DocSecurity>
  <Lines>195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Toombs</dc:creator>
  <cp:keywords/>
  <dc:description/>
  <cp:lastModifiedBy>De Vries, Jackie</cp:lastModifiedBy>
  <cp:revision>9</cp:revision>
  <cp:lastPrinted>2023-09-15T08:13:00Z</cp:lastPrinted>
  <dcterms:created xsi:type="dcterms:W3CDTF">2023-10-24T00:02:00Z</dcterms:created>
  <dcterms:modified xsi:type="dcterms:W3CDTF">2023-11-01T00:34:00Z</dcterms:modified>
</cp:coreProperties>
</file>