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F186" w14:textId="77777777" w:rsidR="00AD7640" w:rsidRDefault="00B72570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CEF197" wp14:editId="4347CE94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EF187" w14:textId="77777777" w:rsidR="00AD7640" w:rsidRDefault="00AD7640">
      <w:pPr>
        <w:pStyle w:val="BodyText"/>
        <w:rPr>
          <w:rFonts w:ascii="Times New Roman"/>
          <w:sz w:val="27"/>
        </w:rPr>
      </w:pPr>
    </w:p>
    <w:p w14:paraId="00CEF188" w14:textId="77777777" w:rsidR="00AD7640" w:rsidRDefault="00AD7640">
      <w:pPr>
        <w:pStyle w:val="BodyText"/>
        <w:rPr>
          <w:rFonts w:ascii="Times New Roman"/>
          <w:sz w:val="27"/>
        </w:rPr>
      </w:pPr>
    </w:p>
    <w:p w14:paraId="00CEF189" w14:textId="77777777" w:rsidR="00AD7640" w:rsidRDefault="00AD7640">
      <w:pPr>
        <w:pStyle w:val="BodyText"/>
        <w:spacing w:before="60"/>
        <w:rPr>
          <w:rFonts w:ascii="Times New Roman"/>
          <w:sz w:val="27"/>
        </w:rPr>
      </w:pPr>
    </w:p>
    <w:p w14:paraId="00CEF18A" w14:textId="77777777" w:rsidR="00AD7640" w:rsidRPr="00846E01" w:rsidRDefault="00B72570">
      <w:pPr>
        <w:spacing w:line="310" w:lineRule="exact"/>
        <w:ind w:left="100"/>
        <w:rPr>
          <w:color w:val="333333"/>
          <w:spacing w:val="-4"/>
          <w:sz w:val="24"/>
          <w:szCs w:val="24"/>
        </w:rPr>
      </w:pPr>
      <w:r w:rsidRPr="00846E01">
        <w:rPr>
          <w:color w:val="333333"/>
          <w:sz w:val="24"/>
          <w:szCs w:val="24"/>
        </w:rPr>
        <w:t>21</w:t>
      </w:r>
      <w:r w:rsidRPr="00846E01">
        <w:rPr>
          <w:color w:val="333333"/>
          <w:spacing w:val="-7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August</w:t>
      </w:r>
      <w:r w:rsidRPr="00846E01">
        <w:rPr>
          <w:color w:val="333333"/>
          <w:spacing w:val="-4"/>
          <w:sz w:val="24"/>
          <w:szCs w:val="24"/>
        </w:rPr>
        <w:t xml:space="preserve"> 2023</w:t>
      </w:r>
    </w:p>
    <w:p w14:paraId="777FEDD7" w14:textId="77777777" w:rsidR="00846E01" w:rsidRDefault="00846E01">
      <w:pPr>
        <w:spacing w:line="310" w:lineRule="exact"/>
        <w:ind w:left="100"/>
        <w:rPr>
          <w:sz w:val="27"/>
        </w:rPr>
      </w:pPr>
    </w:p>
    <w:p w14:paraId="00CEF18B" w14:textId="77777777" w:rsidR="00AD7640" w:rsidRPr="00846E01" w:rsidRDefault="00B72570">
      <w:pPr>
        <w:spacing w:line="242" w:lineRule="auto"/>
        <w:ind w:left="100"/>
        <w:rPr>
          <w:sz w:val="24"/>
          <w:szCs w:val="24"/>
        </w:rPr>
      </w:pPr>
      <w:r w:rsidRPr="00846E01">
        <w:rPr>
          <w:color w:val="333333"/>
          <w:sz w:val="24"/>
          <w:szCs w:val="24"/>
        </w:rPr>
        <w:t>Department</w:t>
      </w:r>
      <w:r w:rsidRPr="00846E01">
        <w:rPr>
          <w:color w:val="333333"/>
          <w:spacing w:val="-4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of</w:t>
      </w:r>
      <w:r w:rsidRPr="00846E01">
        <w:rPr>
          <w:color w:val="333333"/>
          <w:spacing w:val="-5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Premier</w:t>
      </w:r>
      <w:r w:rsidRPr="00846E01">
        <w:rPr>
          <w:color w:val="333333"/>
          <w:spacing w:val="-3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and</w:t>
      </w:r>
      <w:r w:rsidRPr="00846E01">
        <w:rPr>
          <w:color w:val="333333"/>
          <w:spacing w:val="-4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Cabinet</w:t>
      </w:r>
      <w:r w:rsidRPr="00846E01">
        <w:rPr>
          <w:color w:val="333333"/>
          <w:spacing w:val="-5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on</w:t>
      </w:r>
      <w:r w:rsidRPr="00846E01">
        <w:rPr>
          <w:color w:val="333333"/>
          <w:spacing w:val="-3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behalf</w:t>
      </w:r>
      <w:r w:rsidRPr="00846E01">
        <w:rPr>
          <w:color w:val="333333"/>
          <w:spacing w:val="-5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of</w:t>
      </w:r>
      <w:r w:rsidRPr="00846E01">
        <w:rPr>
          <w:color w:val="333333"/>
          <w:spacing w:val="-5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the</w:t>
      </w:r>
      <w:r w:rsidRPr="00846E01">
        <w:rPr>
          <w:color w:val="333333"/>
          <w:spacing w:val="-4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Aboriginal</w:t>
      </w:r>
      <w:r w:rsidRPr="00846E01">
        <w:rPr>
          <w:color w:val="333333"/>
          <w:spacing w:val="-3"/>
          <w:sz w:val="24"/>
          <w:szCs w:val="24"/>
        </w:rPr>
        <w:t xml:space="preserve"> </w:t>
      </w:r>
      <w:r w:rsidRPr="00846E01">
        <w:rPr>
          <w:color w:val="333333"/>
          <w:sz w:val="24"/>
          <w:szCs w:val="24"/>
        </w:rPr>
        <w:t>Advisory Group for Truth-telling and Treaty</w:t>
      </w:r>
    </w:p>
    <w:p w14:paraId="00CEF18C" w14:textId="77777777" w:rsidR="00AD7640" w:rsidRDefault="00B72570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Fifth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Meeting</w:t>
      </w:r>
    </w:p>
    <w:p w14:paraId="00CEF18D" w14:textId="77777777" w:rsidR="00AD7640" w:rsidRDefault="00B72570">
      <w:pPr>
        <w:pStyle w:val="ListParagraph"/>
        <w:numPr>
          <w:ilvl w:val="0"/>
          <w:numId w:val="1"/>
        </w:numPr>
        <w:tabs>
          <w:tab w:val="left" w:pos="371"/>
        </w:tabs>
        <w:spacing w:before="165"/>
        <w:ind w:right="226"/>
        <w:rPr>
          <w:sz w:val="24"/>
        </w:rPr>
      </w:pPr>
      <w:r>
        <w:rPr>
          <w:sz w:val="24"/>
        </w:rPr>
        <w:t>The Aboriginal Advisory Group to guide the process for truth-telling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treaty held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0"/>
          <w:sz w:val="24"/>
        </w:rPr>
        <w:t xml:space="preserve"> </w:t>
      </w:r>
      <w:r>
        <w:rPr>
          <w:sz w:val="24"/>
        </w:rPr>
        <w:t>fifth</w:t>
      </w:r>
      <w:r>
        <w:rPr>
          <w:spacing w:val="40"/>
          <w:sz w:val="24"/>
        </w:rPr>
        <w:t xml:space="preserve"> </w:t>
      </w:r>
      <w:r>
        <w:rPr>
          <w:sz w:val="24"/>
        </w:rPr>
        <w:t>meeting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  <w:r>
        <w:rPr>
          <w:spacing w:val="40"/>
          <w:sz w:val="24"/>
        </w:rPr>
        <w:t xml:space="preserve"> </w:t>
      </w:r>
      <w:r>
        <w:rPr>
          <w:sz w:val="24"/>
        </w:rPr>
        <w:t>August</w:t>
      </w:r>
      <w:r>
        <w:rPr>
          <w:spacing w:val="40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Country was</w:t>
      </w:r>
      <w:r>
        <w:rPr>
          <w:spacing w:val="80"/>
          <w:sz w:val="24"/>
        </w:rPr>
        <w:t xml:space="preserve"> </w:t>
      </w:r>
      <w:r>
        <w:rPr>
          <w:sz w:val="24"/>
        </w:rPr>
        <w:t>provided</w:t>
      </w:r>
      <w:r>
        <w:rPr>
          <w:spacing w:val="80"/>
          <w:sz w:val="24"/>
        </w:rPr>
        <w:t xml:space="preserve"> </w:t>
      </w:r>
      <w:r>
        <w:rPr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z w:val="24"/>
        </w:rPr>
        <w:t>the Chair, Nick Cameron.</w:t>
      </w:r>
    </w:p>
    <w:p w14:paraId="00CEF18E" w14:textId="77777777" w:rsidR="00AD7640" w:rsidRDefault="00AD7640">
      <w:pPr>
        <w:pStyle w:val="BodyText"/>
        <w:spacing w:before="98"/>
      </w:pPr>
    </w:p>
    <w:p w14:paraId="00CEF18F" w14:textId="77777777" w:rsidR="00AD7640" w:rsidRDefault="00B72570">
      <w:pPr>
        <w:pStyle w:val="ListParagraph"/>
        <w:numPr>
          <w:ilvl w:val="0"/>
          <w:numId w:val="1"/>
        </w:numPr>
        <w:tabs>
          <w:tab w:val="left" w:pos="371"/>
        </w:tabs>
        <w:ind w:right="294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Aboriginal</w:t>
      </w:r>
      <w:r>
        <w:rPr>
          <w:spacing w:val="40"/>
          <w:sz w:val="24"/>
        </w:rPr>
        <w:t xml:space="preserve"> </w:t>
      </w:r>
      <w:r>
        <w:rPr>
          <w:sz w:val="24"/>
        </w:rPr>
        <w:t>Advisory</w:t>
      </w:r>
      <w:r>
        <w:rPr>
          <w:spacing w:val="40"/>
          <w:sz w:val="24"/>
        </w:rPr>
        <w:t xml:space="preserve"> </w:t>
      </w:r>
      <w:r>
        <w:rPr>
          <w:sz w:val="24"/>
        </w:rPr>
        <w:t>Group</w:t>
      </w:r>
      <w:r>
        <w:rPr>
          <w:spacing w:val="40"/>
          <w:sz w:val="24"/>
        </w:rPr>
        <w:t xml:space="preserve"> </w:t>
      </w:r>
      <w:r>
        <w:rPr>
          <w:sz w:val="24"/>
        </w:rPr>
        <w:t>welcomed</w:t>
      </w:r>
      <w:r>
        <w:rPr>
          <w:spacing w:val="40"/>
          <w:sz w:val="24"/>
        </w:rPr>
        <w:t xml:space="preserve"> </w:t>
      </w:r>
      <w:r>
        <w:rPr>
          <w:sz w:val="24"/>
        </w:rPr>
        <w:t>South</w:t>
      </w:r>
      <w:r>
        <w:rPr>
          <w:spacing w:val="40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40"/>
          <w:sz w:val="24"/>
        </w:rPr>
        <w:t xml:space="preserve"> </w:t>
      </w:r>
      <w:r>
        <w:rPr>
          <w:sz w:val="24"/>
        </w:rPr>
        <w:t>for First</w:t>
      </w:r>
      <w:r>
        <w:rPr>
          <w:spacing w:val="40"/>
          <w:sz w:val="24"/>
        </w:rPr>
        <w:t xml:space="preserve"> </w:t>
      </w:r>
      <w:r>
        <w:rPr>
          <w:sz w:val="24"/>
        </w:rPr>
        <w:t>Nations</w:t>
      </w:r>
      <w:r>
        <w:rPr>
          <w:spacing w:val="40"/>
          <w:sz w:val="24"/>
        </w:rPr>
        <w:t xml:space="preserve"> </w:t>
      </w:r>
      <w:r>
        <w:rPr>
          <w:sz w:val="24"/>
        </w:rPr>
        <w:t>Voice,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Dale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Agius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who presented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Voice</w:t>
      </w:r>
      <w:r>
        <w:rPr>
          <w:spacing w:val="40"/>
          <w:sz w:val="24"/>
        </w:rPr>
        <w:t xml:space="preserve"> </w:t>
      </w:r>
      <w:r>
        <w:rPr>
          <w:sz w:val="24"/>
        </w:rPr>
        <w:t>to Parliament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operation of regional Voices.</w:t>
      </w:r>
    </w:p>
    <w:p w14:paraId="00CEF190" w14:textId="77777777" w:rsidR="00AD7640" w:rsidRDefault="00AD7640">
      <w:pPr>
        <w:pStyle w:val="BodyText"/>
        <w:spacing w:before="96"/>
      </w:pPr>
    </w:p>
    <w:p w14:paraId="00CEF191" w14:textId="77777777" w:rsidR="00AD7640" w:rsidRDefault="00B72570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right="100"/>
        <w:rPr>
          <w:sz w:val="24"/>
        </w:rPr>
      </w:pPr>
      <w:r>
        <w:rPr>
          <w:sz w:val="24"/>
        </w:rPr>
        <w:t>The Group discussed its progression towards independence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importance of</w:t>
      </w:r>
      <w:r>
        <w:rPr>
          <w:spacing w:val="40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Aboriginal</w:t>
      </w:r>
      <w:r>
        <w:rPr>
          <w:spacing w:val="40"/>
          <w:sz w:val="24"/>
        </w:rPr>
        <w:t xml:space="preserve"> </w:t>
      </w:r>
      <w:r>
        <w:rPr>
          <w:sz w:val="24"/>
        </w:rPr>
        <w:t>people</w:t>
      </w:r>
      <w:r>
        <w:rPr>
          <w:spacing w:val="40"/>
          <w:sz w:val="24"/>
        </w:rPr>
        <w:t xml:space="preserve"> </w:t>
      </w:r>
      <w:r>
        <w:rPr>
          <w:sz w:val="24"/>
        </w:rPr>
        <w:t>are aware of the Advisory Group’s activity.</w:t>
      </w:r>
    </w:p>
    <w:p w14:paraId="00CEF192" w14:textId="77777777" w:rsidR="00AD7640" w:rsidRDefault="00AD7640">
      <w:pPr>
        <w:pStyle w:val="BodyText"/>
        <w:spacing w:before="98"/>
      </w:pPr>
    </w:p>
    <w:p w14:paraId="00CEF193" w14:textId="77777777" w:rsidR="00AD7640" w:rsidRDefault="00B72570">
      <w:pPr>
        <w:pStyle w:val="ListParagraph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8"/>
          <w:sz w:val="24"/>
        </w:rPr>
        <w:t xml:space="preserve"> </w:t>
      </w:r>
      <w:r>
        <w:rPr>
          <w:sz w:val="24"/>
        </w:rPr>
        <w:t>Tasmanian</w:t>
      </w:r>
      <w:r>
        <w:rPr>
          <w:spacing w:val="-4"/>
          <w:sz w:val="24"/>
        </w:rPr>
        <w:t xml:space="preserve"> </w:t>
      </w:r>
      <w:r>
        <w:rPr>
          <w:sz w:val="24"/>
        </w:rPr>
        <w:t>Aboriginal</w:t>
      </w:r>
      <w:r>
        <w:rPr>
          <w:spacing w:val="-2"/>
          <w:sz w:val="24"/>
        </w:rPr>
        <w:t xml:space="preserve"> people.</w:t>
      </w:r>
    </w:p>
    <w:p w14:paraId="00CEF194" w14:textId="77777777" w:rsidR="00AD7640" w:rsidRDefault="00AD7640">
      <w:pPr>
        <w:pStyle w:val="BodyText"/>
      </w:pPr>
    </w:p>
    <w:p w14:paraId="00CEF195" w14:textId="77777777" w:rsidR="00AD7640" w:rsidRDefault="00AD7640">
      <w:pPr>
        <w:pStyle w:val="BodyText"/>
        <w:spacing w:before="268"/>
      </w:pPr>
    </w:p>
    <w:p w14:paraId="00CEF196" w14:textId="77777777" w:rsidR="00AD7640" w:rsidRDefault="00B72570">
      <w:pPr>
        <w:pStyle w:val="BodyText"/>
        <w:ind w:left="139"/>
      </w:pPr>
      <w:r>
        <w:rPr>
          <w:color w:val="333333"/>
        </w:rPr>
        <w:t>Contact:</w:t>
      </w:r>
      <w:r>
        <w:rPr>
          <w:color w:val="333333"/>
          <w:spacing w:val="-2"/>
        </w:rPr>
        <w:t xml:space="preserve"> </w:t>
      </w:r>
      <w:hyperlink r:id="rId6">
        <w:r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AD7640">
      <w:type w:val="continuous"/>
      <w:pgSz w:w="11910" w:h="1684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0F69"/>
    <w:multiLevelType w:val="hybridMultilevel"/>
    <w:tmpl w:val="C16E1D98"/>
    <w:lvl w:ilvl="0" w:tplc="B02E767C">
      <w:numFmt w:val="bullet"/>
      <w:lvlText w:val=""/>
      <w:lvlJc w:val="left"/>
      <w:pPr>
        <w:ind w:left="371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E27092">
      <w:numFmt w:val="bullet"/>
      <w:lvlText w:val="•"/>
      <w:lvlJc w:val="left"/>
      <w:pPr>
        <w:ind w:left="1268" w:hanging="271"/>
      </w:pPr>
      <w:rPr>
        <w:rFonts w:hint="default"/>
        <w:lang w:val="en-US" w:eastAsia="en-US" w:bidi="ar-SA"/>
      </w:rPr>
    </w:lvl>
    <w:lvl w:ilvl="2" w:tplc="11623F38">
      <w:numFmt w:val="bullet"/>
      <w:lvlText w:val="•"/>
      <w:lvlJc w:val="left"/>
      <w:pPr>
        <w:ind w:left="2157" w:hanging="271"/>
      </w:pPr>
      <w:rPr>
        <w:rFonts w:hint="default"/>
        <w:lang w:val="en-US" w:eastAsia="en-US" w:bidi="ar-SA"/>
      </w:rPr>
    </w:lvl>
    <w:lvl w:ilvl="3" w:tplc="C5C490E8">
      <w:numFmt w:val="bullet"/>
      <w:lvlText w:val="•"/>
      <w:lvlJc w:val="left"/>
      <w:pPr>
        <w:ind w:left="3045" w:hanging="271"/>
      </w:pPr>
      <w:rPr>
        <w:rFonts w:hint="default"/>
        <w:lang w:val="en-US" w:eastAsia="en-US" w:bidi="ar-SA"/>
      </w:rPr>
    </w:lvl>
    <w:lvl w:ilvl="4" w:tplc="916E937E">
      <w:numFmt w:val="bullet"/>
      <w:lvlText w:val="•"/>
      <w:lvlJc w:val="left"/>
      <w:pPr>
        <w:ind w:left="3934" w:hanging="271"/>
      </w:pPr>
      <w:rPr>
        <w:rFonts w:hint="default"/>
        <w:lang w:val="en-US" w:eastAsia="en-US" w:bidi="ar-SA"/>
      </w:rPr>
    </w:lvl>
    <w:lvl w:ilvl="5" w:tplc="DD627822">
      <w:numFmt w:val="bullet"/>
      <w:lvlText w:val="•"/>
      <w:lvlJc w:val="left"/>
      <w:pPr>
        <w:ind w:left="4823" w:hanging="271"/>
      </w:pPr>
      <w:rPr>
        <w:rFonts w:hint="default"/>
        <w:lang w:val="en-US" w:eastAsia="en-US" w:bidi="ar-SA"/>
      </w:rPr>
    </w:lvl>
    <w:lvl w:ilvl="6" w:tplc="4DAE91C4">
      <w:numFmt w:val="bullet"/>
      <w:lvlText w:val="•"/>
      <w:lvlJc w:val="left"/>
      <w:pPr>
        <w:ind w:left="5711" w:hanging="271"/>
      </w:pPr>
      <w:rPr>
        <w:rFonts w:hint="default"/>
        <w:lang w:val="en-US" w:eastAsia="en-US" w:bidi="ar-SA"/>
      </w:rPr>
    </w:lvl>
    <w:lvl w:ilvl="7" w:tplc="7BCA7CBE">
      <w:numFmt w:val="bullet"/>
      <w:lvlText w:val="•"/>
      <w:lvlJc w:val="left"/>
      <w:pPr>
        <w:ind w:left="6600" w:hanging="271"/>
      </w:pPr>
      <w:rPr>
        <w:rFonts w:hint="default"/>
        <w:lang w:val="en-US" w:eastAsia="en-US" w:bidi="ar-SA"/>
      </w:rPr>
    </w:lvl>
    <w:lvl w:ilvl="8" w:tplc="127EC998">
      <w:numFmt w:val="bullet"/>
      <w:lvlText w:val="•"/>
      <w:lvlJc w:val="left"/>
      <w:pPr>
        <w:ind w:left="7489" w:hanging="271"/>
      </w:pPr>
      <w:rPr>
        <w:rFonts w:hint="default"/>
        <w:lang w:val="en-US" w:eastAsia="en-US" w:bidi="ar-SA"/>
      </w:rPr>
    </w:lvl>
  </w:abstractNum>
  <w:num w:numId="1" w16cid:durableId="133483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640"/>
    <w:rsid w:val="00846E01"/>
    <w:rsid w:val="00AD7640"/>
    <w:rsid w:val="00B72570"/>
    <w:rsid w:val="00D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F186"/>
  <w15:docId w15:val="{9DB22864-D80E-43F7-A311-E019F7F3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9"/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37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riginalAdvisoryGroup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Department of Premier and Cabinet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dcterms:created xsi:type="dcterms:W3CDTF">2024-08-01T04:56:00Z</dcterms:created>
  <dcterms:modified xsi:type="dcterms:W3CDTF">2024-08-01T04:56:00Z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