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35B10" w14:textId="767CAEA6" w:rsidR="00EB6CAF" w:rsidRPr="00EB6CAF" w:rsidRDefault="07CA41F2" w:rsidP="236FF238">
      <w:r>
        <w:rPr>
          <w:noProof/>
        </w:rPr>
        <w:drawing>
          <wp:inline distT="0" distB="0" distL="0" distR="0" wp14:anchorId="5E8F5B14" wp14:editId="235A4F24">
            <wp:extent cx="5733333" cy="876190"/>
            <wp:effectExtent l="0" t="0" r="0" b="0"/>
            <wp:docPr id="632024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02421" name="Picture 63202421"/>
                    <pic:cNvPicPr/>
                  </pic:nvPicPr>
                  <pic:blipFill>
                    <a:blip r:embed="rId7">
                      <a:extLst>
                        <a:ext uri="{28A0092B-C50C-407E-A947-70E740481C1C}">
                          <a14:useLocalDpi xmlns:a14="http://schemas.microsoft.com/office/drawing/2010/main"/>
                        </a:ext>
                      </a:extLst>
                    </a:blip>
                    <a:stretch>
                      <a:fillRect/>
                    </a:stretch>
                  </pic:blipFill>
                  <pic:spPr>
                    <a:xfrm>
                      <a:off x="0" y="0"/>
                      <a:ext cx="5733333" cy="876190"/>
                    </a:xfrm>
                    <a:prstGeom prst="rect">
                      <a:avLst/>
                    </a:prstGeom>
                  </pic:spPr>
                </pic:pic>
              </a:graphicData>
            </a:graphic>
          </wp:inline>
        </w:drawing>
      </w:r>
    </w:p>
    <w:p w14:paraId="0879650F" w14:textId="77777777" w:rsidR="00EB6CAF" w:rsidRPr="00EB6CAF" w:rsidRDefault="00EB6CAF" w:rsidP="00EB6CAF">
      <w:pPr>
        <w:rPr>
          <w:b/>
          <w:bCs/>
        </w:rPr>
      </w:pPr>
      <w:r w:rsidRPr="00EB6CAF">
        <w:rPr>
          <w:b/>
          <w:bCs/>
        </w:rPr>
        <w:t>Submission on Proposed Ministerial Diaries Disclosure Reforms</w:t>
      </w:r>
    </w:p>
    <w:p w14:paraId="3426A7D3" w14:textId="77777777" w:rsidR="00EB6CAF" w:rsidRPr="00EB6CAF" w:rsidRDefault="00EB6CAF" w:rsidP="00EB6CAF">
      <w:r w:rsidRPr="00EB6CAF">
        <w:t>Thank you for the opportunity to comment on the government’s proposed changes to ministerial diary disclosure in Tasmania. The reforms are a long-overdue step toward strengthening public confidence in government decision-making, but only if implemented with statutory force, broadened scope, improved usability, and meaningful detail.</w:t>
      </w:r>
    </w:p>
    <w:p w14:paraId="4A01060B" w14:textId="77777777" w:rsidR="00EB6CAF" w:rsidRPr="00EB6CAF" w:rsidRDefault="00EB6CAF" w:rsidP="00EB6CAF">
      <w:pPr>
        <w:rPr>
          <w:b/>
          <w:bCs/>
        </w:rPr>
      </w:pPr>
      <w:r w:rsidRPr="00EB6CAF">
        <w:rPr>
          <w:b/>
          <w:bCs/>
        </w:rPr>
        <w:t>1. Views on the overall direction of the proposed changes</w:t>
      </w:r>
    </w:p>
    <w:p w14:paraId="2451BD46" w14:textId="77777777" w:rsidR="00EB6CAF" w:rsidRPr="00EB6CAF" w:rsidRDefault="00EB6CAF" w:rsidP="00EB6CAF">
      <w:r w:rsidRPr="00EB6CAF">
        <w:t xml:space="preserve">The reform direction is positive but incomplete. Tasmania’s existing regime is voluntary, irregular, and substantively weak — a point well-documented in the background materials, which note that diary releases are inconsistent, with the most recent public tranche often months out of date and frequently devoid of meaningful purpose descriptions (e.g., “general issues,” “various matters” listed 38 times in one quarter). </w:t>
      </w:r>
    </w:p>
    <w:p w14:paraId="6ED6E1C5" w14:textId="77777777" w:rsidR="00EB6CAF" w:rsidRPr="00EB6CAF" w:rsidRDefault="00EB6CAF" w:rsidP="00EB6CAF">
      <w:r w:rsidRPr="00EB6CAF">
        <w:t>A system that relies on the goodwill of the government of the day is not a transparency framework — it is an optional courtesy. Tasmania needs a mandatory, legislated scheme to ensure continuity, enforceability, and durability across political cycles.</w:t>
      </w:r>
    </w:p>
    <w:p w14:paraId="44A03D60" w14:textId="77777777" w:rsidR="00EB6CAF" w:rsidRPr="00EB6CAF" w:rsidRDefault="00EB6CAF" w:rsidP="00EB6CAF">
      <w:pPr>
        <w:rPr>
          <w:b/>
          <w:bCs/>
        </w:rPr>
      </w:pPr>
      <w:r w:rsidRPr="00EB6CAF">
        <w:rPr>
          <w:b/>
          <w:bCs/>
        </w:rPr>
        <w:t>2. How the proposed reforms could improve transparency, accountability, and trust</w:t>
      </w:r>
    </w:p>
    <w:p w14:paraId="525F5AA0" w14:textId="77777777" w:rsidR="00EB6CAF" w:rsidRPr="00EB6CAF" w:rsidRDefault="00EB6CAF" w:rsidP="00EB6CAF">
      <w:r w:rsidRPr="00EB6CAF">
        <w:t>Mandatory, detailed, timely diary disclosures are a proven mechanism for making transparent “who is in the room” when decisions affecting public resources and policy direction are being shaped. Reform would:</w:t>
      </w:r>
    </w:p>
    <w:p w14:paraId="2F24824B" w14:textId="77777777" w:rsidR="00EB6CAF" w:rsidRPr="00EB6CAF" w:rsidRDefault="00EB6CAF" w:rsidP="00EB6CAF">
      <w:pPr>
        <w:numPr>
          <w:ilvl w:val="0"/>
          <w:numId w:val="1"/>
        </w:numPr>
      </w:pPr>
      <w:r w:rsidRPr="00EB6CAF">
        <w:t xml:space="preserve">Expose the breadth — and imbalance — of access to ministers, reducing the risk or perception that vested interests enjoy privileged influence (noted throughout the brief as a core democratic integrity concern). </w:t>
      </w:r>
    </w:p>
    <w:p w14:paraId="26A74CBE" w14:textId="77777777" w:rsidR="00EB6CAF" w:rsidRPr="00EB6CAF" w:rsidRDefault="00EB6CAF" w:rsidP="00EB6CAF">
      <w:pPr>
        <w:numPr>
          <w:ilvl w:val="0"/>
          <w:numId w:val="1"/>
        </w:numPr>
      </w:pPr>
      <w:r w:rsidRPr="00EB6CAF">
        <w:t xml:space="preserve">Allow conflicts of interest to be identified early, strengthening accountability mechanisms and enabling oversight bodies, media, and the public to “cross-check” information — a practice explicitly supported by the Tasmanian Integrity Commission. </w:t>
      </w:r>
    </w:p>
    <w:p w14:paraId="7B37D229" w14:textId="77777777" w:rsidR="00EB6CAF" w:rsidRPr="00EB6CAF" w:rsidRDefault="00EB6CAF" w:rsidP="00EB6CAF">
      <w:pPr>
        <w:numPr>
          <w:ilvl w:val="0"/>
          <w:numId w:val="1"/>
        </w:numPr>
      </w:pPr>
      <w:r w:rsidRPr="00EB6CAF">
        <w:t>Reinforce public confidence that ministerial decisions are being made in the public interest, not through opaque channels accessible only to the well-resourced.</w:t>
      </w:r>
    </w:p>
    <w:p w14:paraId="2786777E" w14:textId="77777777" w:rsidR="00EB6CAF" w:rsidRPr="00EB6CAF" w:rsidRDefault="00EB6CAF" w:rsidP="00EB6CAF">
      <w:r w:rsidRPr="00EB6CAF">
        <w:t xml:space="preserve">Other jurisdictions, including Queensland, Victoria and NSW, have already demonstrated the benefits of mandatory diary publication regimes. Tasmania should not </w:t>
      </w:r>
      <w:proofErr w:type="gramStart"/>
      <w:r w:rsidRPr="00EB6CAF">
        <w:t>lag behind</w:t>
      </w:r>
      <w:proofErr w:type="gramEnd"/>
      <w:r w:rsidRPr="00EB6CAF">
        <w:t xml:space="preserve">. </w:t>
      </w:r>
    </w:p>
    <w:p w14:paraId="6CA2D558" w14:textId="77777777" w:rsidR="00EB6CAF" w:rsidRPr="00EB6CAF" w:rsidRDefault="00EB6CAF" w:rsidP="00EB6CAF">
      <w:pPr>
        <w:rPr>
          <w:b/>
          <w:bCs/>
        </w:rPr>
      </w:pPr>
      <w:r w:rsidRPr="00EB6CAF">
        <w:rPr>
          <w:b/>
          <w:bCs/>
        </w:rPr>
        <w:t>3. Practical considerations, risks, and implementation challenges</w:t>
      </w:r>
    </w:p>
    <w:p w14:paraId="3DDF7021" w14:textId="77777777" w:rsidR="00EB6CAF" w:rsidRPr="00EB6CAF" w:rsidRDefault="00EB6CAF" w:rsidP="00EB6CAF">
      <w:r w:rsidRPr="00EB6CAF">
        <w:t>A credible disclosure regime must avoid the pitfalls of the current system. Key risks include:</w:t>
      </w:r>
    </w:p>
    <w:p w14:paraId="3FDD6FD7" w14:textId="77777777" w:rsidR="00EB6CAF" w:rsidRPr="00EB6CAF" w:rsidRDefault="00EB6CAF" w:rsidP="00EB6CAF">
      <w:pPr>
        <w:numPr>
          <w:ilvl w:val="0"/>
          <w:numId w:val="2"/>
        </w:numPr>
      </w:pPr>
      <w:r w:rsidRPr="00EB6CAF">
        <w:rPr>
          <w:b/>
          <w:bCs/>
        </w:rPr>
        <w:t>Meaningless entries.</w:t>
      </w:r>
      <w:r w:rsidRPr="00EB6CAF">
        <w:t xml:space="preserve"> As demonstrated by the brief’s examples, entries such as “various matters” defeat the purpose of disclosure. Clear guidance on minimum detail is needed, modelled on jurisdictions like Victoria, where descriptions are substantive and precise.</w:t>
      </w:r>
    </w:p>
    <w:p w14:paraId="2D185A62" w14:textId="77777777" w:rsidR="00EB6CAF" w:rsidRPr="00EB6CAF" w:rsidRDefault="00EB6CAF" w:rsidP="00EB6CAF">
      <w:pPr>
        <w:numPr>
          <w:ilvl w:val="0"/>
          <w:numId w:val="2"/>
        </w:numPr>
      </w:pPr>
      <w:r w:rsidRPr="00EB6CAF">
        <w:rPr>
          <w:b/>
          <w:bCs/>
        </w:rPr>
        <w:lastRenderedPageBreak/>
        <w:t>Irregular release.</w:t>
      </w:r>
      <w:r w:rsidRPr="00EB6CAF">
        <w:t xml:space="preserve"> The current voluntary system sees unexplained delays. A statutory monthly release requirement — as used in Queensland — removes ambiguity and forces consistency.</w:t>
      </w:r>
    </w:p>
    <w:p w14:paraId="1A501BD3" w14:textId="77777777" w:rsidR="00EB6CAF" w:rsidRPr="00EB6CAF" w:rsidRDefault="00EB6CAF" w:rsidP="00EB6CAF">
      <w:pPr>
        <w:numPr>
          <w:ilvl w:val="0"/>
          <w:numId w:val="2"/>
        </w:numPr>
      </w:pPr>
      <w:r w:rsidRPr="00EB6CAF">
        <w:rPr>
          <w:b/>
          <w:bCs/>
        </w:rPr>
        <w:t>Technical usability.</w:t>
      </w:r>
      <w:r w:rsidRPr="00EB6CAF">
        <w:t xml:space="preserve"> The current practice of uploading scanned PDFs is effectively designed to repel scrutiny. It prohibits keyword searching, cross-referencing, and data extraction. A modern system must be digital, machine-readable, and searchable.</w:t>
      </w:r>
    </w:p>
    <w:p w14:paraId="0E48264D" w14:textId="77777777" w:rsidR="00EB6CAF" w:rsidRPr="00EB6CAF" w:rsidRDefault="00EB6CAF" w:rsidP="00EB6CAF">
      <w:pPr>
        <w:numPr>
          <w:ilvl w:val="0"/>
          <w:numId w:val="2"/>
        </w:numPr>
      </w:pPr>
      <w:r w:rsidRPr="00EB6CAF">
        <w:rPr>
          <w:b/>
          <w:bCs/>
        </w:rPr>
        <w:t>Scope gaps.</w:t>
      </w:r>
      <w:r w:rsidRPr="00EB6CAF">
        <w:t xml:space="preserve"> If departmental advisers and party-political events are excluded, the disclosure regime becomes selectively porous. Former Premier David Bartlett’s model, which included these categories, shows that broader scope is practical and achievable. </w:t>
      </w:r>
    </w:p>
    <w:p w14:paraId="00F217BE" w14:textId="77777777" w:rsidR="00EB6CAF" w:rsidRPr="00EB6CAF" w:rsidRDefault="00EB6CAF" w:rsidP="00EB6CAF">
      <w:r w:rsidRPr="00EB6CAF">
        <w:t>These risks are best addressed through legislated standards rather than administrative preferences.</w:t>
      </w:r>
    </w:p>
    <w:p w14:paraId="6285773D" w14:textId="77777777" w:rsidR="00EB6CAF" w:rsidRPr="00EB6CAF" w:rsidRDefault="00EB6CAF" w:rsidP="00EB6CAF">
      <w:pPr>
        <w:rPr>
          <w:b/>
          <w:bCs/>
        </w:rPr>
      </w:pPr>
      <w:r w:rsidRPr="00EB6CAF">
        <w:rPr>
          <w:b/>
          <w:bCs/>
        </w:rPr>
        <w:t>4. Additional measures to enhance effectiveness and accessibility</w:t>
      </w:r>
    </w:p>
    <w:p w14:paraId="353C473D" w14:textId="77777777" w:rsidR="00EB6CAF" w:rsidRPr="00EB6CAF" w:rsidRDefault="00EB6CAF" w:rsidP="00EB6CAF">
      <w:r w:rsidRPr="00EB6CAF">
        <w:t>To create a best-practice Tasmanian model, the following improvements are essential:</w:t>
      </w:r>
    </w:p>
    <w:p w14:paraId="6485B990" w14:textId="77777777" w:rsidR="00EB6CAF" w:rsidRPr="00EB6CAF" w:rsidRDefault="00EB6CAF" w:rsidP="00EB6CAF">
      <w:pPr>
        <w:rPr>
          <w:b/>
          <w:bCs/>
        </w:rPr>
      </w:pPr>
      <w:r w:rsidRPr="00EB6CAF">
        <w:rPr>
          <w:b/>
          <w:bCs/>
        </w:rPr>
        <w:t>a. Legislate the scheme</w:t>
      </w:r>
    </w:p>
    <w:p w14:paraId="792CB14F" w14:textId="77777777" w:rsidR="00EB6CAF" w:rsidRPr="00EB6CAF" w:rsidRDefault="00EB6CAF" w:rsidP="00EB6CAF">
      <w:r w:rsidRPr="00EB6CAF">
        <w:t>The disclosure regime must be mandated in statute, not policy. Only a legislated scheme ensures that:</w:t>
      </w:r>
    </w:p>
    <w:p w14:paraId="429B2866" w14:textId="77777777" w:rsidR="00EB6CAF" w:rsidRPr="00EB6CAF" w:rsidRDefault="00EB6CAF" w:rsidP="00EB6CAF">
      <w:pPr>
        <w:numPr>
          <w:ilvl w:val="0"/>
          <w:numId w:val="3"/>
        </w:numPr>
      </w:pPr>
      <w:r w:rsidRPr="00EB6CAF">
        <w:t xml:space="preserve">diary disclosure cannot be discontinued by a future </w:t>
      </w:r>
      <w:proofErr w:type="gramStart"/>
      <w:r w:rsidRPr="00EB6CAF">
        <w:t>government;</w:t>
      </w:r>
      <w:proofErr w:type="gramEnd"/>
    </w:p>
    <w:p w14:paraId="55699EE7" w14:textId="77777777" w:rsidR="00EB6CAF" w:rsidRPr="00EB6CAF" w:rsidRDefault="00EB6CAF" w:rsidP="00EB6CAF">
      <w:pPr>
        <w:numPr>
          <w:ilvl w:val="0"/>
          <w:numId w:val="3"/>
        </w:numPr>
      </w:pPr>
      <w:r w:rsidRPr="00EB6CAF">
        <w:t xml:space="preserve">minimum standards for detail, scope, and timeliness are </w:t>
      </w:r>
      <w:proofErr w:type="gramStart"/>
      <w:r w:rsidRPr="00EB6CAF">
        <w:t>enforceable;</w:t>
      </w:r>
      <w:proofErr w:type="gramEnd"/>
    </w:p>
    <w:p w14:paraId="5001F98E" w14:textId="77777777" w:rsidR="00EB6CAF" w:rsidRPr="00EB6CAF" w:rsidRDefault="00EB6CAF" w:rsidP="00EB6CAF">
      <w:pPr>
        <w:numPr>
          <w:ilvl w:val="0"/>
          <w:numId w:val="3"/>
        </w:numPr>
      </w:pPr>
      <w:r w:rsidRPr="00EB6CAF">
        <w:t>compliance mechanisms and reporting obligations exist.</w:t>
      </w:r>
    </w:p>
    <w:p w14:paraId="76CF9D2A" w14:textId="77777777" w:rsidR="00EB6CAF" w:rsidRPr="00EB6CAF" w:rsidRDefault="00EB6CAF" w:rsidP="00EB6CAF">
      <w:r w:rsidRPr="00EB6CAF">
        <w:t xml:space="preserve">Tasmania has already seen both the introduction and quiet abandonment of diary disclosures by previous governments. A statutory scheme is the only durable safeguard. </w:t>
      </w:r>
    </w:p>
    <w:p w14:paraId="15CD59A2" w14:textId="77777777" w:rsidR="00EB6CAF" w:rsidRPr="00EB6CAF" w:rsidRDefault="00EB6CAF" w:rsidP="00EB6CAF">
      <w:pPr>
        <w:rPr>
          <w:b/>
          <w:bCs/>
        </w:rPr>
      </w:pPr>
      <w:r w:rsidRPr="00EB6CAF">
        <w:rPr>
          <w:b/>
          <w:bCs/>
        </w:rPr>
        <w:t>b. Broaden the scope of disclosable meetings</w:t>
      </w:r>
    </w:p>
    <w:p w14:paraId="01F45B9F" w14:textId="77777777" w:rsidR="00EB6CAF" w:rsidRPr="00EB6CAF" w:rsidRDefault="00EB6CAF" w:rsidP="00EB6CAF">
      <w:r w:rsidRPr="00EB6CAF">
        <w:t>Disclosures should cover:</w:t>
      </w:r>
    </w:p>
    <w:p w14:paraId="166B85FB" w14:textId="77777777" w:rsidR="00EB6CAF" w:rsidRPr="00EB6CAF" w:rsidRDefault="00EB6CAF" w:rsidP="00EB6CAF">
      <w:pPr>
        <w:numPr>
          <w:ilvl w:val="0"/>
          <w:numId w:val="4"/>
        </w:numPr>
      </w:pPr>
      <w:r w:rsidRPr="00EB6CAF">
        <w:rPr>
          <w:b/>
          <w:bCs/>
        </w:rPr>
        <w:t>Meetings involving ministerial advisers and departmental personnel.</w:t>
      </w:r>
      <w:r w:rsidRPr="00EB6CAF">
        <w:t xml:space="preserve"> These interactions frequently shape policy direction and are included in best-practice models (e.g., Bartlett-era Tasmania and Grattan Institute recommendations). </w:t>
      </w:r>
    </w:p>
    <w:p w14:paraId="35FFAFE6" w14:textId="77777777" w:rsidR="00EB6CAF" w:rsidRPr="00EB6CAF" w:rsidRDefault="00EB6CAF" w:rsidP="00EB6CAF">
      <w:pPr>
        <w:numPr>
          <w:ilvl w:val="0"/>
          <w:numId w:val="4"/>
        </w:numPr>
      </w:pPr>
      <w:r w:rsidRPr="00EB6CAF">
        <w:rPr>
          <w:b/>
          <w:bCs/>
        </w:rPr>
        <w:t>Party meetings, fundraisers, and political functions where ministers interact with stakeholders or donors.</w:t>
      </w:r>
      <w:r w:rsidRPr="00EB6CAF">
        <w:t xml:space="preserve"> These events offer privileged access and influence and should not fall outside the public record.</w:t>
      </w:r>
    </w:p>
    <w:p w14:paraId="2D0BE080" w14:textId="77777777" w:rsidR="00EB6CAF" w:rsidRPr="00EB6CAF" w:rsidRDefault="00EB6CAF" w:rsidP="00EB6CAF">
      <w:pPr>
        <w:rPr>
          <w:b/>
          <w:bCs/>
        </w:rPr>
      </w:pPr>
      <w:r w:rsidRPr="00EB6CAF">
        <w:rPr>
          <w:b/>
          <w:bCs/>
        </w:rPr>
        <w:t>c. Searchable, digital, open-data format</w:t>
      </w:r>
    </w:p>
    <w:p w14:paraId="3BB04F17" w14:textId="77777777" w:rsidR="00EB6CAF" w:rsidRPr="00EB6CAF" w:rsidRDefault="00EB6CAF" w:rsidP="00EB6CAF">
      <w:r w:rsidRPr="00EB6CAF">
        <w:t>Disclosure should be:</w:t>
      </w:r>
    </w:p>
    <w:p w14:paraId="75D6EEDB" w14:textId="77777777" w:rsidR="00EB6CAF" w:rsidRPr="00EB6CAF" w:rsidRDefault="00EB6CAF" w:rsidP="00EB6CAF">
      <w:pPr>
        <w:numPr>
          <w:ilvl w:val="0"/>
          <w:numId w:val="5"/>
        </w:numPr>
      </w:pPr>
      <w:r w:rsidRPr="00EB6CAF">
        <w:t xml:space="preserve">published </w:t>
      </w:r>
      <w:proofErr w:type="gramStart"/>
      <w:r w:rsidRPr="00EB6CAF">
        <w:t>monthly;</w:t>
      </w:r>
      <w:proofErr w:type="gramEnd"/>
    </w:p>
    <w:p w14:paraId="51964F07" w14:textId="77777777" w:rsidR="00EB6CAF" w:rsidRPr="00EB6CAF" w:rsidRDefault="00EB6CAF" w:rsidP="00EB6CAF">
      <w:pPr>
        <w:numPr>
          <w:ilvl w:val="0"/>
          <w:numId w:val="5"/>
        </w:numPr>
      </w:pPr>
      <w:r w:rsidRPr="00EB6CAF">
        <w:t>exported in machine-readable formats (CSV, XML, JSON</w:t>
      </w:r>
      <w:proofErr w:type="gramStart"/>
      <w:r w:rsidRPr="00EB6CAF">
        <w:t>);</w:t>
      </w:r>
      <w:proofErr w:type="gramEnd"/>
    </w:p>
    <w:p w14:paraId="0E62A8F8" w14:textId="77777777" w:rsidR="00EB6CAF" w:rsidRPr="00EB6CAF" w:rsidRDefault="00EB6CAF" w:rsidP="00EB6CAF">
      <w:pPr>
        <w:numPr>
          <w:ilvl w:val="0"/>
          <w:numId w:val="5"/>
        </w:numPr>
      </w:pPr>
      <w:r w:rsidRPr="00EB6CAF">
        <w:t xml:space="preserve">searchable by minister, stakeholder, date, issue, and </w:t>
      </w:r>
      <w:proofErr w:type="gramStart"/>
      <w:r w:rsidRPr="00EB6CAF">
        <w:t>lobbyist;</w:t>
      </w:r>
      <w:proofErr w:type="gramEnd"/>
    </w:p>
    <w:p w14:paraId="79F8FB5F" w14:textId="77777777" w:rsidR="00EB6CAF" w:rsidRPr="00EB6CAF" w:rsidRDefault="00EB6CAF" w:rsidP="00EB6CAF">
      <w:pPr>
        <w:numPr>
          <w:ilvl w:val="0"/>
          <w:numId w:val="5"/>
        </w:numPr>
      </w:pPr>
      <w:r w:rsidRPr="00EB6CAF">
        <w:t>able to integrate with lobbyist registers for cross-checking.</w:t>
      </w:r>
    </w:p>
    <w:p w14:paraId="5FD05E13" w14:textId="77777777" w:rsidR="00EB6CAF" w:rsidRPr="00EB6CAF" w:rsidRDefault="00EB6CAF" w:rsidP="00EB6CAF">
      <w:r w:rsidRPr="00EB6CAF">
        <w:t xml:space="preserve">This mirrors ACT open-access principles and Queensland’s approach and would end the current “scanned-PDF archaeology” that has made meaningful scrutiny impossible. </w:t>
      </w:r>
    </w:p>
    <w:p w14:paraId="57B5F4C3" w14:textId="77777777" w:rsidR="00EB6CAF" w:rsidRPr="00EB6CAF" w:rsidRDefault="00EB6CAF" w:rsidP="00EB6CAF">
      <w:pPr>
        <w:rPr>
          <w:b/>
          <w:bCs/>
        </w:rPr>
      </w:pPr>
      <w:r w:rsidRPr="00EB6CAF">
        <w:rPr>
          <w:b/>
          <w:bCs/>
        </w:rPr>
        <w:lastRenderedPageBreak/>
        <w:t>d. Clear guidance on minimum detail</w:t>
      </w:r>
    </w:p>
    <w:p w14:paraId="7A7BD253" w14:textId="77777777" w:rsidR="00EB6CAF" w:rsidRPr="00EB6CAF" w:rsidRDefault="00EB6CAF" w:rsidP="00EB6CAF">
      <w:r w:rsidRPr="00EB6CAF">
        <w:t>Entries must include:</w:t>
      </w:r>
    </w:p>
    <w:p w14:paraId="7B40B329" w14:textId="77777777" w:rsidR="00EB6CAF" w:rsidRPr="00EB6CAF" w:rsidRDefault="00EB6CAF" w:rsidP="00EB6CAF">
      <w:pPr>
        <w:numPr>
          <w:ilvl w:val="0"/>
          <w:numId w:val="6"/>
        </w:numPr>
      </w:pPr>
      <w:r w:rsidRPr="00EB6CAF">
        <w:t xml:space="preserve">date, time and </w:t>
      </w:r>
      <w:proofErr w:type="gramStart"/>
      <w:r w:rsidRPr="00EB6CAF">
        <w:t>location;</w:t>
      </w:r>
      <w:proofErr w:type="gramEnd"/>
    </w:p>
    <w:p w14:paraId="7C261338" w14:textId="77777777" w:rsidR="00EB6CAF" w:rsidRPr="00EB6CAF" w:rsidRDefault="00EB6CAF" w:rsidP="00EB6CAF">
      <w:pPr>
        <w:numPr>
          <w:ilvl w:val="0"/>
          <w:numId w:val="6"/>
        </w:numPr>
      </w:pPr>
      <w:r w:rsidRPr="00EB6CAF">
        <w:t>all attendees (including advisers</w:t>
      </w:r>
      <w:proofErr w:type="gramStart"/>
      <w:r w:rsidRPr="00EB6CAF">
        <w:t>);</w:t>
      </w:r>
      <w:proofErr w:type="gramEnd"/>
    </w:p>
    <w:p w14:paraId="5BBC37C3" w14:textId="77777777" w:rsidR="00EB6CAF" w:rsidRPr="00EB6CAF" w:rsidRDefault="00EB6CAF" w:rsidP="00EB6CAF">
      <w:pPr>
        <w:numPr>
          <w:ilvl w:val="0"/>
          <w:numId w:val="6"/>
        </w:numPr>
      </w:pPr>
      <w:r w:rsidRPr="00EB6CAF">
        <w:t xml:space="preserve">the organisation </w:t>
      </w:r>
      <w:proofErr w:type="gramStart"/>
      <w:r w:rsidRPr="00EB6CAF">
        <w:t>represented;</w:t>
      </w:r>
      <w:proofErr w:type="gramEnd"/>
    </w:p>
    <w:p w14:paraId="5EB42DBF" w14:textId="77777777" w:rsidR="00EB6CAF" w:rsidRPr="00EB6CAF" w:rsidRDefault="00EB6CAF" w:rsidP="00EB6CAF">
      <w:pPr>
        <w:numPr>
          <w:ilvl w:val="0"/>
          <w:numId w:val="6"/>
        </w:numPr>
      </w:pPr>
      <w:r w:rsidRPr="00EB6CAF">
        <w:t xml:space="preserve">the purpose of the meeting, expressed in meaningful </w:t>
      </w:r>
      <w:proofErr w:type="gramStart"/>
      <w:r w:rsidRPr="00EB6CAF">
        <w:t>terms;</w:t>
      </w:r>
      <w:proofErr w:type="gramEnd"/>
    </w:p>
    <w:p w14:paraId="414BE688" w14:textId="77777777" w:rsidR="00EB6CAF" w:rsidRPr="00EB6CAF" w:rsidRDefault="00EB6CAF" w:rsidP="00EB6CAF">
      <w:pPr>
        <w:numPr>
          <w:ilvl w:val="0"/>
          <w:numId w:val="6"/>
        </w:numPr>
      </w:pPr>
      <w:r w:rsidRPr="00EB6CAF">
        <w:t>whether the meeting was initiated by the minister or the external party.</w:t>
      </w:r>
    </w:p>
    <w:p w14:paraId="17D7C9B3" w14:textId="77777777" w:rsidR="00EB6CAF" w:rsidRPr="00EB6CAF" w:rsidRDefault="00EB6CAF" w:rsidP="00EB6CAF">
      <w:pPr>
        <w:rPr>
          <w:b/>
          <w:bCs/>
        </w:rPr>
      </w:pPr>
      <w:r w:rsidRPr="00EB6CAF">
        <w:rPr>
          <w:b/>
          <w:bCs/>
        </w:rPr>
        <w:t>e. Oversight and enforcement</w:t>
      </w:r>
    </w:p>
    <w:p w14:paraId="4C6186C8" w14:textId="77777777" w:rsidR="00EB6CAF" w:rsidRPr="00EB6CAF" w:rsidRDefault="00EB6CAF" w:rsidP="00EB6CAF">
      <w:r w:rsidRPr="00EB6CAF">
        <w:t>An independent officer — preferably the Integrity Commission — should:</w:t>
      </w:r>
    </w:p>
    <w:p w14:paraId="547C8DAF" w14:textId="77777777" w:rsidR="00EB6CAF" w:rsidRPr="00EB6CAF" w:rsidRDefault="00EB6CAF" w:rsidP="00EB6CAF">
      <w:pPr>
        <w:numPr>
          <w:ilvl w:val="0"/>
          <w:numId w:val="7"/>
        </w:numPr>
      </w:pPr>
      <w:r w:rsidRPr="00EB6CAF">
        <w:t xml:space="preserve">monitor </w:t>
      </w:r>
      <w:proofErr w:type="gramStart"/>
      <w:r w:rsidRPr="00EB6CAF">
        <w:t>compliance;</w:t>
      </w:r>
      <w:proofErr w:type="gramEnd"/>
    </w:p>
    <w:p w14:paraId="4954430C" w14:textId="77777777" w:rsidR="00EB6CAF" w:rsidRPr="00EB6CAF" w:rsidRDefault="00EB6CAF" w:rsidP="00EB6CAF">
      <w:pPr>
        <w:numPr>
          <w:ilvl w:val="0"/>
          <w:numId w:val="7"/>
        </w:numPr>
      </w:pPr>
      <w:r w:rsidRPr="00EB6CAF">
        <w:t xml:space="preserve">issue public notices of </w:t>
      </w:r>
      <w:proofErr w:type="gramStart"/>
      <w:r w:rsidRPr="00EB6CAF">
        <w:t>non-compliance;</w:t>
      </w:r>
      <w:proofErr w:type="gramEnd"/>
    </w:p>
    <w:p w14:paraId="409D0058" w14:textId="77777777" w:rsidR="00EB6CAF" w:rsidRPr="00EB6CAF" w:rsidRDefault="00EB6CAF" w:rsidP="00EB6CAF">
      <w:pPr>
        <w:numPr>
          <w:ilvl w:val="0"/>
          <w:numId w:val="7"/>
        </w:numPr>
      </w:pPr>
      <w:r w:rsidRPr="00EB6CAF">
        <w:t>maintain a consolidated, open-access portal.</w:t>
      </w:r>
    </w:p>
    <w:p w14:paraId="622319C4" w14:textId="7C48A7A1" w:rsidR="00EB6CAF" w:rsidRPr="00EB6CAF" w:rsidRDefault="00EB6CAF" w:rsidP="00EB6CAF"/>
    <w:p w14:paraId="77A06052" w14:textId="77777777" w:rsidR="00EB6CAF" w:rsidRPr="00EB6CAF" w:rsidRDefault="00EB6CAF" w:rsidP="00EB6CAF">
      <w:pPr>
        <w:rPr>
          <w:b/>
          <w:bCs/>
        </w:rPr>
      </w:pPr>
      <w:r w:rsidRPr="00EB6CAF">
        <w:rPr>
          <w:b/>
          <w:bCs/>
        </w:rPr>
        <w:t>Conclusion</w:t>
      </w:r>
    </w:p>
    <w:p w14:paraId="5E9C2E1C" w14:textId="77777777" w:rsidR="00EB6CAF" w:rsidRPr="00EB6CAF" w:rsidRDefault="00EB6CAF" w:rsidP="00EB6CAF">
      <w:r w:rsidRPr="00EB6CAF">
        <w:t>Tasmania has the chance to move from a patchy, voluntary, inconsistent system to a robust, legislated, modern transparency framework. The reforms should:</w:t>
      </w:r>
    </w:p>
    <w:p w14:paraId="28A1DFFC" w14:textId="77777777" w:rsidR="00EB6CAF" w:rsidRPr="00EB6CAF" w:rsidRDefault="00EB6CAF" w:rsidP="00EB6CAF">
      <w:pPr>
        <w:numPr>
          <w:ilvl w:val="0"/>
          <w:numId w:val="8"/>
        </w:numPr>
      </w:pPr>
      <w:r w:rsidRPr="00EB6CAF">
        <w:t xml:space="preserve">be statutory, not </w:t>
      </w:r>
      <w:proofErr w:type="gramStart"/>
      <w:r w:rsidRPr="00EB6CAF">
        <w:t>discretionary;</w:t>
      </w:r>
      <w:proofErr w:type="gramEnd"/>
    </w:p>
    <w:p w14:paraId="651A8B08" w14:textId="77777777" w:rsidR="00EB6CAF" w:rsidRPr="00EB6CAF" w:rsidRDefault="00EB6CAF" w:rsidP="00EB6CAF">
      <w:pPr>
        <w:numPr>
          <w:ilvl w:val="0"/>
          <w:numId w:val="8"/>
        </w:numPr>
      </w:pPr>
      <w:r w:rsidRPr="00EB6CAF">
        <w:t xml:space="preserve">broaden the scope of what must be </w:t>
      </w:r>
      <w:proofErr w:type="gramStart"/>
      <w:r w:rsidRPr="00EB6CAF">
        <w:t>disclosed;</w:t>
      </w:r>
      <w:proofErr w:type="gramEnd"/>
    </w:p>
    <w:p w14:paraId="46548C7F" w14:textId="77777777" w:rsidR="00EB6CAF" w:rsidRPr="00EB6CAF" w:rsidRDefault="00EB6CAF" w:rsidP="00EB6CAF">
      <w:pPr>
        <w:numPr>
          <w:ilvl w:val="0"/>
          <w:numId w:val="8"/>
        </w:numPr>
      </w:pPr>
      <w:r w:rsidRPr="00EB6CAF">
        <w:t xml:space="preserve">mandate monthly </w:t>
      </w:r>
      <w:proofErr w:type="gramStart"/>
      <w:r w:rsidRPr="00EB6CAF">
        <w:t>releases;</w:t>
      </w:r>
      <w:proofErr w:type="gramEnd"/>
    </w:p>
    <w:p w14:paraId="349EAEC4" w14:textId="77777777" w:rsidR="00EB6CAF" w:rsidRPr="00EB6CAF" w:rsidRDefault="00EB6CAF" w:rsidP="00EB6CAF">
      <w:pPr>
        <w:numPr>
          <w:ilvl w:val="0"/>
          <w:numId w:val="8"/>
        </w:numPr>
      </w:pPr>
      <w:r w:rsidRPr="00EB6CAF">
        <w:t>require a digital, searchable format; and</w:t>
      </w:r>
    </w:p>
    <w:p w14:paraId="46A36BBF" w14:textId="77777777" w:rsidR="00EB6CAF" w:rsidRPr="00EB6CAF" w:rsidRDefault="00EB6CAF" w:rsidP="00EB6CAF">
      <w:pPr>
        <w:numPr>
          <w:ilvl w:val="0"/>
          <w:numId w:val="8"/>
        </w:numPr>
      </w:pPr>
      <w:r w:rsidRPr="00EB6CAF">
        <w:t>ensure substantive detail rather than token entries.</w:t>
      </w:r>
    </w:p>
    <w:p w14:paraId="0669505D" w14:textId="77777777" w:rsidR="00EB6CAF" w:rsidRPr="00EB6CAF" w:rsidRDefault="00EB6CAF" w:rsidP="00EB6CAF">
      <w:r w:rsidRPr="00EB6CAF">
        <w:t>A strong ministerial diary disclosure regime is a mild administrative burden for ministers — and a major democratic safeguard for the Tasmanian public.</w:t>
      </w:r>
    </w:p>
    <w:p w14:paraId="46BCA2BC" w14:textId="77777777" w:rsidR="00FE09F2" w:rsidRDefault="00FE09F2"/>
    <w:p w14:paraId="2164E062" w14:textId="75775C19" w:rsidR="787329E8" w:rsidRDefault="787329E8">
      <w:r>
        <w:t>Kristie Johnston MP</w:t>
      </w:r>
    </w:p>
    <w:p w14:paraId="1E30D5E8" w14:textId="62E9D696" w:rsidR="787329E8" w:rsidRDefault="787329E8">
      <w:r>
        <w:t>Independent member for Clark</w:t>
      </w:r>
    </w:p>
    <w:p w14:paraId="518EE88D" w14:textId="77777777" w:rsidR="009B5707" w:rsidRPr="00BF4AD5" w:rsidRDefault="009B5707" w:rsidP="009B5707">
      <w:pPr>
        <w:spacing w:after="0" w:line="240" w:lineRule="auto"/>
        <w:rPr>
          <w:rFonts w:ascii="Aptos" w:eastAsia="Times New Roman" w:hAnsi="Aptos" w:cs="Times New Roman"/>
          <w:b/>
          <w:bCs/>
          <w:color w:val="C00000"/>
        </w:rPr>
      </w:pPr>
      <w:r w:rsidRPr="00BF4AD5">
        <w:rPr>
          <w:rFonts w:ascii="Aptos" w:eastAsia="Times New Roman" w:hAnsi="Aptos" w:cs="Times New Roman"/>
          <w:b/>
          <w:bCs/>
          <w:color w:val="C00000"/>
        </w:rPr>
        <w:t>Personal information removed</w:t>
      </w:r>
      <w:r>
        <w:rPr>
          <w:rFonts w:ascii="Aptos" w:eastAsia="Times New Roman" w:hAnsi="Aptos" w:cs="Times New Roman"/>
          <w:b/>
          <w:bCs/>
          <w:color w:val="C00000"/>
        </w:rPr>
        <w:t xml:space="preserve"> per </w:t>
      </w:r>
      <w:r w:rsidRPr="00BF4AD5">
        <w:rPr>
          <w:rFonts w:ascii="Aptos" w:eastAsia="Times New Roman" w:hAnsi="Aptos" w:cs="Times New Roman"/>
          <w:b/>
          <w:bCs/>
          <w:color w:val="C00000"/>
        </w:rPr>
        <w:t>Public Submissions Policy</w:t>
      </w:r>
    </w:p>
    <w:p w14:paraId="52EE362D" w14:textId="3F238AC1" w:rsidR="787329E8" w:rsidRPr="0050609E" w:rsidRDefault="787329E8" w:rsidP="009B5707">
      <w:pPr>
        <w:rPr>
          <w:b/>
          <w:bCs/>
          <w:color w:val="C00000"/>
        </w:rPr>
      </w:pPr>
    </w:p>
    <w:sectPr w:rsidR="787329E8" w:rsidRPr="0050609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06FF7" w14:textId="77777777" w:rsidR="00AA27AD" w:rsidRDefault="00AA27AD" w:rsidP="00AA27AD">
      <w:pPr>
        <w:spacing w:after="0" w:line="240" w:lineRule="auto"/>
      </w:pPr>
      <w:r>
        <w:separator/>
      </w:r>
    </w:p>
  </w:endnote>
  <w:endnote w:type="continuationSeparator" w:id="0">
    <w:p w14:paraId="1363EBC3" w14:textId="77777777" w:rsidR="00AA27AD" w:rsidRDefault="00AA27AD" w:rsidP="00AA2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32F1" w14:textId="3CE0033B" w:rsidR="00AA27AD" w:rsidRDefault="00AA27AD">
    <w:pPr>
      <w:pStyle w:val="Footer"/>
    </w:pPr>
    <w:r>
      <w:rPr>
        <w:noProof/>
      </w:rPr>
      <mc:AlternateContent>
        <mc:Choice Requires="wps">
          <w:drawing>
            <wp:anchor distT="0" distB="0" distL="0" distR="0" simplePos="0" relativeHeight="251662336" behindDoc="0" locked="0" layoutInCell="1" allowOverlap="1" wp14:anchorId="78E8BA2F" wp14:editId="47FE3042">
              <wp:simplePos x="635" y="635"/>
              <wp:positionH relativeFrom="page">
                <wp:align>center</wp:align>
              </wp:positionH>
              <wp:positionV relativeFrom="page">
                <wp:align>bottom</wp:align>
              </wp:positionV>
              <wp:extent cx="551815" cy="391160"/>
              <wp:effectExtent l="0" t="0" r="635" b="0"/>
              <wp:wrapNone/>
              <wp:docPr id="17624729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CDCAE96" w14:textId="3922A468"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E8BA2F" id="_x0000_t202" coordsize="21600,21600" o:spt="202" path="m,l,21600r21600,l21600,xe">
              <v:stroke joinstyle="miter"/>
              <v:path gradientshapeok="t" o:connecttype="rect"/>
            </v:shapetype>
            <v:shape id="Text Box 5" o:spid="_x0000_s1028" type="#_x0000_t202" alt="OFFICIAL" style="position:absolute;margin-left:0;margin-top:0;width:43.45pt;height:30.8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" filled="f" stroked="f">
              <v:fill o:detectmouseclick="t"/>
              <v:textbox style="mso-fit-shape-to-text:t" inset="0,0,0,15pt">
                <w:txbxContent>
                  <w:p w14:paraId="7CDCAE96" w14:textId="3922A468"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D346" w14:textId="50C2F0A4" w:rsidR="00AA27AD" w:rsidRDefault="00AA27AD">
    <w:pPr>
      <w:pStyle w:val="Footer"/>
    </w:pPr>
    <w:r>
      <w:rPr>
        <w:noProof/>
      </w:rPr>
      <mc:AlternateContent>
        <mc:Choice Requires="wps">
          <w:drawing>
            <wp:anchor distT="0" distB="0" distL="0" distR="0" simplePos="0" relativeHeight="251663360" behindDoc="0" locked="0" layoutInCell="1" allowOverlap="1" wp14:anchorId="6196B5FE" wp14:editId="4F4CE3D1">
              <wp:simplePos x="914400" y="10067925"/>
              <wp:positionH relativeFrom="page">
                <wp:align>center</wp:align>
              </wp:positionH>
              <wp:positionV relativeFrom="page">
                <wp:align>bottom</wp:align>
              </wp:positionV>
              <wp:extent cx="551815" cy="391160"/>
              <wp:effectExtent l="0" t="0" r="635" b="0"/>
              <wp:wrapNone/>
              <wp:docPr id="54311863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611A945" w14:textId="4E97B107"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6B5FE" id="_x0000_t202" coordsize="21600,21600" o:spt="202" path="m,l,21600r21600,l21600,xe">
              <v:stroke joinstyle="miter"/>
              <v:path gradientshapeok="t" o:connecttype="rect"/>
            </v:shapetype>
            <v:shape id="Text Box 6" o:spid="_x0000_s1029" type="#_x0000_t202" alt="OFFICIAL" style="position:absolute;margin-left:0;margin-top:0;width:43.45pt;height:30.8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7F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NMg4/QbqAy2FcOTbO7lsqfVK+PAikAimPUi0&#10;4ZkObaCvOJwszhrAn//yx3zCnaKc9SSYiltSNGfmuyU+orZGA0djk4ziNp/mFLe77gFIhgW9CCeT&#10;SV4MZjQ1QvdGcl7ERhQSVlK7im9G8yEclUvPQarFIiWRjJwIK7t2MpaOcEUsX4c3ge4EeCCmnmBU&#10;kyjf4X7MjTe9W+wCoZ9IidAegTwhThJMXJ2eS9T47/8p6/Ko57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Bxpk7F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6611A945" w14:textId="4E97B107"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7311" w14:textId="613DF593" w:rsidR="00AA27AD" w:rsidRDefault="00AA27AD">
    <w:pPr>
      <w:pStyle w:val="Footer"/>
    </w:pPr>
    <w:r>
      <w:rPr>
        <w:noProof/>
      </w:rPr>
      <mc:AlternateContent>
        <mc:Choice Requires="wps">
          <w:drawing>
            <wp:anchor distT="0" distB="0" distL="0" distR="0" simplePos="0" relativeHeight="251661312" behindDoc="0" locked="0" layoutInCell="1" allowOverlap="1" wp14:anchorId="2102F5BA" wp14:editId="62EF98C5">
              <wp:simplePos x="635" y="635"/>
              <wp:positionH relativeFrom="page">
                <wp:align>center</wp:align>
              </wp:positionH>
              <wp:positionV relativeFrom="page">
                <wp:align>bottom</wp:align>
              </wp:positionV>
              <wp:extent cx="551815" cy="391160"/>
              <wp:effectExtent l="0" t="0" r="635" b="0"/>
              <wp:wrapNone/>
              <wp:docPr id="128391746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6978B87" w14:textId="2ED0B141"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2F5BA" id="_x0000_t202" coordsize="21600,21600" o:spt="202" path="m,l,21600r21600,l21600,xe">
              <v:stroke joinstyle="miter"/>
              <v:path gradientshapeok="t" o:connecttype="rect"/>
            </v:shapetype>
            <v:shape id="Text Box 4" o:spid="_x0000_s1031" type="#_x0000_t202" alt="OFFICIAL" style="position:absolute;margin-left:0;margin-top:0;width:43.45pt;height:30.8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" filled="f" stroked="f">
              <v:fill o:detectmouseclick="t"/>
              <v:textbox style="mso-fit-shape-to-text:t" inset="0,0,0,15pt">
                <w:txbxContent>
                  <w:p w14:paraId="76978B87" w14:textId="2ED0B141"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1D1C" w14:textId="77777777" w:rsidR="00AA27AD" w:rsidRDefault="00AA27AD" w:rsidP="00AA27AD">
      <w:pPr>
        <w:spacing w:after="0" w:line="240" w:lineRule="auto"/>
      </w:pPr>
      <w:r>
        <w:separator/>
      </w:r>
    </w:p>
  </w:footnote>
  <w:footnote w:type="continuationSeparator" w:id="0">
    <w:p w14:paraId="63F3F635" w14:textId="77777777" w:rsidR="00AA27AD" w:rsidRDefault="00AA27AD" w:rsidP="00AA2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589B" w14:textId="35782401" w:rsidR="00AA27AD" w:rsidRDefault="00AA27AD">
    <w:pPr>
      <w:pStyle w:val="Header"/>
    </w:pPr>
    <w:r>
      <w:rPr>
        <w:noProof/>
      </w:rPr>
      <mc:AlternateContent>
        <mc:Choice Requires="wps">
          <w:drawing>
            <wp:anchor distT="0" distB="0" distL="0" distR="0" simplePos="0" relativeHeight="251659264" behindDoc="0" locked="0" layoutInCell="1" allowOverlap="1" wp14:anchorId="5D0A1B9E" wp14:editId="58F4C5AA">
              <wp:simplePos x="635" y="635"/>
              <wp:positionH relativeFrom="page">
                <wp:align>center</wp:align>
              </wp:positionH>
              <wp:positionV relativeFrom="page">
                <wp:align>top</wp:align>
              </wp:positionV>
              <wp:extent cx="551815" cy="391160"/>
              <wp:effectExtent l="0" t="0" r="635" b="8890"/>
              <wp:wrapNone/>
              <wp:docPr id="512146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48744B0" w14:textId="346302AF"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0A1B9E" id="_x0000_t202" coordsize="21600,21600" o:spt="202" path="m,l,21600r21600,l21600,xe">
              <v:stroke joinstyle="miter"/>
              <v:path gradientshapeok="t" o:connecttype="rect"/>
            </v:shapetype>
            <v:shape id="Text Box 2" o:spid="_x0000_s1026" type="#_x0000_t202" alt="OFFICIAL" style="position:absolute;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fill o:detectmouseclick="t"/>
              <v:textbox style="mso-fit-shape-to-text:t" inset="0,15pt,0,0">
                <w:txbxContent>
                  <w:p w14:paraId="648744B0" w14:textId="346302AF"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1241D" w14:textId="2FF07F8B" w:rsidR="00AA27AD" w:rsidRDefault="00AA27AD">
    <w:pPr>
      <w:pStyle w:val="Header"/>
    </w:pPr>
    <w:r>
      <w:rPr>
        <w:noProof/>
      </w:rPr>
      <mc:AlternateContent>
        <mc:Choice Requires="wps">
          <w:drawing>
            <wp:anchor distT="0" distB="0" distL="0" distR="0" simplePos="0" relativeHeight="251660288" behindDoc="0" locked="0" layoutInCell="1" allowOverlap="1" wp14:anchorId="3859B264" wp14:editId="49090918">
              <wp:simplePos x="914400" y="447675"/>
              <wp:positionH relativeFrom="page">
                <wp:align>center</wp:align>
              </wp:positionH>
              <wp:positionV relativeFrom="page">
                <wp:align>top</wp:align>
              </wp:positionV>
              <wp:extent cx="551815" cy="391160"/>
              <wp:effectExtent l="0" t="0" r="635" b="8890"/>
              <wp:wrapNone/>
              <wp:docPr id="38789051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B3E1E89" w14:textId="79265C83"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59B264" id="_x0000_t202" coordsize="21600,21600" o:spt="202" path="m,l,21600r21600,l21600,xe">
              <v:stroke joinstyle="miter"/>
              <v:path gradientshapeok="t" o:connecttype="rect"/>
            </v:shapetype>
            <v:shape id="Text Box 3" o:spid="_x0000_s1027" type="#_x0000_t202" alt="OFFICIAL" style="position:absolute;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fill o:detectmouseclick="t"/>
              <v:textbox style="mso-fit-shape-to-text:t" inset="0,15pt,0,0">
                <w:txbxContent>
                  <w:p w14:paraId="5B3E1E89" w14:textId="79265C83"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CD90" w14:textId="4EF4E82F" w:rsidR="00AA27AD" w:rsidRDefault="00AA27AD">
    <w:pPr>
      <w:pStyle w:val="Header"/>
    </w:pPr>
    <w:r>
      <w:rPr>
        <w:noProof/>
      </w:rPr>
      <mc:AlternateContent>
        <mc:Choice Requires="wps">
          <w:drawing>
            <wp:anchor distT="0" distB="0" distL="0" distR="0" simplePos="0" relativeHeight="251658240" behindDoc="0" locked="0" layoutInCell="1" allowOverlap="1" wp14:anchorId="247C32E9" wp14:editId="7071540A">
              <wp:simplePos x="635" y="635"/>
              <wp:positionH relativeFrom="page">
                <wp:align>center</wp:align>
              </wp:positionH>
              <wp:positionV relativeFrom="page">
                <wp:align>top</wp:align>
              </wp:positionV>
              <wp:extent cx="551815" cy="391160"/>
              <wp:effectExtent l="0" t="0" r="635" b="8890"/>
              <wp:wrapNone/>
              <wp:docPr id="1127290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467FC65" w14:textId="744A6D41"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7C32E9" id="_x0000_t202" coordsize="21600,21600" o:spt="202" path="m,l,21600r21600,l21600,xe">
              <v:stroke joinstyle="miter"/>
              <v:path gradientshapeok="t" o:connecttype="rect"/>
            </v:shapetype>
            <v:shape id="Text Box 1" o:spid="_x0000_s1030" type="#_x0000_t202" alt="OFFICIAL" style="position:absolute;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fill o:detectmouseclick="t"/>
              <v:textbox style="mso-fit-shape-to-text:t" inset="0,15pt,0,0">
                <w:txbxContent>
                  <w:p w14:paraId="1467FC65" w14:textId="744A6D41" w:rsidR="00AA27AD" w:rsidRPr="00AA27AD" w:rsidRDefault="00AA27AD" w:rsidP="00AA27AD">
                    <w:pPr>
                      <w:spacing w:after="0"/>
                      <w:rPr>
                        <w:rFonts w:ascii="Calibri" w:eastAsia="Calibri" w:hAnsi="Calibri" w:cs="Calibri"/>
                        <w:noProof/>
                        <w:color w:val="FF0000"/>
                        <w:sz w:val="24"/>
                        <w:szCs w:val="24"/>
                      </w:rPr>
                    </w:pPr>
                    <w:r w:rsidRPr="00AA27AD">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D17AC"/>
    <w:multiLevelType w:val="multilevel"/>
    <w:tmpl w:val="90EAD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27D7F"/>
    <w:multiLevelType w:val="multilevel"/>
    <w:tmpl w:val="6BF8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2F2BA5"/>
    <w:multiLevelType w:val="multilevel"/>
    <w:tmpl w:val="04302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B2BF8"/>
    <w:multiLevelType w:val="multilevel"/>
    <w:tmpl w:val="19F0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396F6E"/>
    <w:multiLevelType w:val="multilevel"/>
    <w:tmpl w:val="4E1A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B64262"/>
    <w:multiLevelType w:val="multilevel"/>
    <w:tmpl w:val="B37E8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A1636"/>
    <w:multiLevelType w:val="multilevel"/>
    <w:tmpl w:val="71B24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726E03"/>
    <w:multiLevelType w:val="multilevel"/>
    <w:tmpl w:val="57222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735212">
    <w:abstractNumId w:val="3"/>
  </w:num>
  <w:num w:numId="2" w16cid:durableId="415976350">
    <w:abstractNumId w:val="2"/>
  </w:num>
  <w:num w:numId="3" w16cid:durableId="264115639">
    <w:abstractNumId w:val="4"/>
  </w:num>
  <w:num w:numId="4" w16cid:durableId="1365136546">
    <w:abstractNumId w:val="6"/>
  </w:num>
  <w:num w:numId="5" w16cid:durableId="111050384">
    <w:abstractNumId w:val="0"/>
  </w:num>
  <w:num w:numId="6" w16cid:durableId="1361588986">
    <w:abstractNumId w:val="5"/>
  </w:num>
  <w:num w:numId="7" w16cid:durableId="1268152678">
    <w:abstractNumId w:val="7"/>
  </w:num>
  <w:num w:numId="8" w16cid:durableId="5616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CAF"/>
    <w:rsid w:val="0050609E"/>
    <w:rsid w:val="00683DF3"/>
    <w:rsid w:val="007806F4"/>
    <w:rsid w:val="00853CE1"/>
    <w:rsid w:val="00910E83"/>
    <w:rsid w:val="009B5707"/>
    <w:rsid w:val="00AA27AD"/>
    <w:rsid w:val="00EB6CAF"/>
    <w:rsid w:val="00FE09F2"/>
    <w:rsid w:val="07CA41F2"/>
    <w:rsid w:val="236FF238"/>
    <w:rsid w:val="570613EB"/>
    <w:rsid w:val="787329E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75E9"/>
  <w15:chartTrackingRefBased/>
  <w15:docId w15:val="{769A5F95-5B9A-4184-874F-C898BA5D8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C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C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C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C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C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C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C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C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C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C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C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C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C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C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CAF"/>
    <w:rPr>
      <w:rFonts w:eastAsiaTheme="majorEastAsia" w:cstheme="majorBidi"/>
      <w:color w:val="272727" w:themeColor="text1" w:themeTint="D8"/>
    </w:rPr>
  </w:style>
  <w:style w:type="paragraph" w:styleId="Title">
    <w:name w:val="Title"/>
    <w:basedOn w:val="Normal"/>
    <w:next w:val="Normal"/>
    <w:link w:val="TitleChar"/>
    <w:uiPriority w:val="10"/>
    <w:qFormat/>
    <w:rsid w:val="00EB6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C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CAF"/>
    <w:pPr>
      <w:spacing w:before="160"/>
      <w:jc w:val="center"/>
    </w:pPr>
    <w:rPr>
      <w:i/>
      <w:iCs/>
      <w:color w:val="404040" w:themeColor="text1" w:themeTint="BF"/>
    </w:rPr>
  </w:style>
  <w:style w:type="character" w:customStyle="1" w:styleId="QuoteChar">
    <w:name w:val="Quote Char"/>
    <w:basedOn w:val="DefaultParagraphFont"/>
    <w:link w:val="Quote"/>
    <w:uiPriority w:val="29"/>
    <w:rsid w:val="00EB6CAF"/>
    <w:rPr>
      <w:i/>
      <w:iCs/>
      <w:color w:val="404040" w:themeColor="text1" w:themeTint="BF"/>
    </w:rPr>
  </w:style>
  <w:style w:type="paragraph" w:styleId="ListParagraph">
    <w:name w:val="List Paragraph"/>
    <w:basedOn w:val="Normal"/>
    <w:uiPriority w:val="34"/>
    <w:qFormat/>
    <w:rsid w:val="00EB6CAF"/>
    <w:pPr>
      <w:ind w:left="720"/>
      <w:contextualSpacing/>
    </w:pPr>
  </w:style>
  <w:style w:type="character" w:styleId="IntenseEmphasis">
    <w:name w:val="Intense Emphasis"/>
    <w:basedOn w:val="DefaultParagraphFont"/>
    <w:uiPriority w:val="21"/>
    <w:qFormat/>
    <w:rsid w:val="00EB6CAF"/>
    <w:rPr>
      <w:i/>
      <w:iCs/>
      <w:color w:val="2F5496" w:themeColor="accent1" w:themeShade="BF"/>
    </w:rPr>
  </w:style>
  <w:style w:type="paragraph" w:styleId="IntenseQuote">
    <w:name w:val="Intense Quote"/>
    <w:basedOn w:val="Normal"/>
    <w:next w:val="Normal"/>
    <w:link w:val="IntenseQuoteChar"/>
    <w:uiPriority w:val="30"/>
    <w:qFormat/>
    <w:rsid w:val="00EB6C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CAF"/>
    <w:rPr>
      <w:i/>
      <w:iCs/>
      <w:color w:val="2F5496" w:themeColor="accent1" w:themeShade="BF"/>
    </w:rPr>
  </w:style>
  <w:style w:type="character" w:styleId="IntenseReference">
    <w:name w:val="Intense Reference"/>
    <w:basedOn w:val="DefaultParagraphFont"/>
    <w:uiPriority w:val="32"/>
    <w:qFormat/>
    <w:rsid w:val="00EB6CAF"/>
    <w:rPr>
      <w:b/>
      <w:bCs/>
      <w:smallCaps/>
      <w:color w:val="2F5496" w:themeColor="accent1" w:themeShade="BF"/>
      <w:spacing w:val="5"/>
    </w:rPr>
  </w:style>
  <w:style w:type="character" w:styleId="Hyperlink">
    <w:name w:val="Hyperlink"/>
    <w:basedOn w:val="DefaultParagraphFont"/>
    <w:uiPriority w:val="99"/>
    <w:unhideWhenUsed/>
    <w:rsid w:val="236FF238"/>
    <w:rPr>
      <w:color w:val="0563C1"/>
      <w:u w:val="single"/>
    </w:rPr>
  </w:style>
  <w:style w:type="paragraph" w:styleId="Header">
    <w:name w:val="header"/>
    <w:basedOn w:val="Normal"/>
    <w:link w:val="HeaderChar"/>
    <w:uiPriority w:val="99"/>
    <w:unhideWhenUsed/>
    <w:rsid w:val="00AA27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27AD"/>
  </w:style>
  <w:style w:type="paragraph" w:styleId="Footer">
    <w:name w:val="footer"/>
    <w:basedOn w:val="Normal"/>
    <w:link w:val="FooterChar"/>
    <w:uiPriority w:val="99"/>
    <w:unhideWhenUsed/>
    <w:rsid w:val="00AA27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2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820</Words>
  <Characters>5293</Characters>
  <Application>Microsoft Office Word</Application>
  <DocSecurity>0</DocSecurity>
  <Lines>97</Lines>
  <Paragraphs>60</Paragraphs>
  <ScaleCrop>false</ScaleCrop>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Burton</dc:creator>
  <cp:keywords/>
  <dc:description/>
  <cp:lastModifiedBy>Bray, Ella</cp:lastModifiedBy>
  <cp:revision>5</cp:revision>
  <dcterms:created xsi:type="dcterms:W3CDTF">2026-02-17T03:19:00Z</dcterms:created>
  <dcterms:modified xsi:type="dcterms:W3CDTF">2026-02-17T03:26:00Z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4331159b,1e86ba95,171ebd57</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4c87069d,a815200,205f552b</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4413e457-4e4b-40f6-9507-365301b2e0d0_Enabled">
    <vt:lpwstr>true</vt:lpwstr>
  </property>
  <property fmtid="{D5CDD505-2E9C-101B-9397-08002B2CF9AE}" pid="9" name="MSIP_Label_4413e457-4e4b-40f6-9507-365301b2e0d0_SetDate">
    <vt:lpwstr>2026-02-17T03:19:00Z</vt:lpwstr>
  </property>
  <property fmtid="{D5CDD505-2E9C-101B-9397-08002B2CF9AE}" pid="10" name="MSIP_Label_4413e457-4e4b-40f6-9507-365301b2e0d0_Method">
    <vt:lpwstr>Privileged</vt:lpwstr>
  </property>
  <property fmtid="{D5CDD505-2E9C-101B-9397-08002B2CF9AE}" pid="11" name="MSIP_Label_4413e457-4e4b-40f6-9507-365301b2e0d0_Name">
    <vt:lpwstr>OFFICIAL</vt:lpwstr>
  </property>
  <property fmtid="{D5CDD505-2E9C-101B-9397-08002B2CF9AE}" pid="12" name="MSIP_Label_4413e457-4e4b-40f6-9507-365301b2e0d0_SiteId">
    <vt:lpwstr>ea732b1f-3d1a-4be9-b48b-6cee25b8a074</vt:lpwstr>
  </property>
  <property fmtid="{D5CDD505-2E9C-101B-9397-08002B2CF9AE}" pid="13" name="MSIP_Label_4413e457-4e4b-40f6-9507-365301b2e0d0_ActionId">
    <vt:lpwstr>eb33acea-6e06-46a3-8099-bf4aef0e5968</vt:lpwstr>
  </property>
  <property fmtid="{D5CDD505-2E9C-101B-9397-08002B2CF9AE}" pid="14" name="MSIP_Label_4413e457-4e4b-40f6-9507-365301b2e0d0_ContentBits">
    <vt:lpwstr>3</vt:lpwstr>
  </property>
  <property fmtid="{D5CDD505-2E9C-101B-9397-08002B2CF9AE}" pid="15" name="MSIP_Label_4413e457-4e4b-40f6-9507-365301b2e0d0_Tag">
    <vt:lpwstr>10, 0, 1, 1</vt:lpwstr>
  </property>
</Properties>
</file>