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873B1" w14:textId="390E62B6" w:rsidR="009F705B" w:rsidRPr="00610B41" w:rsidRDefault="00610B41" w:rsidP="009F705B">
      <w:pPr>
        <w:pStyle w:val="Title"/>
      </w:pPr>
      <w:bookmarkStart w:id="0" w:name="_Toc160358825"/>
      <w:r>
        <w:t xml:space="preserve">Review of the </w:t>
      </w:r>
      <w:r>
        <w:rPr>
          <w:i/>
          <w:iCs/>
        </w:rPr>
        <w:t>Anzac Day Observance Act 1929</w:t>
      </w:r>
    </w:p>
    <w:p w14:paraId="5AAB397F" w14:textId="5037A663" w:rsidR="009F705B" w:rsidRDefault="00943EA1" w:rsidP="009F705B">
      <w:pPr>
        <w:pStyle w:val="Subtitle"/>
      </w:pPr>
      <w:r>
        <w:t>Discussion</w:t>
      </w:r>
      <w:r w:rsidR="00610B41">
        <w:t xml:space="preserve"> </w:t>
      </w:r>
      <w:r w:rsidR="006A78B9">
        <w:t>paper summary and guide</w:t>
      </w:r>
    </w:p>
    <w:bookmarkEnd w:id="0"/>
    <w:p w14:paraId="6CCDE121" w14:textId="04EF3690" w:rsidR="009F705B" w:rsidRDefault="00610B41" w:rsidP="0091000D">
      <w:pPr>
        <w:pStyle w:val="Heading1"/>
      </w:pPr>
      <w:r>
        <w:t>Overview</w:t>
      </w:r>
    </w:p>
    <w:p w14:paraId="289CD1B2" w14:textId="4EF8AACE" w:rsidR="00450392" w:rsidRPr="00450392" w:rsidRDefault="00A64FC8" w:rsidP="00450392">
      <w:pPr>
        <w:rPr>
          <w:lang w:val="en-GB"/>
        </w:rPr>
      </w:pPr>
      <w:r w:rsidRPr="00A64FC8">
        <w:t xml:space="preserve">This document accompanies the </w:t>
      </w:r>
      <w:r w:rsidRPr="006A78B9">
        <w:t xml:space="preserve">Review of the Anzac Day Observance Act 1929 Discussion Paper </w:t>
      </w:r>
      <w:r w:rsidRPr="00A64FC8">
        <w:t xml:space="preserve">and is intended to help community groups and organisations prepare a submission. The review covers four areas: Anzac Day observance; </w:t>
      </w:r>
      <w:r w:rsidR="007972DC">
        <w:t xml:space="preserve">exemptions for </w:t>
      </w:r>
      <w:r w:rsidR="000F5902" w:rsidRPr="000F5902">
        <w:t>exemptions for trading, sporting, racing and other public events</w:t>
      </w:r>
      <w:r w:rsidR="007972DC">
        <w:t xml:space="preserve">, an employee’s right to participate in Anzac Day commemorative activities, </w:t>
      </w:r>
      <w:r w:rsidRPr="00A64FC8">
        <w:t xml:space="preserve">and whether Tasmania should consider a new Anzac Day fund or contribution model. The full </w:t>
      </w:r>
      <w:r w:rsidR="006A78B9" w:rsidRPr="00A64FC8">
        <w:t xml:space="preserve">discussion paper </w:t>
      </w:r>
      <w:r w:rsidRPr="00A64FC8">
        <w:t>provides further detail and the complete consultation questions.</w:t>
      </w:r>
    </w:p>
    <w:p w14:paraId="51B5A5F6" w14:textId="1DCD359D" w:rsidR="00610B41" w:rsidRDefault="00610B41" w:rsidP="0091000D">
      <w:pPr>
        <w:pStyle w:val="Heading1"/>
      </w:pPr>
      <w:r>
        <w:t>Background</w:t>
      </w:r>
    </w:p>
    <w:p w14:paraId="49F418F3" w14:textId="0341E040" w:rsidR="00610B41" w:rsidRPr="00450392" w:rsidRDefault="00A64FC8" w:rsidP="00610B41">
      <w:pPr>
        <w:rPr>
          <w:rFonts w:cstheme="minorHAnsi"/>
          <w:lang w:val="en-GB" w:eastAsia="en-GB"/>
        </w:rPr>
      </w:pPr>
      <w:r w:rsidRPr="00A64FC8">
        <w:rPr>
          <w:rFonts w:cstheme="minorHAnsi"/>
          <w:lang w:eastAsia="en-GB"/>
        </w:rPr>
        <w:t xml:space="preserve">The </w:t>
      </w:r>
      <w:r w:rsidRPr="00A64FC8">
        <w:rPr>
          <w:rFonts w:cstheme="minorHAnsi"/>
          <w:i/>
          <w:iCs/>
          <w:lang w:eastAsia="en-GB"/>
        </w:rPr>
        <w:t>Anzac Day Observance Act 1929</w:t>
      </w:r>
      <w:r w:rsidRPr="00A64FC8">
        <w:rPr>
          <w:rFonts w:cstheme="minorHAnsi"/>
          <w:lang w:eastAsia="en-GB"/>
        </w:rPr>
        <w:t xml:space="preserve"> (the Act) provides for the observance of Anzac Day and restricts certain activities before 12:30 pm to support commemoration and attendance at services. As the Act approaches its centenary, feedback has identified that some </w:t>
      </w:r>
      <w:r w:rsidR="004D60E3">
        <w:rPr>
          <w:rFonts w:cstheme="minorHAnsi"/>
          <w:lang w:eastAsia="en-GB"/>
        </w:rPr>
        <w:t xml:space="preserve">exemption </w:t>
      </w:r>
      <w:r w:rsidRPr="00A64FC8">
        <w:rPr>
          <w:rFonts w:cstheme="minorHAnsi"/>
          <w:lang w:eastAsia="en-GB"/>
        </w:rPr>
        <w:t>provisions can be confusing, difficult to interpret and inconsistent in their application, particularly for businesses and event organisers. The review is considering whether the Act can be made clearer and easier to administer while continuing to protect the solemn and commemorative character of Anzac Day.</w:t>
      </w:r>
      <w:r w:rsidR="00450392" w:rsidRPr="00450392">
        <w:rPr>
          <w:rFonts w:cstheme="minorHAnsi"/>
          <w:lang w:val="en-GB" w:eastAsia="en-GB"/>
        </w:rPr>
        <w:t xml:space="preserve"> </w:t>
      </w:r>
    </w:p>
    <w:p w14:paraId="11CC9370" w14:textId="6BD8C148" w:rsidR="00610B41" w:rsidRDefault="00610B41" w:rsidP="0091000D">
      <w:pPr>
        <w:pStyle w:val="Heading1"/>
      </w:pPr>
      <w:r>
        <w:t xml:space="preserve">Areas for </w:t>
      </w:r>
      <w:r w:rsidR="006A78B9">
        <w:t>r</w:t>
      </w:r>
      <w:r>
        <w:t>eview</w:t>
      </w:r>
    </w:p>
    <w:p w14:paraId="05031989" w14:textId="23F1D042" w:rsidR="00A64FC8" w:rsidRDefault="00A64FC8" w:rsidP="00A64FC8">
      <w:r w:rsidRPr="00A64FC8">
        <w:t>The review is not proposing to change the 12:30 pm period during which restrictions apply or the conduct of commemorative services.</w:t>
      </w:r>
    </w:p>
    <w:p w14:paraId="6141933C" w14:textId="6C4C6775" w:rsidR="004D60E3" w:rsidRPr="00A64FC8" w:rsidRDefault="007E4764" w:rsidP="00A64FC8">
      <w:r w:rsidRPr="007E4764">
        <w:t>Currently, the Act lists specific types of shops, events and activities that are exempt or otherwise expressly addressed. This prescriptive, list-based approach lacks flexibility to accommodate changing circumstances and emerging issues. Accordingly, the review is considering moving away from a reliance on specific lists and towards a framework based on broader principles or criteria.</w:t>
      </w:r>
    </w:p>
    <w:p w14:paraId="4E386AA2" w14:textId="734301E7" w:rsidR="00610B41" w:rsidRDefault="00610B41" w:rsidP="0091000D">
      <w:pPr>
        <w:pStyle w:val="Heading2"/>
        <w:numPr>
          <w:ilvl w:val="0"/>
          <w:numId w:val="19"/>
        </w:numPr>
      </w:pPr>
      <w:r>
        <w:t>Observance of Anzac Day</w:t>
      </w:r>
    </w:p>
    <w:p w14:paraId="251EB186" w14:textId="3E8F7EF7" w:rsidR="00610B41" w:rsidRPr="00610B41" w:rsidRDefault="00A64FC8" w:rsidP="00B7399C">
      <w:r w:rsidRPr="00A64FC8">
        <w:t>The review is seeking views on whether the current arrangements appropriately support Anzac Day observance and whether any additional legislative measures should be considered.</w:t>
      </w:r>
    </w:p>
    <w:p w14:paraId="31429C3C" w14:textId="5AA1CBA6" w:rsidR="009F705B" w:rsidRPr="003C79F5" w:rsidRDefault="00610B41" w:rsidP="0091000D">
      <w:pPr>
        <w:pStyle w:val="Heading2"/>
        <w:numPr>
          <w:ilvl w:val="0"/>
          <w:numId w:val="19"/>
        </w:numPr>
      </w:pPr>
      <w:r>
        <w:t>Trading on Anzac Day</w:t>
      </w:r>
    </w:p>
    <w:p w14:paraId="444A2FF4" w14:textId="37FA8919" w:rsidR="00610B41" w:rsidRDefault="00A64FC8" w:rsidP="00B7399C">
      <w:r w:rsidRPr="00A64FC8">
        <w:t xml:space="preserve">The Act generally prohibits shop trading before 12:30 pm, subject to automatic exemptions and an application process for some businesses. The review is seeking </w:t>
      </w:r>
      <w:r w:rsidRPr="00A64FC8">
        <w:lastRenderedPageBreak/>
        <w:t>views on whether the exemptions are clear, fair and workable, whether the application process could be simpler, and whether existing protections</w:t>
      </w:r>
      <w:r w:rsidR="007E4764">
        <w:t xml:space="preserve"> to enable employees to participate in Anzac Day</w:t>
      </w:r>
      <w:r w:rsidRPr="00A64FC8">
        <w:t xml:space="preserve"> remain adequate.</w:t>
      </w:r>
    </w:p>
    <w:p w14:paraId="351CF652" w14:textId="2DAC8311" w:rsidR="00610B41" w:rsidRDefault="00610B41" w:rsidP="0091000D">
      <w:pPr>
        <w:pStyle w:val="Heading2"/>
        <w:numPr>
          <w:ilvl w:val="0"/>
          <w:numId w:val="19"/>
        </w:numPr>
      </w:pPr>
      <w:r>
        <w:t xml:space="preserve">Public </w:t>
      </w:r>
      <w:r w:rsidR="006A78B9">
        <w:t>e</w:t>
      </w:r>
      <w:r>
        <w:t>vents on Anzac Day</w:t>
      </w:r>
    </w:p>
    <w:p w14:paraId="1D793B13" w14:textId="7FCECC39" w:rsidR="00610B41" w:rsidRDefault="00A64FC8" w:rsidP="00C85AE3">
      <w:r w:rsidRPr="00A64FC8">
        <w:t xml:space="preserve">The Act restricts a range of sporting, racing, entertainment and other public events before 12:30 pm. Some limited exemptions apply, but there is no general process for seeking approval to hold an otherwise restricted event. </w:t>
      </w:r>
      <w:r w:rsidR="000F5902" w:rsidRPr="000F5902">
        <w:t>The review is seeking views on whether small-scale or community activities should be treated differently from larger commercial events, and whether an exemption process should be available.</w:t>
      </w:r>
    </w:p>
    <w:p w14:paraId="4AD99DCC" w14:textId="2C9D6F07" w:rsidR="00610B41" w:rsidRDefault="00610B41" w:rsidP="0091000D">
      <w:pPr>
        <w:pStyle w:val="Heading2"/>
        <w:numPr>
          <w:ilvl w:val="0"/>
          <w:numId w:val="19"/>
        </w:numPr>
      </w:pPr>
      <w:r>
        <w:t xml:space="preserve">Anzac Day </w:t>
      </w:r>
      <w:r w:rsidR="006A78B9">
        <w:t>f</w:t>
      </w:r>
      <w:r>
        <w:t>und</w:t>
      </w:r>
    </w:p>
    <w:p w14:paraId="1FC4FE9C" w14:textId="7450FC83" w:rsidR="00610B41" w:rsidRDefault="00A64FC8" w:rsidP="00C85AE3">
      <w:r w:rsidRPr="00A64FC8">
        <w:t>Tasmania previously had an Anzac Day Trust, which was wound up in 2020 after receipts declined and it became increasingly reliant on government funding. The review is seeking views on whether Tasmania should establish a new Anzac Day fund or contribution model, including what it should support, how it could be funded, who should be eligible, and how it should be governed.</w:t>
      </w:r>
    </w:p>
    <w:p w14:paraId="6BD3E10A" w14:textId="0971FE5B" w:rsidR="00610B41" w:rsidRDefault="00610B41" w:rsidP="0091000D">
      <w:pPr>
        <w:pStyle w:val="Heading1"/>
      </w:pPr>
      <w:r>
        <w:t>Feedback</w:t>
      </w:r>
    </w:p>
    <w:p w14:paraId="3EBDD6E5" w14:textId="0F042282" w:rsidR="00AB517B" w:rsidRDefault="000F5902" w:rsidP="00EF1E0E">
      <w:pPr>
        <w:rPr>
          <w:lang w:val="en-GB"/>
        </w:rPr>
      </w:pPr>
      <w:r w:rsidRPr="000F5902">
        <w:rPr>
          <w:lang w:val="en-GB"/>
        </w:rPr>
        <w:t>Submissions can be made by individual members of the public or on behalf of a group such as an RSL sub-branch, ex-service organisation or sporting club.</w:t>
      </w:r>
      <w:r w:rsidR="00AB517B">
        <w:rPr>
          <w:lang w:val="en-GB"/>
        </w:rPr>
        <w:t xml:space="preserve"> The questions in the</w:t>
      </w:r>
      <w:r w:rsidR="006A78B9">
        <w:rPr>
          <w:lang w:val="en-GB"/>
        </w:rPr>
        <w:t xml:space="preserve"> discussion paper a</w:t>
      </w:r>
      <w:r w:rsidR="00AB517B">
        <w:rPr>
          <w:lang w:val="en-GB"/>
        </w:rPr>
        <w:t>re to guide feedback and try to ensure consistency. There is no need to address questions that do not apply to you or your organisation</w:t>
      </w:r>
      <w:r w:rsidR="007874AD">
        <w:rPr>
          <w:lang w:val="en-GB"/>
        </w:rPr>
        <w:t>.</w:t>
      </w:r>
      <w:r w:rsidR="00AB517B">
        <w:rPr>
          <w:lang w:val="en-GB"/>
        </w:rPr>
        <w:t xml:space="preserve"> </w:t>
      </w:r>
      <w:r w:rsidR="007874AD">
        <w:rPr>
          <w:lang w:val="en-GB"/>
        </w:rPr>
        <w:t>A</w:t>
      </w:r>
      <w:r w:rsidR="00AB517B">
        <w:rPr>
          <w:lang w:val="en-GB"/>
        </w:rPr>
        <w:t xml:space="preserve"> submission can take the form</w:t>
      </w:r>
      <w:r w:rsidR="007874AD">
        <w:rPr>
          <w:lang w:val="en-GB"/>
        </w:rPr>
        <w:t xml:space="preserve"> that best suits your </w:t>
      </w:r>
      <w:r w:rsidR="007E4764">
        <w:rPr>
          <w:lang w:val="en-GB"/>
        </w:rPr>
        <w:t>organisation,</w:t>
      </w:r>
      <w:r w:rsidR="007874AD">
        <w:rPr>
          <w:lang w:val="en-GB"/>
        </w:rPr>
        <w:t xml:space="preserve"> but it does need to be in writing.</w:t>
      </w:r>
    </w:p>
    <w:p w14:paraId="78BE4460" w14:textId="118B2526" w:rsidR="00EF1E0E" w:rsidRPr="006A78B9" w:rsidRDefault="008E15BB" w:rsidP="00EF1E0E">
      <w:pPr>
        <w:rPr>
          <w:lang w:val="en-GB"/>
        </w:rPr>
      </w:pPr>
      <w:r w:rsidRPr="008E15BB">
        <w:rPr>
          <w:lang w:val="en-GB"/>
        </w:rPr>
        <w:t xml:space="preserve">Consultation closes at </w:t>
      </w:r>
      <w:r>
        <w:rPr>
          <w:lang w:val="en-GB"/>
        </w:rPr>
        <w:t>2</w:t>
      </w:r>
      <w:r w:rsidRPr="008E15BB">
        <w:rPr>
          <w:lang w:val="en-GB"/>
        </w:rPr>
        <w:t xml:space="preserve">:00 pm on </w:t>
      </w:r>
      <w:r w:rsidR="008638C7" w:rsidRPr="008638C7">
        <w:rPr>
          <w:lang w:val="en-GB"/>
        </w:rPr>
        <w:t>Monday 7 December 2026</w:t>
      </w:r>
      <w:r w:rsidRPr="008E15BB">
        <w:rPr>
          <w:lang w:val="en-GB"/>
        </w:rPr>
        <w:t>. Submissions can be made on</w:t>
      </w:r>
      <w:r w:rsidRPr="006A78B9">
        <w:rPr>
          <w:lang w:val="en-GB"/>
        </w:rPr>
        <w:t xml:space="preserve">line at </w:t>
      </w:r>
      <w:hyperlink r:id="rId10" w:history="1">
        <w:r w:rsidRPr="006A78B9">
          <w:rPr>
            <w:rStyle w:val="Hyperlink"/>
            <w:lang w:val="en-GB"/>
          </w:rPr>
          <w:t>https://forms.cloud.microsoft/r/sb7dWiHk4X</w:t>
        </w:r>
      </w:hyperlink>
      <w:r w:rsidRPr="006A78B9">
        <w:rPr>
          <w:lang w:val="en-GB"/>
        </w:rPr>
        <w:t xml:space="preserve"> or emailed to </w:t>
      </w:r>
      <w:hyperlink r:id="rId11" w:history="1">
        <w:r w:rsidRPr="006A78B9">
          <w:rPr>
            <w:rStyle w:val="Hyperlink"/>
            <w:lang w:val="en-GB"/>
          </w:rPr>
          <w:t>veterans@dpac.tas.gov.au</w:t>
        </w:r>
      </w:hyperlink>
      <w:r w:rsidRPr="006A78B9">
        <w:rPr>
          <w:lang w:val="en-GB"/>
        </w:rPr>
        <w:t xml:space="preserve">. </w:t>
      </w:r>
    </w:p>
    <w:p w14:paraId="365218A7" w14:textId="622F6681" w:rsidR="00EF1E0E" w:rsidRPr="006A78B9" w:rsidRDefault="00EF1E0E" w:rsidP="00EF1E0E">
      <w:pPr>
        <w:rPr>
          <w:lang w:val="en-GB"/>
        </w:rPr>
      </w:pPr>
      <w:r w:rsidRPr="006A78B9">
        <w:rPr>
          <w:lang w:val="en-GB"/>
        </w:rPr>
        <w:t>If you need assistance or have questions about the</w:t>
      </w:r>
      <w:r w:rsidR="006A78B9" w:rsidRPr="006A78B9">
        <w:rPr>
          <w:lang w:val="en-GB"/>
        </w:rPr>
        <w:t xml:space="preserve"> discussion paper</w:t>
      </w:r>
      <w:r w:rsidRPr="006A78B9">
        <w:rPr>
          <w:lang w:val="en-GB"/>
        </w:rPr>
        <w:t xml:space="preserve"> or making a submission, email </w:t>
      </w:r>
      <w:hyperlink r:id="rId12" w:history="1">
        <w:r w:rsidRPr="006A78B9">
          <w:rPr>
            <w:rStyle w:val="Hyperlink"/>
            <w:lang w:val="en-GB"/>
          </w:rPr>
          <w:t>veterans@dpac.tas.gov.au</w:t>
        </w:r>
      </w:hyperlink>
      <w:r w:rsidRPr="006A78B9">
        <w:rPr>
          <w:lang w:val="en-GB"/>
        </w:rPr>
        <w:t xml:space="preserve"> and a member of the project team will contact you.</w:t>
      </w:r>
    </w:p>
    <w:p w14:paraId="0688893A" w14:textId="6DA18682" w:rsidR="00EF1E0E" w:rsidRPr="00EF1E0E" w:rsidRDefault="008E15BB" w:rsidP="00EF1E0E">
      <w:pPr>
        <w:rPr>
          <w:lang w:val="en-GB"/>
        </w:rPr>
      </w:pPr>
      <w:r w:rsidRPr="008E15BB">
        <w:rPr>
          <w:lang w:val="en-GB"/>
        </w:rPr>
        <w:t>Your name, or the name of your organisation, will be published unless you request otherwise. You can also request that all or part of your submission be treated as confidential. Full information is contained in the</w:t>
      </w:r>
      <w:r w:rsidR="006A78B9" w:rsidRPr="008E15BB">
        <w:rPr>
          <w:lang w:val="en-GB"/>
        </w:rPr>
        <w:t xml:space="preserve"> discussion pap</w:t>
      </w:r>
      <w:r w:rsidRPr="008E15BB">
        <w:rPr>
          <w:lang w:val="en-GB"/>
        </w:rPr>
        <w:t>er.</w:t>
      </w:r>
    </w:p>
    <w:p w14:paraId="6B2729A9" w14:textId="77777777" w:rsidR="00770DA6" w:rsidRDefault="00770DA6">
      <w:pPr>
        <w:spacing w:after="160" w:line="259" w:lineRule="auto"/>
        <w:rPr>
          <w:rFonts w:asciiTheme="majorHAnsi" w:eastAsiaTheme="majorEastAsia" w:hAnsiTheme="majorHAnsi" w:cstheme="majorBidi"/>
          <w:b/>
          <w:color w:val="003858" w:themeColor="accent2"/>
          <w:sz w:val="36"/>
          <w:szCs w:val="24"/>
        </w:rPr>
      </w:pPr>
      <w:r>
        <w:br w:type="page"/>
      </w:r>
    </w:p>
    <w:p w14:paraId="4BEC5EDF" w14:textId="47937B4D" w:rsidR="003C79F5" w:rsidRPr="00C7518F" w:rsidRDefault="006A2DF0" w:rsidP="0091000D">
      <w:pPr>
        <w:pStyle w:val="Heading1"/>
      </w:pPr>
      <w:r>
        <w:lastRenderedPageBreak/>
        <w:t xml:space="preserve">Consolidated </w:t>
      </w:r>
      <w:r w:rsidR="006A78B9">
        <w:t>discussion paper que</w:t>
      </w:r>
      <w:r>
        <w:t>stions</w:t>
      </w:r>
    </w:p>
    <w:tbl>
      <w:tblPr>
        <w:tblStyle w:val="ListTable3-Accent2"/>
        <w:tblW w:w="9493" w:type="dxa"/>
        <w:tblLayout w:type="fixed"/>
        <w:tblLook w:val="04A0" w:firstRow="1" w:lastRow="0" w:firstColumn="1" w:lastColumn="0" w:noHBand="0" w:noVBand="1"/>
      </w:tblPr>
      <w:tblGrid>
        <w:gridCol w:w="562"/>
        <w:gridCol w:w="2551"/>
        <w:gridCol w:w="6380"/>
      </w:tblGrid>
      <w:tr w:rsidR="006A2DF0" w:rsidRPr="006A78B9" w14:paraId="29E940AD" w14:textId="77777777" w:rsidTr="00483F5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62" w:type="dxa"/>
            <w:vAlign w:val="center"/>
          </w:tcPr>
          <w:p w14:paraId="46006ADA" w14:textId="756224B1" w:rsidR="006A2DF0" w:rsidRPr="006A78B9" w:rsidRDefault="00475774" w:rsidP="008E15BB">
            <w:pPr>
              <w:pStyle w:val="Tableheadingwhite"/>
              <w:spacing w:before="60" w:after="60"/>
              <w:rPr>
                <w:b/>
                <w:bCs/>
                <w:sz w:val="24"/>
                <w:szCs w:val="24"/>
              </w:rPr>
            </w:pPr>
            <w:r w:rsidRPr="006A78B9">
              <w:rPr>
                <w:b/>
                <w:bCs/>
                <w:sz w:val="24"/>
                <w:szCs w:val="24"/>
              </w:rPr>
              <w:t>#</w:t>
            </w:r>
          </w:p>
        </w:tc>
        <w:tc>
          <w:tcPr>
            <w:tcW w:w="2551" w:type="dxa"/>
            <w:vAlign w:val="center"/>
          </w:tcPr>
          <w:p w14:paraId="190FFEDF" w14:textId="41C6BC28" w:rsidR="006A2DF0" w:rsidRPr="006A78B9" w:rsidRDefault="006A2DF0" w:rsidP="008E15BB">
            <w:pPr>
              <w:pStyle w:val="Tableheadingwhite"/>
              <w:spacing w:before="60" w:after="60"/>
              <w:cnfStyle w:val="100000000000" w:firstRow="1" w:lastRow="0" w:firstColumn="0" w:lastColumn="0" w:oddVBand="0" w:evenVBand="0" w:oddHBand="0" w:evenHBand="0" w:firstRowFirstColumn="0" w:firstRowLastColumn="0" w:lastRowFirstColumn="0" w:lastRowLastColumn="0"/>
              <w:rPr>
                <w:b/>
                <w:bCs/>
                <w:sz w:val="24"/>
                <w:szCs w:val="24"/>
              </w:rPr>
            </w:pPr>
            <w:r w:rsidRPr="006A78B9">
              <w:rPr>
                <w:b/>
                <w:bCs/>
                <w:sz w:val="24"/>
                <w:szCs w:val="24"/>
              </w:rPr>
              <w:t>Topic</w:t>
            </w:r>
          </w:p>
        </w:tc>
        <w:tc>
          <w:tcPr>
            <w:tcW w:w="6380" w:type="dxa"/>
            <w:vAlign w:val="center"/>
          </w:tcPr>
          <w:p w14:paraId="5157A1DB" w14:textId="47424A6B" w:rsidR="006A2DF0" w:rsidRPr="006A78B9" w:rsidRDefault="006A2DF0" w:rsidP="008E15BB">
            <w:pPr>
              <w:pStyle w:val="Tableheadingwhite"/>
              <w:spacing w:before="60" w:after="60"/>
              <w:cnfStyle w:val="100000000000" w:firstRow="1" w:lastRow="0" w:firstColumn="0" w:lastColumn="0" w:oddVBand="0" w:evenVBand="0" w:oddHBand="0" w:evenHBand="0" w:firstRowFirstColumn="0" w:firstRowLastColumn="0" w:lastRowFirstColumn="0" w:lastRowLastColumn="0"/>
              <w:rPr>
                <w:b/>
                <w:bCs/>
                <w:sz w:val="24"/>
                <w:szCs w:val="24"/>
              </w:rPr>
            </w:pPr>
            <w:r w:rsidRPr="006A78B9">
              <w:rPr>
                <w:b/>
                <w:bCs/>
                <w:sz w:val="24"/>
                <w:szCs w:val="24"/>
              </w:rPr>
              <w:t>Question</w:t>
            </w:r>
          </w:p>
        </w:tc>
      </w:tr>
      <w:tr w:rsidR="006A2DF0" w:rsidRPr="006A78B9" w14:paraId="42F85C74" w14:textId="77777777" w:rsidTr="00483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462F8D2" w14:textId="41E5881A" w:rsidR="006A2DF0" w:rsidRPr="006A78B9" w:rsidRDefault="006A2DF0" w:rsidP="008E15BB">
            <w:pPr>
              <w:pStyle w:val="Tablecopy"/>
              <w:spacing w:before="60" w:after="60"/>
              <w:rPr>
                <w:b w:val="0"/>
                <w:bCs w:val="0"/>
                <w:sz w:val="24"/>
                <w:szCs w:val="24"/>
              </w:rPr>
            </w:pPr>
            <w:r w:rsidRPr="006A78B9">
              <w:rPr>
                <w:b w:val="0"/>
                <w:bCs w:val="0"/>
                <w:sz w:val="24"/>
                <w:szCs w:val="24"/>
              </w:rPr>
              <w:t>1</w:t>
            </w:r>
          </w:p>
        </w:tc>
        <w:tc>
          <w:tcPr>
            <w:tcW w:w="2551" w:type="dxa"/>
            <w:vAlign w:val="center"/>
          </w:tcPr>
          <w:p w14:paraId="0FF2375E" w14:textId="770C5945" w:rsidR="006A2DF0" w:rsidRPr="006A78B9" w:rsidRDefault="006A2DF0" w:rsidP="008E15BB">
            <w:pPr>
              <w:pStyle w:val="Tablebullet"/>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Observance of Anzac Day</w:t>
            </w:r>
          </w:p>
        </w:tc>
        <w:tc>
          <w:tcPr>
            <w:tcW w:w="6380" w:type="dxa"/>
            <w:vAlign w:val="center"/>
          </w:tcPr>
          <w:p w14:paraId="55991CD7" w14:textId="77777777" w:rsidR="006A2DF0" w:rsidRPr="006A78B9" w:rsidRDefault="006A2DF0"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 xml:space="preserve">The morning of Anzac Day will remain protected for commemoration. The review is not proposing to change the 12:30 pm time for restricting activities. </w:t>
            </w:r>
          </w:p>
          <w:p w14:paraId="4EE85B03" w14:textId="572AE4C5" w:rsidR="006A2DF0" w:rsidRPr="006A78B9" w:rsidRDefault="006A2DF0"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Are there any further restrictions in addition to trading and events, that would enhance observance of Anzac Day?</w:t>
            </w:r>
          </w:p>
        </w:tc>
      </w:tr>
      <w:tr w:rsidR="006A2DF0" w:rsidRPr="006A78B9" w14:paraId="662594BC" w14:textId="77777777" w:rsidTr="00483F5C">
        <w:tc>
          <w:tcPr>
            <w:cnfStyle w:val="001000000000" w:firstRow="0" w:lastRow="0" w:firstColumn="1" w:lastColumn="0" w:oddVBand="0" w:evenVBand="0" w:oddHBand="0" w:evenHBand="0" w:firstRowFirstColumn="0" w:firstRowLastColumn="0" w:lastRowFirstColumn="0" w:lastRowLastColumn="0"/>
            <w:tcW w:w="562" w:type="dxa"/>
            <w:vAlign w:val="center"/>
          </w:tcPr>
          <w:p w14:paraId="0ABD065F" w14:textId="7177CAE1" w:rsidR="006A2DF0" w:rsidRPr="006A78B9" w:rsidRDefault="00DB3160" w:rsidP="008E15BB">
            <w:pPr>
              <w:pStyle w:val="Tablecopy"/>
              <w:spacing w:before="60" w:after="60"/>
              <w:rPr>
                <w:b w:val="0"/>
                <w:bCs w:val="0"/>
                <w:sz w:val="24"/>
                <w:szCs w:val="24"/>
              </w:rPr>
            </w:pPr>
            <w:r w:rsidRPr="006A78B9">
              <w:rPr>
                <w:b w:val="0"/>
                <w:bCs w:val="0"/>
                <w:sz w:val="24"/>
                <w:szCs w:val="24"/>
              </w:rPr>
              <w:t>2</w:t>
            </w:r>
          </w:p>
        </w:tc>
        <w:tc>
          <w:tcPr>
            <w:tcW w:w="2551" w:type="dxa"/>
            <w:vAlign w:val="center"/>
          </w:tcPr>
          <w:p w14:paraId="10AA190C" w14:textId="40138DB8" w:rsidR="006A2DF0" w:rsidRPr="006A78B9" w:rsidRDefault="006A2DF0" w:rsidP="008E15BB">
            <w:pPr>
              <w:pStyle w:val="Tablebullet"/>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6A78B9">
              <w:rPr>
                <w:sz w:val="24"/>
                <w:szCs w:val="24"/>
              </w:rPr>
              <w:t>Observance of Anzac Day</w:t>
            </w:r>
          </w:p>
        </w:tc>
        <w:tc>
          <w:tcPr>
            <w:tcW w:w="6380" w:type="dxa"/>
            <w:vAlign w:val="center"/>
          </w:tcPr>
          <w:p w14:paraId="27980C84" w14:textId="77777777" w:rsidR="006A2DF0" w:rsidRPr="006A78B9" w:rsidRDefault="006A2DF0" w:rsidP="008E15BB">
            <w:pPr>
              <w:pStyle w:val="Tablecopy"/>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6A78B9">
              <w:rPr>
                <w:sz w:val="24"/>
                <w:szCs w:val="24"/>
              </w:rPr>
              <w:t>Is there anything else about Anzac Day observance in Tasmania that the review should consider?</w:t>
            </w:r>
          </w:p>
          <w:p w14:paraId="688F8D1E" w14:textId="5A9B0490" w:rsidR="006A2DF0" w:rsidRPr="006A78B9" w:rsidRDefault="006A2DF0" w:rsidP="008E15BB">
            <w:pPr>
              <w:spacing w:before="60" w:after="60"/>
              <w:cnfStyle w:val="000000000000" w:firstRow="0" w:lastRow="0" w:firstColumn="0" w:lastColumn="0" w:oddVBand="0" w:evenVBand="0" w:oddHBand="0" w:evenHBand="0" w:firstRowFirstColumn="0" w:firstRowLastColumn="0" w:lastRowFirstColumn="0" w:lastRowLastColumn="0"/>
              <w:rPr>
                <w:szCs w:val="24"/>
              </w:rPr>
            </w:pPr>
          </w:p>
        </w:tc>
      </w:tr>
      <w:tr w:rsidR="006A2DF0" w:rsidRPr="006A78B9" w14:paraId="30F73994" w14:textId="77777777" w:rsidTr="00483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9E4FBC1" w14:textId="26832FE2" w:rsidR="006A2DF0" w:rsidRPr="006A78B9" w:rsidRDefault="00DB3160" w:rsidP="008E15BB">
            <w:pPr>
              <w:pStyle w:val="Tablecopy"/>
              <w:spacing w:before="60" w:after="60"/>
              <w:rPr>
                <w:b w:val="0"/>
                <w:bCs w:val="0"/>
                <w:sz w:val="24"/>
                <w:szCs w:val="24"/>
              </w:rPr>
            </w:pPr>
            <w:r w:rsidRPr="006A78B9">
              <w:rPr>
                <w:b w:val="0"/>
                <w:bCs w:val="0"/>
                <w:sz w:val="24"/>
                <w:szCs w:val="24"/>
              </w:rPr>
              <w:t>3</w:t>
            </w:r>
          </w:p>
        </w:tc>
        <w:tc>
          <w:tcPr>
            <w:tcW w:w="2551" w:type="dxa"/>
            <w:vAlign w:val="center"/>
          </w:tcPr>
          <w:p w14:paraId="609B213C" w14:textId="735C3626" w:rsidR="006A2DF0" w:rsidRPr="006A78B9" w:rsidRDefault="00A46F5C" w:rsidP="008E15BB">
            <w:pPr>
              <w:pStyle w:val="Tablebullet"/>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Trading on Anzac Day</w:t>
            </w:r>
          </w:p>
        </w:tc>
        <w:tc>
          <w:tcPr>
            <w:tcW w:w="6380" w:type="dxa"/>
            <w:vAlign w:val="center"/>
          </w:tcPr>
          <w:p w14:paraId="7367B6DB" w14:textId="17F7344B" w:rsidR="00A46F5C" w:rsidRPr="006A78B9" w:rsidRDefault="00A46F5C"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How well do the current exemptions for trading on Anzac Day operate in practice?</w:t>
            </w:r>
          </w:p>
          <w:p w14:paraId="6CDED994" w14:textId="77777777" w:rsidR="00A46F5C" w:rsidRPr="006A78B9" w:rsidRDefault="00A46F5C"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 xml:space="preserve">What criteria could be applied to determine which shops, if any, may trade before that time? </w:t>
            </w:r>
          </w:p>
          <w:p w14:paraId="3A56DA08" w14:textId="3C4E03DE" w:rsidR="006A2DF0" w:rsidRPr="006A78B9" w:rsidRDefault="00A46F5C"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If you have applied for an exemption, what worked well and what could be improved?</w:t>
            </w:r>
          </w:p>
        </w:tc>
      </w:tr>
      <w:tr w:rsidR="006A2DF0" w:rsidRPr="006A78B9" w14:paraId="65DBA861" w14:textId="77777777" w:rsidTr="00483F5C">
        <w:tc>
          <w:tcPr>
            <w:cnfStyle w:val="001000000000" w:firstRow="0" w:lastRow="0" w:firstColumn="1" w:lastColumn="0" w:oddVBand="0" w:evenVBand="0" w:oddHBand="0" w:evenHBand="0" w:firstRowFirstColumn="0" w:firstRowLastColumn="0" w:lastRowFirstColumn="0" w:lastRowLastColumn="0"/>
            <w:tcW w:w="562" w:type="dxa"/>
            <w:vAlign w:val="center"/>
          </w:tcPr>
          <w:p w14:paraId="6A73552B" w14:textId="657FAEDA" w:rsidR="006A2DF0" w:rsidRPr="006A78B9" w:rsidRDefault="00A46F5C" w:rsidP="008E15BB">
            <w:pPr>
              <w:pStyle w:val="Tablecopy"/>
              <w:spacing w:before="60" w:after="60"/>
              <w:rPr>
                <w:b w:val="0"/>
                <w:bCs w:val="0"/>
                <w:sz w:val="24"/>
                <w:szCs w:val="24"/>
              </w:rPr>
            </w:pPr>
            <w:r w:rsidRPr="006A78B9">
              <w:rPr>
                <w:b w:val="0"/>
                <w:bCs w:val="0"/>
                <w:sz w:val="24"/>
                <w:szCs w:val="24"/>
              </w:rPr>
              <w:t>4</w:t>
            </w:r>
          </w:p>
        </w:tc>
        <w:tc>
          <w:tcPr>
            <w:tcW w:w="2551" w:type="dxa"/>
            <w:vAlign w:val="center"/>
          </w:tcPr>
          <w:p w14:paraId="65974748" w14:textId="26429CFC" w:rsidR="006A2DF0" w:rsidRPr="006A78B9" w:rsidRDefault="00A46F5C" w:rsidP="008E15BB">
            <w:pPr>
              <w:pStyle w:val="Tablebullet"/>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6A78B9">
              <w:rPr>
                <w:sz w:val="24"/>
                <w:szCs w:val="24"/>
              </w:rPr>
              <w:t>Trading on Anzac Day</w:t>
            </w:r>
          </w:p>
        </w:tc>
        <w:tc>
          <w:tcPr>
            <w:tcW w:w="6380" w:type="dxa"/>
            <w:vAlign w:val="center"/>
          </w:tcPr>
          <w:p w14:paraId="77968E3D" w14:textId="648D347B" w:rsidR="006A2DF0" w:rsidRPr="006A78B9" w:rsidRDefault="00A46F5C" w:rsidP="008E15BB">
            <w:pPr>
              <w:pStyle w:val="Tablecopy"/>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6A78B9">
              <w:rPr>
                <w:sz w:val="24"/>
                <w:szCs w:val="24"/>
              </w:rPr>
              <w:t>Are the existing employee protections adequate to support participation in Anzac Day observance? If not, what additional protections should be considered?</w:t>
            </w:r>
          </w:p>
        </w:tc>
      </w:tr>
      <w:tr w:rsidR="006A2DF0" w:rsidRPr="006A78B9" w14:paraId="71CCC926" w14:textId="77777777" w:rsidTr="00483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F554745" w14:textId="6354E477" w:rsidR="006A2DF0" w:rsidRPr="006A78B9" w:rsidRDefault="00A46F5C" w:rsidP="008E15BB">
            <w:pPr>
              <w:pStyle w:val="Tablecopy"/>
              <w:spacing w:before="60" w:after="60"/>
              <w:rPr>
                <w:b w:val="0"/>
                <w:bCs w:val="0"/>
                <w:sz w:val="24"/>
                <w:szCs w:val="24"/>
              </w:rPr>
            </w:pPr>
            <w:r w:rsidRPr="006A78B9">
              <w:rPr>
                <w:b w:val="0"/>
                <w:bCs w:val="0"/>
                <w:sz w:val="24"/>
                <w:szCs w:val="24"/>
              </w:rPr>
              <w:t>5</w:t>
            </w:r>
          </w:p>
        </w:tc>
        <w:tc>
          <w:tcPr>
            <w:tcW w:w="2551" w:type="dxa"/>
            <w:vAlign w:val="center"/>
          </w:tcPr>
          <w:p w14:paraId="759BFDED" w14:textId="48BE2239" w:rsidR="006A2DF0" w:rsidRPr="006A78B9" w:rsidRDefault="00A46F5C" w:rsidP="008E15BB">
            <w:pPr>
              <w:pStyle w:val="Tablebullet"/>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Events on Anzac Day</w:t>
            </w:r>
          </w:p>
        </w:tc>
        <w:tc>
          <w:tcPr>
            <w:tcW w:w="6380" w:type="dxa"/>
            <w:vAlign w:val="center"/>
          </w:tcPr>
          <w:p w14:paraId="6258A87D" w14:textId="77777777" w:rsidR="00A46F5C" w:rsidRPr="006A78B9" w:rsidRDefault="00A46F5C"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Should small-scale or community sporting activities be treated differently from larger or commercial sporting events before 12:30 pm?</w:t>
            </w:r>
          </w:p>
          <w:p w14:paraId="7C696175" w14:textId="7E44A5A3" w:rsidR="006A2DF0" w:rsidRPr="006A78B9" w:rsidRDefault="00A46F5C"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If so, what limits should apply, for example around size, location, noise or timing?</w:t>
            </w:r>
          </w:p>
        </w:tc>
      </w:tr>
      <w:tr w:rsidR="006A2DF0" w:rsidRPr="006A78B9" w14:paraId="66D1BFD1" w14:textId="77777777" w:rsidTr="00483F5C">
        <w:tc>
          <w:tcPr>
            <w:cnfStyle w:val="001000000000" w:firstRow="0" w:lastRow="0" w:firstColumn="1" w:lastColumn="0" w:oddVBand="0" w:evenVBand="0" w:oddHBand="0" w:evenHBand="0" w:firstRowFirstColumn="0" w:firstRowLastColumn="0" w:lastRowFirstColumn="0" w:lastRowLastColumn="0"/>
            <w:tcW w:w="562" w:type="dxa"/>
            <w:vAlign w:val="center"/>
          </w:tcPr>
          <w:p w14:paraId="17A6F78A" w14:textId="2A936370" w:rsidR="006A2DF0" w:rsidRPr="006A78B9" w:rsidRDefault="00A46F5C" w:rsidP="008E15BB">
            <w:pPr>
              <w:pStyle w:val="Tablecopy"/>
              <w:spacing w:before="60" w:after="60"/>
              <w:rPr>
                <w:b w:val="0"/>
                <w:bCs w:val="0"/>
                <w:sz w:val="24"/>
                <w:szCs w:val="24"/>
              </w:rPr>
            </w:pPr>
            <w:r w:rsidRPr="006A78B9">
              <w:rPr>
                <w:b w:val="0"/>
                <w:bCs w:val="0"/>
                <w:sz w:val="24"/>
                <w:szCs w:val="24"/>
              </w:rPr>
              <w:t>6</w:t>
            </w:r>
          </w:p>
        </w:tc>
        <w:tc>
          <w:tcPr>
            <w:tcW w:w="2551" w:type="dxa"/>
            <w:vAlign w:val="center"/>
          </w:tcPr>
          <w:p w14:paraId="7B7316E9" w14:textId="41A87254" w:rsidR="006A2DF0" w:rsidRPr="006A78B9" w:rsidRDefault="00A46F5C" w:rsidP="008E15BB">
            <w:pPr>
              <w:pStyle w:val="Tablebullet"/>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6A78B9">
              <w:rPr>
                <w:sz w:val="24"/>
                <w:szCs w:val="24"/>
              </w:rPr>
              <w:t>Events on Anzac Day</w:t>
            </w:r>
          </w:p>
        </w:tc>
        <w:tc>
          <w:tcPr>
            <w:tcW w:w="6380" w:type="dxa"/>
            <w:vAlign w:val="center"/>
          </w:tcPr>
          <w:p w14:paraId="6E43C25D" w14:textId="77777777" w:rsidR="00A46F5C" w:rsidRPr="006A78B9" w:rsidRDefault="00A46F5C" w:rsidP="008E15BB">
            <w:pPr>
              <w:pStyle w:val="Tablecopy"/>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6A78B9">
              <w:rPr>
                <w:sz w:val="24"/>
                <w:szCs w:val="24"/>
              </w:rPr>
              <w:t>Are there sporting, racing or public events that could appropriately occur before 12:30 pm because they support, or are consistent with, Anzac Day commemoration?</w:t>
            </w:r>
          </w:p>
          <w:p w14:paraId="0942E82D" w14:textId="38846E56" w:rsidR="006A2DF0" w:rsidRPr="006A78B9" w:rsidRDefault="00A46F5C" w:rsidP="008E15BB">
            <w:pPr>
              <w:pStyle w:val="Tablecopy"/>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6A78B9">
              <w:rPr>
                <w:sz w:val="24"/>
                <w:szCs w:val="24"/>
              </w:rPr>
              <w:t>What characteristics would distinguish those events from activities that should remain restricted?</w:t>
            </w:r>
          </w:p>
        </w:tc>
      </w:tr>
      <w:tr w:rsidR="006A2DF0" w:rsidRPr="006A78B9" w14:paraId="2AE8524E" w14:textId="77777777" w:rsidTr="00483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174367A" w14:textId="470E5E2C" w:rsidR="006A2DF0" w:rsidRPr="006A78B9" w:rsidRDefault="00A46F5C" w:rsidP="008E15BB">
            <w:pPr>
              <w:pStyle w:val="Tablecopy"/>
              <w:spacing w:before="60" w:after="60"/>
              <w:rPr>
                <w:b w:val="0"/>
                <w:bCs w:val="0"/>
                <w:sz w:val="24"/>
                <w:szCs w:val="24"/>
              </w:rPr>
            </w:pPr>
            <w:r w:rsidRPr="006A78B9">
              <w:rPr>
                <w:b w:val="0"/>
                <w:bCs w:val="0"/>
                <w:sz w:val="24"/>
                <w:szCs w:val="24"/>
              </w:rPr>
              <w:t>7</w:t>
            </w:r>
          </w:p>
        </w:tc>
        <w:tc>
          <w:tcPr>
            <w:tcW w:w="2551" w:type="dxa"/>
            <w:vAlign w:val="center"/>
          </w:tcPr>
          <w:p w14:paraId="125AD9DD" w14:textId="52BF25AD" w:rsidR="006A2DF0" w:rsidRPr="006A78B9" w:rsidRDefault="00A46F5C" w:rsidP="008E15BB">
            <w:pPr>
              <w:pStyle w:val="Tablebullet"/>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Events on Anzac Day</w:t>
            </w:r>
          </w:p>
        </w:tc>
        <w:tc>
          <w:tcPr>
            <w:tcW w:w="6380" w:type="dxa"/>
            <w:vAlign w:val="center"/>
          </w:tcPr>
          <w:p w14:paraId="68D4F994" w14:textId="77777777" w:rsidR="00A46F5C" w:rsidRPr="006A78B9" w:rsidRDefault="00A46F5C"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If a process was introduced to allow exemptions for events before 12:30 pm, what criteria and safeguards should apply?</w:t>
            </w:r>
          </w:p>
          <w:p w14:paraId="4264AA5C" w14:textId="4D7799C0" w:rsidR="006A2DF0" w:rsidRPr="006A78B9" w:rsidRDefault="00A46F5C"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For example, should consideration be given to an event’s size, location, timing, noise, impact on commemorative services and contribution to Anzac Day observance?</w:t>
            </w:r>
          </w:p>
        </w:tc>
      </w:tr>
      <w:tr w:rsidR="006A2DF0" w:rsidRPr="006A78B9" w14:paraId="478E938F" w14:textId="77777777" w:rsidTr="00483F5C">
        <w:tc>
          <w:tcPr>
            <w:cnfStyle w:val="001000000000" w:firstRow="0" w:lastRow="0" w:firstColumn="1" w:lastColumn="0" w:oddVBand="0" w:evenVBand="0" w:oddHBand="0" w:evenHBand="0" w:firstRowFirstColumn="0" w:firstRowLastColumn="0" w:lastRowFirstColumn="0" w:lastRowLastColumn="0"/>
            <w:tcW w:w="562" w:type="dxa"/>
            <w:vAlign w:val="center"/>
          </w:tcPr>
          <w:p w14:paraId="2DB8171E" w14:textId="3AAB8739" w:rsidR="006A2DF0" w:rsidRPr="006A78B9" w:rsidRDefault="00A46F5C" w:rsidP="008E15BB">
            <w:pPr>
              <w:pStyle w:val="Tablecopy"/>
              <w:spacing w:before="60" w:after="60"/>
              <w:rPr>
                <w:b w:val="0"/>
                <w:bCs w:val="0"/>
                <w:sz w:val="24"/>
                <w:szCs w:val="24"/>
              </w:rPr>
            </w:pPr>
            <w:r w:rsidRPr="006A78B9">
              <w:rPr>
                <w:b w:val="0"/>
                <w:bCs w:val="0"/>
                <w:sz w:val="24"/>
                <w:szCs w:val="24"/>
              </w:rPr>
              <w:t>8</w:t>
            </w:r>
          </w:p>
        </w:tc>
        <w:tc>
          <w:tcPr>
            <w:tcW w:w="2551" w:type="dxa"/>
            <w:vAlign w:val="center"/>
          </w:tcPr>
          <w:p w14:paraId="0A5BA894" w14:textId="381920C5" w:rsidR="006A2DF0" w:rsidRPr="006A78B9" w:rsidRDefault="00A46F5C" w:rsidP="008E15BB">
            <w:pPr>
              <w:pStyle w:val="Tablebullet"/>
              <w:numPr>
                <w:ilvl w:val="0"/>
                <w:numId w:val="0"/>
              </w:numPr>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6A78B9">
              <w:rPr>
                <w:sz w:val="24"/>
                <w:szCs w:val="24"/>
              </w:rPr>
              <w:t>Anzac Day Fund</w:t>
            </w:r>
          </w:p>
        </w:tc>
        <w:tc>
          <w:tcPr>
            <w:tcW w:w="6380" w:type="dxa"/>
            <w:vAlign w:val="center"/>
          </w:tcPr>
          <w:p w14:paraId="795EDE99" w14:textId="7C15DC69" w:rsidR="006A2DF0" w:rsidRPr="006A78B9" w:rsidRDefault="00A46F5C" w:rsidP="008E15BB">
            <w:pPr>
              <w:pStyle w:val="Tablecopy"/>
              <w:spacing w:before="60" w:after="60"/>
              <w:cnfStyle w:val="000000000000" w:firstRow="0" w:lastRow="0" w:firstColumn="0" w:lastColumn="0" w:oddVBand="0" w:evenVBand="0" w:oddHBand="0" w:evenHBand="0" w:firstRowFirstColumn="0" w:firstRowLastColumn="0" w:lastRowFirstColumn="0" w:lastRowLastColumn="0"/>
              <w:rPr>
                <w:sz w:val="24"/>
                <w:szCs w:val="24"/>
              </w:rPr>
            </w:pPr>
            <w:r w:rsidRPr="006A78B9">
              <w:rPr>
                <w:sz w:val="24"/>
                <w:szCs w:val="24"/>
              </w:rPr>
              <w:t>Is there a case for establishing a new Anzac Day fund or contribution model in Tasmania?</w:t>
            </w:r>
          </w:p>
        </w:tc>
      </w:tr>
      <w:tr w:rsidR="006A2DF0" w:rsidRPr="006A78B9" w14:paraId="6C8E4D46" w14:textId="77777777" w:rsidTr="00483F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AEE4EB1" w14:textId="616F5EC3" w:rsidR="006A2DF0" w:rsidRPr="006A78B9" w:rsidRDefault="00A46F5C" w:rsidP="008E15BB">
            <w:pPr>
              <w:pStyle w:val="Tablecopy"/>
              <w:spacing w:before="60" w:after="60"/>
              <w:rPr>
                <w:b w:val="0"/>
                <w:bCs w:val="0"/>
                <w:sz w:val="24"/>
                <w:szCs w:val="24"/>
              </w:rPr>
            </w:pPr>
            <w:r w:rsidRPr="006A78B9">
              <w:rPr>
                <w:b w:val="0"/>
                <w:bCs w:val="0"/>
                <w:sz w:val="24"/>
                <w:szCs w:val="24"/>
              </w:rPr>
              <w:t>9</w:t>
            </w:r>
          </w:p>
        </w:tc>
        <w:tc>
          <w:tcPr>
            <w:tcW w:w="2551" w:type="dxa"/>
            <w:vAlign w:val="center"/>
          </w:tcPr>
          <w:p w14:paraId="734D995D" w14:textId="563AEE3B" w:rsidR="006A2DF0" w:rsidRPr="006A78B9" w:rsidRDefault="00A46F5C" w:rsidP="008E15BB">
            <w:pPr>
              <w:pStyle w:val="Tablebullet"/>
              <w:numPr>
                <w:ilvl w:val="0"/>
                <w:numId w:val="0"/>
              </w:numPr>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Anzac Day Fund</w:t>
            </w:r>
          </w:p>
        </w:tc>
        <w:tc>
          <w:tcPr>
            <w:tcW w:w="6380" w:type="dxa"/>
            <w:vAlign w:val="center"/>
          </w:tcPr>
          <w:p w14:paraId="4937B1BC" w14:textId="77777777" w:rsidR="00A46F5C" w:rsidRPr="006A78B9" w:rsidRDefault="00A46F5C"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If Tasmania considered a new Anzac Day or veterans’ support fund, what features would be important?</w:t>
            </w:r>
          </w:p>
          <w:p w14:paraId="0301866A" w14:textId="0EEE9864" w:rsidR="006A2DF0" w:rsidRPr="006A78B9" w:rsidRDefault="008E15BB" w:rsidP="008E15BB">
            <w:pPr>
              <w:pStyle w:val="Tablecopy"/>
              <w:spacing w:before="60" w:after="60"/>
              <w:cnfStyle w:val="000000100000" w:firstRow="0" w:lastRow="0" w:firstColumn="0" w:lastColumn="0" w:oddVBand="0" w:evenVBand="0" w:oddHBand="1" w:evenHBand="0" w:firstRowFirstColumn="0" w:firstRowLastColumn="0" w:lastRowFirstColumn="0" w:lastRowLastColumn="0"/>
              <w:rPr>
                <w:sz w:val="24"/>
                <w:szCs w:val="24"/>
              </w:rPr>
            </w:pPr>
            <w:r w:rsidRPr="006A78B9">
              <w:rPr>
                <w:sz w:val="24"/>
                <w:szCs w:val="24"/>
              </w:rPr>
              <w:t>Input is specifically being sought on the purpose of the support fund, the definition of eligible veteran services, how funds are distributed, possible governance and transparency measures, including outcome measures.</w:t>
            </w:r>
          </w:p>
        </w:tc>
      </w:tr>
    </w:tbl>
    <w:p w14:paraId="0DC57310" w14:textId="77777777" w:rsidR="008E090E" w:rsidRPr="008E090E" w:rsidRDefault="008E090E" w:rsidP="0042420E"/>
    <w:sectPr w:rsidR="008E090E" w:rsidRPr="008E090E" w:rsidSect="00483F5C">
      <w:headerReference w:type="even" r:id="rId13"/>
      <w:headerReference w:type="default" r:id="rId14"/>
      <w:footerReference w:type="even" r:id="rId15"/>
      <w:footerReference w:type="default" r:id="rId16"/>
      <w:headerReference w:type="first" r:id="rId17"/>
      <w:footerReference w:type="first" r:id="rId18"/>
      <w:pgSz w:w="11906" w:h="16838" w:code="9"/>
      <w:pgMar w:top="851" w:right="1276" w:bottom="851" w:left="1276"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0A219" w14:textId="77777777" w:rsidR="004D1BAE" w:rsidRDefault="004D1BAE" w:rsidP="00BD0AF7">
      <w:pPr>
        <w:spacing w:after="0" w:line="240" w:lineRule="auto"/>
      </w:pPr>
      <w:r>
        <w:separator/>
      </w:r>
    </w:p>
  </w:endnote>
  <w:endnote w:type="continuationSeparator" w:id="0">
    <w:p w14:paraId="35C4994C" w14:textId="77777777" w:rsidR="004D1BAE" w:rsidRDefault="004D1BAE" w:rsidP="00BD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B7E1" w14:textId="25E740B8" w:rsidR="003146C7" w:rsidRDefault="003146C7">
    <w:pPr>
      <w:pStyle w:val="Footer"/>
    </w:pPr>
    <w:r>
      <w:rPr>
        <w:noProof/>
      </w:rPr>
      <mc:AlternateContent>
        <mc:Choice Requires="wps">
          <w:drawing>
            <wp:anchor distT="0" distB="0" distL="0" distR="0" simplePos="0" relativeHeight="251658246" behindDoc="0" locked="0" layoutInCell="1" allowOverlap="1" wp14:anchorId="33AA9AA0" wp14:editId="492530E0">
              <wp:simplePos x="635" y="635"/>
              <wp:positionH relativeFrom="page">
                <wp:align>center</wp:align>
              </wp:positionH>
              <wp:positionV relativeFrom="page">
                <wp:align>bottom</wp:align>
              </wp:positionV>
              <wp:extent cx="551815" cy="432435"/>
              <wp:effectExtent l="0" t="0" r="635" b="0"/>
              <wp:wrapNone/>
              <wp:docPr id="57422912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CD0D227" w14:textId="121AF2A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AA9AA0" id="_x0000_t202" coordsize="21600,21600" o:spt="202" path="m,l,21600r21600,l21600,xe">
              <v:stroke joinstyle="miter"/>
              <v:path gradientshapeok="t" o:connecttype="rect"/>
            </v:shapetype>
            <v:shape id="Text Box 5" o:spid="_x0000_s1028" type="#_x0000_t202" alt="OFFICIAL" style="position:absolute;margin-left:0;margin-top:0;width:43.45pt;height:34.0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PXDw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1d0enY/RbqIw7lYNi3t3zVYuk18+GZOVwwzoGi&#10;DU94SAVdReFkUdKA+/k3f8xH3jFKSYeCqahBRVOifhjcR9TWaLjR2CajuM1nOcbNXt8DyrDAF2F5&#10;MtHrghpN6UC/oZyXsRCGmOFYrqLb0bwPg3LxOXCxXKYklJFlYW02lkfoSFfk8qV/Y86eCA+4qUcY&#10;1cTKd7wPufGmt8t9QPbTUiK1A5EnxlGCaa2n5xI1/vt/yro86sUv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CAZE9cPAgAA&#10;HAQAAA4AAAAAAAAAAAAAAAAALgIAAGRycy9lMm9Eb2MueG1sUEsBAi0AFAAGAAgAAAAhAHTFDKLb&#10;AAAAAwEAAA8AAAAAAAAAAAAAAAAAaQQAAGRycy9kb3ducmV2LnhtbFBLBQYAAAAABAAEAPMAAABx&#10;BQAAAAA=&#10;" filled="f" stroked="f">
              <v:textbox style="mso-fit-shape-to-text:t" inset="0,0,0,15pt">
                <w:txbxContent>
                  <w:p w14:paraId="1CD0D227" w14:textId="121AF2A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80FB" w14:textId="2342D2ED" w:rsidR="00BD0AF7" w:rsidRPr="00F16B4E" w:rsidRDefault="003146C7" w:rsidP="003C79F5">
    <w:pPr>
      <w:pStyle w:val="FooterDepartmentdivisionunitnameCover"/>
    </w:pPr>
    <w:r>
      <mc:AlternateContent>
        <mc:Choice Requires="wps">
          <w:drawing>
            <wp:anchor distT="0" distB="0" distL="0" distR="0" simplePos="0" relativeHeight="251658247" behindDoc="0" locked="0" layoutInCell="1" allowOverlap="1" wp14:anchorId="5D7168F6" wp14:editId="49E3DEFE">
              <wp:simplePos x="635" y="635"/>
              <wp:positionH relativeFrom="page">
                <wp:align>center</wp:align>
              </wp:positionH>
              <wp:positionV relativeFrom="page">
                <wp:align>bottom</wp:align>
              </wp:positionV>
              <wp:extent cx="551815" cy="432435"/>
              <wp:effectExtent l="0" t="0" r="635" b="0"/>
              <wp:wrapNone/>
              <wp:docPr id="14859726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413E7FD" w14:textId="5AB7A229"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7168F6" id="_x0000_t202" coordsize="21600,21600" o:spt="202" path="m,l,21600r21600,l21600,xe">
              <v:stroke joinstyle="miter"/>
              <v:path gradientshapeok="t" o:connecttype="rect"/>
            </v:shapetype>
            <v:shape id="Text Box 6" o:spid="_x0000_s1029" type="#_x0000_t202" alt="OFFICIAL" style="position:absolute;margin-left:0;margin-top:0;width:43.45pt;height:34.0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HqDwIAABwEAAAOAAAAZHJzL2Uyb0RvYy54bWysU8Fu2zAMvQ/YPwi6L7aTZm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E2moeoPAgAA&#10;HAQAAA4AAAAAAAAAAAAAAAAALgIAAGRycy9lMm9Eb2MueG1sUEsBAi0AFAAGAAgAAAAhAHTFDKLb&#10;AAAAAwEAAA8AAAAAAAAAAAAAAAAAaQQAAGRycy9kb3ducmV2LnhtbFBLBQYAAAAABAAEAPMAAABx&#10;BQAAAAA=&#10;" filled="f" stroked="f">
              <v:textbox style="mso-fit-shape-to-text:t" inset="0,0,0,15pt">
                <w:txbxContent>
                  <w:p w14:paraId="1413E7FD" w14:textId="5AB7A229"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250DAF" w:rsidRPr="00250DAF">
      <w:t xml:space="preserve"> Review of the Anzac Day Observance Act 1929</w:t>
    </w:r>
    <w:r w:rsidR="00250DAF">
      <w:t xml:space="preserve"> - </w:t>
    </w:r>
    <w:r w:rsidR="00250DAF" w:rsidRPr="00250DAF">
      <w:t>Consultation Paper Summary and Guide</w:t>
    </w:r>
    <w:r w:rsidR="009F393A">
      <w:t xml:space="preserve"> | </w:t>
    </w:r>
    <w:r w:rsidR="009F393A">
      <w:rPr>
        <w:noProof w:val="0"/>
      </w:rPr>
      <w:fldChar w:fldCharType="begin"/>
    </w:r>
    <w:r w:rsidR="009F393A">
      <w:instrText xml:space="preserve"> PAGE   \* MERGEFORMAT </w:instrText>
    </w:r>
    <w:r w:rsidR="009F393A">
      <w:rPr>
        <w:noProof w:val="0"/>
      </w:rPr>
      <w:fldChar w:fldCharType="separate"/>
    </w:r>
    <w:r w:rsidR="009F393A">
      <w:t>1</w:t>
    </w:r>
    <w:r w:rsidR="009F39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0042" w14:textId="3F402945" w:rsidR="003813E5" w:rsidRDefault="003146C7" w:rsidP="003146C7">
    <w:pPr>
      <w:pStyle w:val="FooterDepartmentdivisionunitnameCover"/>
    </w:pPr>
    <w:r w:rsidRPr="00A46F5C">
      <w:drawing>
        <wp:anchor distT="0" distB="0" distL="114300" distR="114300" simplePos="0" relativeHeight="251658240" behindDoc="1" locked="0" layoutInCell="1" allowOverlap="1" wp14:anchorId="6104815D" wp14:editId="20F86EB9">
          <wp:simplePos x="0" y="0"/>
          <wp:positionH relativeFrom="margin">
            <wp:align>right</wp:align>
          </wp:positionH>
          <wp:positionV relativeFrom="paragraph">
            <wp:posOffset>-216535</wp:posOffset>
          </wp:positionV>
          <wp:extent cx="1439545" cy="568325"/>
          <wp:effectExtent l="0" t="0" r="8255" b="3175"/>
          <wp:wrapNone/>
          <wp:docPr id="1298520708" name="Picture 1298520708" descr="Tasmanian Government logo consisting of stylised Tasmanian tiger looking through grass to drink water. the words Tasmanian Government stacke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Pr="00A46F5C">
      <mc:AlternateContent>
        <mc:Choice Requires="wps">
          <w:drawing>
            <wp:anchor distT="0" distB="0" distL="0" distR="0" simplePos="0" relativeHeight="251658245" behindDoc="0" locked="0" layoutInCell="1" allowOverlap="1" wp14:anchorId="346ABF2E" wp14:editId="42C35FAA">
              <wp:simplePos x="900953" y="9977718"/>
              <wp:positionH relativeFrom="page">
                <wp:align>center</wp:align>
              </wp:positionH>
              <wp:positionV relativeFrom="page">
                <wp:align>bottom</wp:align>
              </wp:positionV>
              <wp:extent cx="551815" cy="432435"/>
              <wp:effectExtent l="0" t="0" r="635" b="0"/>
              <wp:wrapNone/>
              <wp:docPr id="202190644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BB1D73D" w14:textId="109B0AD7"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6ABF2E" id="_x0000_t202" coordsize="21600,21600" o:spt="202" path="m,l,21600r21600,l21600,xe">
              <v:stroke joinstyle="miter"/>
              <v:path gradientshapeok="t" o:connecttype="rect"/>
            </v:shapetype>
            <v:shape id="Text Box 4" o:spid="_x0000_s1031" type="#_x0000_t202" alt="OFFICIAL" style="position:absolute;margin-left:0;margin-top:0;width:43.45pt;height:34.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nDg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" filled="f" stroked="f">
              <v:textbox style="mso-fit-shape-to-text:t" inset="0,0,0,15pt">
                <w:txbxContent>
                  <w:p w14:paraId="1BB1D73D" w14:textId="109B0AD7"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250DAF">
      <w:t>D</w:t>
    </w:r>
    <w:r w:rsidR="003813E5">
      <w:t xml:space="preserve">epartment of </w:t>
    </w:r>
    <w:r>
      <w:t>Premier and Cabinet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12E90" w14:textId="77777777" w:rsidR="004D1BAE" w:rsidRDefault="004D1BAE" w:rsidP="00BD0AF7">
      <w:pPr>
        <w:spacing w:after="0" w:line="240" w:lineRule="auto"/>
      </w:pPr>
      <w:r>
        <w:separator/>
      </w:r>
    </w:p>
  </w:footnote>
  <w:footnote w:type="continuationSeparator" w:id="0">
    <w:p w14:paraId="60CC405E" w14:textId="77777777" w:rsidR="004D1BAE" w:rsidRDefault="004D1BAE" w:rsidP="00BD0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720C" w14:textId="07E3FE4B" w:rsidR="003146C7" w:rsidRDefault="003146C7">
    <w:pPr>
      <w:pStyle w:val="Header"/>
    </w:pPr>
    <w:r>
      <w:rPr>
        <w:noProof/>
      </w:rPr>
      <mc:AlternateContent>
        <mc:Choice Requires="wps">
          <w:drawing>
            <wp:anchor distT="0" distB="0" distL="0" distR="0" simplePos="0" relativeHeight="251658243" behindDoc="0" locked="0" layoutInCell="1" allowOverlap="1" wp14:anchorId="509F3F43" wp14:editId="3933E971">
              <wp:simplePos x="635" y="635"/>
              <wp:positionH relativeFrom="page">
                <wp:align>center</wp:align>
              </wp:positionH>
              <wp:positionV relativeFrom="page">
                <wp:align>top</wp:align>
              </wp:positionV>
              <wp:extent cx="551815" cy="432435"/>
              <wp:effectExtent l="0" t="0" r="635" b="5715"/>
              <wp:wrapNone/>
              <wp:docPr id="14528899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0A808C55" w14:textId="009452CD"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9F3F43" id="_x0000_t202" coordsize="21600,21600" o:spt="202" path="m,l,21600r21600,l21600,xe">
              <v:stroke joinstyle="miter"/>
              <v:path gradientshapeok="t" o:connecttype="rect"/>
            </v:shapetype>
            <v:shape id="Text Box 2" o:spid="_x0000_s1026" type="#_x0000_t202" alt="OFFICIAL" style="position:absolute;margin-left:0;margin-top:0;width:43.45pt;height:34.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filled="f" stroked="f">
              <v:textbox style="mso-fit-shape-to-text:t" inset="0,15pt,0,0">
                <w:txbxContent>
                  <w:p w14:paraId="0A808C55" w14:textId="009452CD"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31E6" w14:textId="78363E7F" w:rsidR="0059331B" w:rsidRPr="0059331B" w:rsidRDefault="003146C7" w:rsidP="0059331B">
    <w:pPr>
      <w:pStyle w:val="Header"/>
    </w:pPr>
    <w:r>
      <w:rPr>
        <w:noProof/>
      </w:rPr>
      <mc:AlternateContent>
        <mc:Choice Requires="wps">
          <w:drawing>
            <wp:anchor distT="0" distB="0" distL="0" distR="0" simplePos="0" relativeHeight="251658244" behindDoc="0" locked="0" layoutInCell="1" allowOverlap="1" wp14:anchorId="6E442DA0" wp14:editId="63FF07B9">
              <wp:simplePos x="635" y="635"/>
              <wp:positionH relativeFrom="page">
                <wp:align>center</wp:align>
              </wp:positionH>
              <wp:positionV relativeFrom="page">
                <wp:align>top</wp:align>
              </wp:positionV>
              <wp:extent cx="551815" cy="432435"/>
              <wp:effectExtent l="0" t="0" r="635" b="5715"/>
              <wp:wrapNone/>
              <wp:docPr id="89131816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7EE19A47" w14:textId="2FE889B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442DA0" id="_x0000_t202" coordsize="21600,21600" o:spt="202" path="m,l,21600r21600,l21600,xe">
              <v:stroke joinstyle="miter"/>
              <v:path gradientshapeok="t" o:connecttype="rect"/>
            </v:shapetype>
            <v:shape id="Text Box 3" o:spid="_x0000_s1027" type="#_x0000_t202" alt="OFFICIAL" style="position:absolute;margin-left:0;margin-top:0;width:43.45pt;height:34.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" filled="f" stroked="f">
              <v:textbox style="mso-fit-shape-to-text:t" inset="0,15pt,0,0">
                <w:txbxContent>
                  <w:p w14:paraId="7EE19A47" w14:textId="2FE889B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59331B" w:rsidRPr="0059331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4109" w14:textId="1C528FA2" w:rsidR="00447BD4" w:rsidRDefault="003146C7" w:rsidP="00D4123E">
    <w:pPr>
      <w:pStyle w:val="Header"/>
    </w:pPr>
    <w:r w:rsidRPr="0042420E">
      <w:rPr>
        <w:noProof/>
      </w:rPr>
      <mc:AlternateContent>
        <mc:Choice Requires="wps">
          <w:drawing>
            <wp:anchor distT="0" distB="0" distL="0" distR="0" simplePos="0" relativeHeight="251658242" behindDoc="0" locked="0" layoutInCell="1" allowOverlap="1" wp14:anchorId="3156B0A7" wp14:editId="5FA4FFDF">
              <wp:simplePos x="900953" y="215153"/>
              <wp:positionH relativeFrom="page">
                <wp:align>center</wp:align>
              </wp:positionH>
              <wp:positionV relativeFrom="page">
                <wp:align>top</wp:align>
              </wp:positionV>
              <wp:extent cx="551815" cy="432435"/>
              <wp:effectExtent l="0" t="0" r="635" b="5715"/>
              <wp:wrapNone/>
              <wp:docPr id="18688060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49584D48" w14:textId="5B99986C"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56B0A7" id="_x0000_t202" coordsize="21600,21600" o:spt="202" path="m,l,21600r21600,l21600,xe">
              <v:stroke joinstyle="miter"/>
              <v:path gradientshapeok="t" o:connecttype="rect"/>
            </v:shapetype>
            <v:shape id="Text Box 1" o:spid="_x0000_s1030" type="#_x0000_t202" alt="OFFICIAL" style="position:absolute;margin-left:0;margin-top:0;width:43.45pt;height:34.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" filled="f" stroked="f">
              <v:textbox style="mso-fit-shape-to-text:t" inset="0,15pt,0,0">
                <w:txbxContent>
                  <w:p w14:paraId="49584D48" w14:textId="5B99986C"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D4123E" w:rsidRPr="0042420E">
      <w:rPr>
        <w:noProof/>
      </w:rPr>
      <w:drawing>
        <wp:anchor distT="0" distB="0" distL="114300" distR="114300" simplePos="0" relativeHeight="251658241" behindDoc="1" locked="0" layoutInCell="1" allowOverlap="1" wp14:anchorId="5F3CAECA" wp14:editId="5ED059C0">
          <wp:simplePos x="0" y="0"/>
          <wp:positionH relativeFrom="page">
            <wp:align>right</wp:align>
          </wp:positionH>
          <wp:positionV relativeFrom="paragraph">
            <wp:posOffset>-215900</wp:posOffset>
          </wp:positionV>
          <wp:extent cx="2930525" cy="685165"/>
          <wp:effectExtent l="0" t="0" r="3175" b="635"/>
          <wp:wrapNone/>
          <wp:docPr id="17172289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8967"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49118"/>
                  <a:stretch/>
                </pic:blipFill>
                <pic:spPr bwMode="auto">
                  <a:xfrm>
                    <a:off x="0" y="0"/>
                    <a:ext cx="2930525" cy="685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4123E" w:rsidRPr="0042420E">
      <w:t xml:space="preserve">Version </w:t>
    </w:r>
    <w:r w:rsidR="0042420E" w:rsidRPr="0042420E">
      <w:t>3</w:t>
    </w:r>
    <w:r w:rsidR="00D4123E" w:rsidRPr="0042420E">
      <w:t xml:space="preserve"> | </w:t>
    </w:r>
    <w:r w:rsidR="0042420E" w:rsidRPr="0042420E">
      <w:t>26/165107</w:t>
    </w:r>
    <w:r w:rsidR="00D4123E" w:rsidRPr="0059331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51AE402"/>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9C920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0C1A87C2"/>
    <w:lvl w:ilvl="0">
      <w:start w:val="1"/>
      <w:numFmt w:val="decimal"/>
      <w:lvlText w:val="%1."/>
      <w:lvlJc w:val="left"/>
      <w:pPr>
        <w:tabs>
          <w:tab w:val="num" w:pos="360"/>
        </w:tabs>
        <w:ind w:left="360" w:hanging="360"/>
      </w:pPr>
    </w:lvl>
  </w:abstractNum>
  <w:abstractNum w:abstractNumId="3" w15:restartNumberingAfterBreak="0">
    <w:nsid w:val="026D339C"/>
    <w:multiLevelType w:val="hybridMultilevel"/>
    <w:tmpl w:val="76E4AC94"/>
    <w:lvl w:ilvl="0" w:tplc="5942B51A">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F7512E"/>
    <w:multiLevelType w:val="hybridMultilevel"/>
    <w:tmpl w:val="C6AA1AC4"/>
    <w:lvl w:ilvl="0" w:tplc="34644A9E">
      <w:start w:val="1"/>
      <w:numFmt w:val="bullet"/>
      <w:pStyle w:val="BulletsLevel1"/>
      <w:lvlText w:val=""/>
      <w:lvlJc w:val="left"/>
      <w:pPr>
        <w:ind w:left="6597"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022384"/>
    <w:multiLevelType w:val="hybridMultilevel"/>
    <w:tmpl w:val="3092DCD4"/>
    <w:lvl w:ilvl="0" w:tplc="96E425F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056D25"/>
    <w:multiLevelType w:val="hybridMultilevel"/>
    <w:tmpl w:val="BD0640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D82CC3"/>
    <w:multiLevelType w:val="hybridMultilevel"/>
    <w:tmpl w:val="6518E9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6F615E8"/>
    <w:multiLevelType w:val="hybridMultilevel"/>
    <w:tmpl w:val="ACF02174"/>
    <w:lvl w:ilvl="0" w:tplc="8DFC8B78">
      <w:start w:val="1"/>
      <w:numFmt w:val="bullet"/>
      <w:pStyle w:val="BulletL3"/>
      <w:lvlText w:val="-"/>
      <w:lvlJc w:val="left"/>
      <w:pPr>
        <w:ind w:left="1778" w:hanging="360"/>
      </w:pPr>
      <w:rPr>
        <w:rFonts w:ascii="Arial" w:hAnsi="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EC3936"/>
    <w:multiLevelType w:val="hybridMultilevel"/>
    <w:tmpl w:val="C8D2A4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A432463"/>
    <w:multiLevelType w:val="multilevel"/>
    <w:tmpl w:val="2A54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6B58F7"/>
    <w:multiLevelType w:val="hybridMultilevel"/>
    <w:tmpl w:val="90DCDB2E"/>
    <w:lvl w:ilvl="0" w:tplc="2C8EABD2">
      <w:start w:val="1"/>
      <w:numFmt w:val="bullet"/>
      <w:pStyle w:val="BulletL2"/>
      <w:lvlText w:val="-"/>
      <w:lvlJc w:val="left"/>
      <w:pPr>
        <w:ind w:left="927" w:hanging="360"/>
      </w:pPr>
      <w:rPr>
        <w:rFonts w:ascii="Arial" w:hAnsi="Arial" w:hint="default"/>
        <w:spacing w:val="0"/>
        <w:sz w:val="20"/>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3"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8E07FEE"/>
    <w:multiLevelType w:val="hybridMultilevel"/>
    <w:tmpl w:val="C71636A6"/>
    <w:lvl w:ilvl="0" w:tplc="FFFFFFFF">
      <w:start w:val="1"/>
      <w:numFmt w:val="bullet"/>
      <w:lvlText w:val=""/>
      <w:lvlJc w:val="left"/>
      <w:pPr>
        <w:ind w:left="720" w:hanging="360"/>
      </w:pPr>
      <w:rPr>
        <w:rFonts w:ascii="Symbol" w:hAnsi="Symbol" w:hint="default"/>
      </w:rPr>
    </w:lvl>
    <w:lvl w:ilvl="1" w:tplc="F6781C02">
      <w:start w:val="1"/>
      <w:numFmt w:val="bullet"/>
      <w:pStyle w:val="Bulletlevel2"/>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6643098">
    <w:abstractNumId w:val="4"/>
  </w:num>
  <w:num w:numId="2" w16cid:durableId="1971204888">
    <w:abstractNumId w:val="6"/>
  </w:num>
  <w:num w:numId="3" w16cid:durableId="589579785">
    <w:abstractNumId w:val="14"/>
  </w:num>
  <w:num w:numId="4" w16cid:durableId="396364326">
    <w:abstractNumId w:val="5"/>
  </w:num>
  <w:num w:numId="5" w16cid:durableId="18822700">
    <w:abstractNumId w:val="12"/>
  </w:num>
  <w:num w:numId="6" w16cid:durableId="90667290">
    <w:abstractNumId w:val="8"/>
  </w:num>
  <w:num w:numId="7" w16cid:durableId="948122419">
    <w:abstractNumId w:val="1"/>
  </w:num>
  <w:num w:numId="8" w16cid:durableId="1656833321">
    <w:abstractNumId w:val="13"/>
  </w:num>
  <w:num w:numId="9" w16cid:durableId="529490499">
    <w:abstractNumId w:val="0"/>
  </w:num>
  <w:num w:numId="10" w16cid:durableId="1380325260">
    <w:abstractNumId w:val="13"/>
  </w:num>
  <w:num w:numId="11" w16cid:durableId="1797407731">
    <w:abstractNumId w:val="2"/>
  </w:num>
  <w:num w:numId="12" w16cid:durableId="1597010386">
    <w:abstractNumId w:val="13"/>
  </w:num>
  <w:num w:numId="13" w16cid:durableId="1161774435">
    <w:abstractNumId w:val="15"/>
  </w:num>
  <w:num w:numId="14" w16cid:durableId="413205355">
    <w:abstractNumId w:val="9"/>
  </w:num>
  <w:num w:numId="15" w16cid:durableId="1140732817">
    <w:abstractNumId w:val="9"/>
  </w:num>
  <w:num w:numId="16" w16cid:durableId="1884638788">
    <w:abstractNumId w:val="3"/>
  </w:num>
  <w:num w:numId="17" w16cid:durableId="1996030016">
    <w:abstractNumId w:val="7"/>
  </w:num>
  <w:num w:numId="18" w16cid:durableId="2016611906">
    <w:abstractNumId w:val="11"/>
  </w:num>
  <w:num w:numId="19" w16cid:durableId="19161622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51"/>
    <w:rsid w:val="000319F9"/>
    <w:rsid w:val="00043209"/>
    <w:rsid w:val="00051392"/>
    <w:rsid w:val="00053172"/>
    <w:rsid w:val="000A07A6"/>
    <w:rsid w:val="000F5902"/>
    <w:rsid w:val="00120915"/>
    <w:rsid w:val="001314BC"/>
    <w:rsid w:val="001658F0"/>
    <w:rsid w:val="001B3E6E"/>
    <w:rsid w:val="001C6A0A"/>
    <w:rsid w:val="00203000"/>
    <w:rsid w:val="002419B6"/>
    <w:rsid w:val="00250DAF"/>
    <w:rsid w:val="002623EA"/>
    <w:rsid w:val="0026298C"/>
    <w:rsid w:val="00297F6C"/>
    <w:rsid w:val="002B3394"/>
    <w:rsid w:val="002B6732"/>
    <w:rsid w:val="002D12FB"/>
    <w:rsid w:val="002D5128"/>
    <w:rsid w:val="002D7078"/>
    <w:rsid w:val="00305AEA"/>
    <w:rsid w:val="003146C7"/>
    <w:rsid w:val="00336856"/>
    <w:rsid w:val="00356EA8"/>
    <w:rsid w:val="00365C9D"/>
    <w:rsid w:val="003813E5"/>
    <w:rsid w:val="003C79F5"/>
    <w:rsid w:val="00421B3F"/>
    <w:rsid w:val="004237A8"/>
    <w:rsid w:val="0042420E"/>
    <w:rsid w:val="00447BD4"/>
    <w:rsid w:val="00450392"/>
    <w:rsid w:val="00475774"/>
    <w:rsid w:val="00483F5C"/>
    <w:rsid w:val="004B0531"/>
    <w:rsid w:val="004D1BAE"/>
    <w:rsid w:val="004D1E00"/>
    <w:rsid w:val="004D3811"/>
    <w:rsid w:val="004D60E3"/>
    <w:rsid w:val="00512870"/>
    <w:rsid w:val="00517409"/>
    <w:rsid w:val="00545B11"/>
    <w:rsid w:val="005918D3"/>
    <w:rsid w:val="0059331B"/>
    <w:rsid w:val="005A68F2"/>
    <w:rsid w:val="005B3569"/>
    <w:rsid w:val="00610B41"/>
    <w:rsid w:val="006252D4"/>
    <w:rsid w:val="00635C51"/>
    <w:rsid w:val="00647FB4"/>
    <w:rsid w:val="00653335"/>
    <w:rsid w:val="00656E64"/>
    <w:rsid w:val="006606A4"/>
    <w:rsid w:val="00663B53"/>
    <w:rsid w:val="006653CD"/>
    <w:rsid w:val="00693B93"/>
    <w:rsid w:val="006A2DF0"/>
    <w:rsid w:val="006A78B9"/>
    <w:rsid w:val="006E6FA2"/>
    <w:rsid w:val="00740C39"/>
    <w:rsid w:val="00767CB9"/>
    <w:rsid w:val="00770DA6"/>
    <w:rsid w:val="00774FCA"/>
    <w:rsid w:val="00781449"/>
    <w:rsid w:val="007874AD"/>
    <w:rsid w:val="007972DC"/>
    <w:rsid w:val="007C2716"/>
    <w:rsid w:val="007E4689"/>
    <w:rsid w:val="007E4764"/>
    <w:rsid w:val="00802BC9"/>
    <w:rsid w:val="0083141A"/>
    <w:rsid w:val="00837F1A"/>
    <w:rsid w:val="00852988"/>
    <w:rsid w:val="008638C7"/>
    <w:rsid w:val="0086711A"/>
    <w:rsid w:val="008C0033"/>
    <w:rsid w:val="008C5385"/>
    <w:rsid w:val="008C53F1"/>
    <w:rsid w:val="008E090E"/>
    <w:rsid w:val="008E15BB"/>
    <w:rsid w:val="008E40F0"/>
    <w:rsid w:val="008F2D2F"/>
    <w:rsid w:val="008F53B3"/>
    <w:rsid w:val="0091000D"/>
    <w:rsid w:val="00921600"/>
    <w:rsid w:val="00943EA1"/>
    <w:rsid w:val="00945CE8"/>
    <w:rsid w:val="00950DB8"/>
    <w:rsid w:val="00952DC6"/>
    <w:rsid w:val="00952E97"/>
    <w:rsid w:val="009720CE"/>
    <w:rsid w:val="00990420"/>
    <w:rsid w:val="00996D62"/>
    <w:rsid w:val="009A3712"/>
    <w:rsid w:val="009B5FFD"/>
    <w:rsid w:val="009C5837"/>
    <w:rsid w:val="009F0C39"/>
    <w:rsid w:val="009F393A"/>
    <w:rsid w:val="009F705B"/>
    <w:rsid w:val="00A06251"/>
    <w:rsid w:val="00A2725B"/>
    <w:rsid w:val="00A36524"/>
    <w:rsid w:val="00A46F5C"/>
    <w:rsid w:val="00A60389"/>
    <w:rsid w:val="00A64FC8"/>
    <w:rsid w:val="00A676FF"/>
    <w:rsid w:val="00A733E0"/>
    <w:rsid w:val="00A73B2F"/>
    <w:rsid w:val="00A81248"/>
    <w:rsid w:val="00AB08AB"/>
    <w:rsid w:val="00AB517B"/>
    <w:rsid w:val="00AE18EF"/>
    <w:rsid w:val="00AF294A"/>
    <w:rsid w:val="00B05812"/>
    <w:rsid w:val="00B2209C"/>
    <w:rsid w:val="00B33B13"/>
    <w:rsid w:val="00B3631D"/>
    <w:rsid w:val="00B67B16"/>
    <w:rsid w:val="00B71A24"/>
    <w:rsid w:val="00B7399C"/>
    <w:rsid w:val="00B90D66"/>
    <w:rsid w:val="00BB2B79"/>
    <w:rsid w:val="00BD0AF7"/>
    <w:rsid w:val="00C03F27"/>
    <w:rsid w:val="00C46353"/>
    <w:rsid w:val="00C85AE3"/>
    <w:rsid w:val="00C951E8"/>
    <w:rsid w:val="00C959FC"/>
    <w:rsid w:val="00CB2738"/>
    <w:rsid w:val="00CC4A79"/>
    <w:rsid w:val="00CE142E"/>
    <w:rsid w:val="00D4123E"/>
    <w:rsid w:val="00D500A0"/>
    <w:rsid w:val="00D61493"/>
    <w:rsid w:val="00DA6B55"/>
    <w:rsid w:val="00DB3160"/>
    <w:rsid w:val="00DD0D3B"/>
    <w:rsid w:val="00DE5C86"/>
    <w:rsid w:val="00E02C34"/>
    <w:rsid w:val="00E169C2"/>
    <w:rsid w:val="00E563CC"/>
    <w:rsid w:val="00E65FE5"/>
    <w:rsid w:val="00EE3F8B"/>
    <w:rsid w:val="00EF1E0E"/>
    <w:rsid w:val="00F07567"/>
    <w:rsid w:val="00F16B4E"/>
    <w:rsid w:val="00FB2A98"/>
    <w:rsid w:val="00FE3A40"/>
    <w:rsid w:val="1006846E"/>
    <w:rsid w:val="79C641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F9DA5"/>
  <w15:chartTrackingRefBased/>
  <w15:docId w15:val="{ED08E080-20B5-4841-8B21-8D9172A51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7E4689"/>
    <w:pPr>
      <w:spacing w:after="120" w:line="312" w:lineRule="auto"/>
    </w:pPr>
    <w:rPr>
      <w:color w:val="1A1A1A" w:themeColor="text1"/>
      <w:sz w:val="24"/>
    </w:rPr>
  </w:style>
  <w:style w:type="paragraph" w:styleId="Heading1">
    <w:name w:val="heading 1"/>
    <w:basedOn w:val="Normal"/>
    <w:next w:val="Normal"/>
    <w:link w:val="Heading1Char"/>
    <w:uiPriority w:val="9"/>
    <w:qFormat/>
    <w:rsid w:val="003146C7"/>
    <w:pPr>
      <w:keepNext/>
      <w:keepLines/>
      <w:spacing w:line="240" w:lineRule="auto"/>
      <w:outlineLvl w:val="0"/>
    </w:pPr>
    <w:rPr>
      <w:rFonts w:asciiTheme="majorHAnsi" w:eastAsiaTheme="majorEastAsia" w:hAnsiTheme="majorHAnsi" w:cstheme="majorBidi"/>
      <w:b/>
      <w:color w:val="003858" w:themeColor="accent2"/>
      <w:sz w:val="44"/>
      <w:szCs w:val="32"/>
    </w:rPr>
  </w:style>
  <w:style w:type="paragraph" w:styleId="Heading2">
    <w:name w:val="heading 2"/>
    <w:basedOn w:val="Normal"/>
    <w:next w:val="Normal"/>
    <w:link w:val="Heading2Char"/>
    <w:uiPriority w:val="9"/>
    <w:unhideWhenUsed/>
    <w:qFormat/>
    <w:rsid w:val="003146C7"/>
    <w:pPr>
      <w:keepNext/>
      <w:keepLines/>
      <w:spacing w:line="240" w:lineRule="auto"/>
      <w:outlineLvl w:val="1"/>
    </w:pPr>
    <w:rPr>
      <w:rFonts w:asciiTheme="majorHAnsi" w:eastAsiaTheme="majorEastAsia" w:hAnsiTheme="majorHAnsi" w:cstheme="majorBidi"/>
      <w:b/>
      <w:color w:val="003858" w:themeColor="accent2"/>
      <w:sz w:val="40"/>
      <w:szCs w:val="26"/>
    </w:rPr>
  </w:style>
  <w:style w:type="paragraph" w:styleId="Heading3">
    <w:name w:val="heading 3"/>
    <w:basedOn w:val="Normal"/>
    <w:next w:val="Normal"/>
    <w:link w:val="Heading3Char"/>
    <w:uiPriority w:val="9"/>
    <w:unhideWhenUsed/>
    <w:qFormat/>
    <w:rsid w:val="003146C7"/>
    <w:pPr>
      <w:keepNext/>
      <w:keepLines/>
      <w:spacing w:line="240" w:lineRule="auto"/>
      <w:outlineLvl w:val="2"/>
    </w:pPr>
    <w:rPr>
      <w:rFonts w:asciiTheme="majorHAnsi" w:eastAsiaTheme="majorEastAsia" w:hAnsiTheme="majorHAnsi" w:cstheme="majorBidi"/>
      <w:b/>
      <w:color w:val="003858" w:themeColor="accent2"/>
      <w:sz w:val="36"/>
      <w:szCs w:val="24"/>
    </w:rPr>
  </w:style>
  <w:style w:type="paragraph" w:styleId="Heading4">
    <w:name w:val="heading 4"/>
    <w:basedOn w:val="Normal"/>
    <w:next w:val="Normal"/>
    <w:link w:val="Heading4Char"/>
    <w:autoRedefine/>
    <w:uiPriority w:val="9"/>
    <w:unhideWhenUsed/>
    <w:qFormat/>
    <w:rsid w:val="003146C7"/>
    <w:pPr>
      <w:keepNext/>
      <w:keepLines/>
      <w:spacing w:line="240" w:lineRule="auto"/>
      <w:outlineLvl w:val="3"/>
    </w:pPr>
    <w:rPr>
      <w:rFonts w:asciiTheme="majorHAnsi" w:eastAsiaTheme="majorEastAsia" w:hAnsiTheme="majorHAnsi" w:cstheme="majorBidi"/>
      <w:b/>
      <w:iCs/>
      <w:color w:val="003858" w:themeColor="accent2"/>
      <w:sz w:val="32"/>
    </w:rPr>
  </w:style>
  <w:style w:type="paragraph" w:styleId="Heading5">
    <w:name w:val="heading 5"/>
    <w:basedOn w:val="Normal"/>
    <w:next w:val="Normal"/>
    <w:link w:val="Heading5Char"/>
    <w:uiPriority w:val="9"/>
    <w:unhideWhenUsed/>
    <w:qFormat/>
    <w:rsid w:val="003146C7"/>
    <w:pPr>
      <w:keepNext/>
      <w:keepLines/>
      <w:spacing w:line="240" w:lineRule="auto"/>
      <w:outlineLvl w:val="4"/>
    </w:pPr>
    <w:rPr>
      <w:rFonts w:asciiTheme="majorHAnsi" w:eastAsiaTheme="majorEastAsia" w:hAnsiTheme="majorHAnsi" w:cstheme="majorBidi"/>
      <w:b/>
      <w:color w:val="003858" w:themeColor="accent2"/>
      <w:sz w:val="28"/>
    </w:rPr>
  </w:style>
  <w:style w:type="paragraph" w:styleId="Heading6">
    <w:name w:val="heading 6"/>
    <w:basedOn w:val="Normal"/>
    <w:next w:val="Normal"/>
    <w:link w:val="Heading6Char"/>
    <w:autoRedefine/>
    <w:uiPriority w:val="9"/>
    <w:unhideWhenUsed/>
    <w:qFormat/>
    <w:rsid w:val="0059331B"/>
    <w:pPr>
      <w:keepNext/>
      <w:keepLines/>
      <w:spacing w:after="80" w:line="240" w:lineRule="auto"/>
      <w:outlineLvl w:val="5"/>
    </w:pPr>
    <w:rPr>
      <w:rFonts w:asciiTheme="majorHAnsi" w:eastAsiaTheme="majorEastAsia" w:hAnsiTheme="majorHAnsi" w:cstheme="majorBidi"/>
      <w:b/>
    </w:rPr>
  </w:style>
  <w:style w:type="paragraph" w:styleId="Heading7">
    <w:name w:val="heading 7"/>
    <w:basedOn w:val="Normal"/>
    <w:next w:val="Normal"/>
    <w:link w:val="Heading7Char"/>
    <w:uiPriority w:val="9"/>
    <w:unhideWhenUsed/>
    <w:rsid w:val="007E4689"/>
    <w:pPr>
      <w:keepNext/>
      <w:keepLines/>
      <w:spacing w:before="120"/>
      <w:outlineLvl w:val="6"/>
    </w:pPr>
    <w:rPr>
      <w:rFonts w:asciiTheme="majorHAnsi" w:eastAsiaTheme="majorEastAsia" w:hAnsiTheme="majorHAnsi" w:cstheme="majorBidi"/>
      <w:b/>
      <w:iCs/>
      <w:color w:val="692A0E" w:themeColor="accent1" w:themeShade="80"/>
      <w:sz w:val="32"/>
    </w:rPr>
  </w:style>
  <w:style w:type="paragraph" w:styleId="Heading8">
    <w:name w:val="heading 8"/>
    <w:basedOn w:val="Normal"/>
    <w:next w:val="Normal"/>
    <w:link w:val="Heading8Char"/>
    <w:uiPriority w:val="9"/>
    <w:unhideWhenUsed/>
    <w:rsid w:val="007E4689"/>
    <w:pPr>
      <w:keepNext/>
      <w:keepLines/>
      <w:spacing w:before="120"/>
      <w:outlineLvl w:val="7"/>
    </w:pPr>
    <w:rPr>
      <w:rFonts w:asciiTheme="majorHAnsi" w:eastAsiaTheme="majorEastAsia" w:hAnsiTheme="majorHAnsi" w:cstheme="majorBidi"/>
      <w:b/>
      <w:color w:val="692A0E" w:themeColor="accent1" w:themeShade="80"/>
      <w:sz w:val="28"/>
      <w:szCs w:val="21"/>
    </w:rPr>
  </w:style>
  <w:style w:type="paragraph" w:styleId="Heading9">
    <w:name w:val="heading 9"/>
    <w:basedOn w:val="Normal"/>
    <w:next w:val="Normal"/>
    <w:link w:val="Heading9Char"/>
    <w:uiPriority w:val="9"/>
    <w:unhideWhenUsed/>
    <w:rsid w:val="007E4689"/>
    <w:pPr>
      <w:keepNext/>
      <w:keepLines/>
      <w:spacing w:before="40" w:after="0"/>
      <w:outlineLvl w:val="8"/>
    </w:pPr>
    <w:rPr>
      <w:rFonts w:asciiTheme="majorHAnsi" w:eastAsiaTheme="majorEastAsia" w:hAnsiTheme="majorHAnsi" w:cstheme="majorBidi"/>
      <w:b/>
      <w:iCs/>
      <w:color w:val="692A0E"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35C51"/>
    <w:pPr>
      <w:autoSpaceDE w:val="0"/>
      <w:autoSpaceDN w:val="0"/>
      <w:adjustRightInd w:val="0"/>
      <w:spacing w:after="0" w:line="288" w:lineRule="auto"/>
      <w:textAlignment w:val="center"/>
    </w:pPr>
    <w:rPr>
      <w:rFonts w:ascii="MinionPro-Regular" w:hAnsi="MinionPro-Regular" w:cs="MinionPro-Regular"/>
      <w:color w:val="000000"/>
      <w:kern w:val="0"/>
      <w:szCs w:val="24"/>
      <w:lang w:val="en-US"/>
    </w:rPr>
  </w:style>
  <w:style w:type="paragraph" w:styleId="Title">
    <w:name w:val="Title"/>
    <w:next w:val="Heading1"/>
    <w:link w:val="TitleChar"/>
    <w:uiPriority w:val="10"/>
    <w:qFormat/>
    <w:rsid w:val="003146C7"/>
    <w:pPr>
      <w:spacing w:before="120" w:after="120" w:line="240" w:lineRule="auto"/>
      <w:contextualSpacing/>
    </w:pPr>
    <w:rPr>
      <w:rFonts w:asciiTheme="majorHAnsi" w:eastAsiaTheme="majorEastAsia" w:hAnsiTheme="majorHAnsi" w:cstheme="majorBidi"/>
      <w:b/>
      <w:color w:val="003858" w:themeColor="accent2"/>
      <w:spacing w:val="-10"/>
      <w:kern w:val="28"/>
      <w:sz w:val="52"/>
      <w:szCs w:val="56"/>
    </w:rPr>
  </w:style>
  <w:style w:type="character" w:customStyle="1" w:styleId="TitleChar">
    <w:name w:val="Title Char"/>
    <w:basedOn w:val="DefaultParagraphFont"/>
    <w:link w:val="Title"/>
    <w:uiPriority w:val="10"/>
    <w:rsid w:val="003146C7"/>
    <w:rPr>
      <w:rFonts w:asciiTheme="majorHAnsi" w:eastAsiaTheme="majorEastAsia" w:hAnsiTheme="majorHAnsi" w:cstheme="majorBidi"/>
      <w:b/>
      <w:color w:val="003858" w:themeColor="accent2"/>
      <w:spacing w:val="-10"/>
      <w:kern w:val="28"/>
      <w:sz w:val="52"/>
      <w:szCs w:val="56"/>
    </w:rPr>
  </w:style>
  <w:style w:type="paragraph" w:styleId="Subtitle">
    <w:name w:val="Subtitle"/>
    <w:basedOn w:val="Normal"/>
    <w:next w:val="Normal"/>
    <w:link w:val="SubtitleChar"/>
    <w:uiPriority w:val="11"/>
    <w:qFormat/>
    <w:rsid w:val="007E4689"/>
    <w:pPr>
      <w:numPr>
        <w:ilvl w:val="1"/>
      </w:numPr>
    </w:pPr>
    <w:rPr>
      <w:rFonts w:eastAsiaTheme="minorEastAsia"/>
      <w:b/>
      <w:sz w:val="28"/>
    </w:rPr>
  </w:style>
  <w:style w:type="character" w:customStyle="1" w:styleId="SubtitleChar">
    <w:name w:val="Subtitle Char"/>
    <w:basedOn w:val="DefaultParagraphFont"/>
    <w:link w:val="Subtitle"/>
    <w:uiPriority w:val="11"/>
    <w:rsid w:val="007E4689"/>
    <w:rPr>
      <w:rFonts w:eastAsiaTheme="minorEastAsia"/>
      <w:b/>
      <w:color w:val="1A1A1A" w:themeColor="text1"/>
      <w:sz w:val="28"/>
    </w:rPr>
  </w:style>
  <w:style w:type="paragraph" w:styleId="NoSpacing">
    <w:name w:val="No Spacing"/>
    <w:aliases w:val="Intro text"/>
    <w:uiPriority w:val="1"/>
    <w:qFormat/>
    <w:rsid w:val="007E4689"/>
    <w:pPr>
      <w:spacing w:before="120" w:after="240" w:line="240" w:lineRule="auto"/>
    </w:pPr>
    <w:rPr>
      <w:color w:val="1A1A1A" w:themeColor="text1"/>
      <w:sz w:val="32"/>
    </w:rPr>
  </w:style>
  <w:style w:type="character" w:customStyle="1" w:styleId="Heading1Char">
    <w:name w:val="Heading 1 Char"/>
    <w:basedOn w:val="DefaultParagraphFont"/>
    <w:link w:val="Heading1"/>
    <w:uiPriority w:val="9"/>
    <w:rsid w:val="003146C7"/>
    <w:rPr>
      <w:rFonts w:asciiTheme="majorHAnsi" w:eastAsiaTheme="majorEastAsia" w:hAnsiTheme="majorHAnsi" w:cstheme="majorBidi"/>
      <w:b/>
      <w:color w:val="003858" w:themeColor="accent2"/>
      <w:sz w:val="44"/>
      <w:szCs w:val="32"/>
    </w:rPr>
  </w:style>
  <w:style w:type="character" w:customStyle="1" w:styleId="Heading2Char">
    <w:name w:val="Heading 2 Char"/>
    <w:basedOn w:val="DefaultParagraphFont"/>
    <w:link w:val="Heading2"/>
    <w:uiPriority w:val="9"/>
    <w:rsid w:val="003146C7"/>
    <w:rPr>
      <w:rFonts w:asciiTheme="majorHAnsi" w:eastAsiaTheme="majorEastAsia" w:hAnsiTheme="majorHAnsi" w:cstheme="majorBidi"/>
      <w:b/>
      <w:color w:val="003858" w:themeColor="accent2"/>
      <w:sz w:val="40"/>
      <w:szCs w:val="26"/>
    </w:rPr>
  </w:style>
  <w:style w:type="paragraph" w:styleId="Caption">
    <w:name w:val="caption"/>
    <w:basedOn w:val="Normal"/>
    <w:next w:val="Normal"/>
    <w:uiPriority w:val="35"/>
    <w:unhideWhenUsed/>
    <w:qFormat/>
    <w:rsid w:val="0059331B"/>
    <w:pPr>
      <w:spacing w:line="240" w:lineRule="auto"/>
    </w:pPr>
    <w:rPr>
      <w:iCs/>
      <w:sz w:val="18"/>
      <w:szCs w:val="18"/>
    </w:rPr>
  </w:style>
  <w:style w:type="paragraph" w:customStyle="1" w:styleId="BulletsLevel1">
    <w:name w:val="Bullets Level 1"/>
    <w:basedOn w:val="Normal"/>
    <w:link w:val="BulletsLevel1Char"/>
    <w:rsid w:val="00512870"/>
    <w:pPr>
      <w:numPr>
        <w:numId w:val="1"/>
      </w:numPr>
      <w:spacing w:after="40"/>
      <w:ind w:left="720"/>
      <w:contextualSpacing/>
    </w:pPr>
  </w:style>
  <w:style w:type="table" w:styleId="TableGrid">
    <w:name w:val="Table Grid"/>
    <w:basedOn w:val="TableNormal"/>
    <w:uiPriority w:val="39"/>
    <w:rsid w:val="007E4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sLevel1Char">
    <w:name w:val="Bullets Level 1 Char"/>
    <w:basedOn w:val="DefaultParagraphFont"/>
    <w:link w:val="BulletsLevel1"/>
    <w:rsid w:val="00512870"/>
    <w:rPr>
      <w:color w:val="1A1A1A" w:themeColor="text1"/>
      <w:sz w:val="24"/>
    </w:rPr>
  </w:style>
  <w:style w:type="character" w:customStyle="1" w:styleId="Heading3Char">
    <w:name w:val="Heading 3 Char"/>
    <w:basedOn w:val="DefaultParagraphFont"/>
    <w:link w:val="Heading3"/>
    <w:uiPriority w:val="9"/>
    <w:rsid w:val="003146C7"/>
    <w:rPr>
      <w:rFonts w:asciiTheme="majorHAnsi" w:eastAsiaTheme="majorEastAsia" w:hAnsiTheme="majorHAnsi" w:cstheme="majorBidi"/>
      <w:b/>
      <w:color w:val="003858" w:themeColor="accent2"/>
      <w:sz w:val="36"/>
      <w:szCs w:val="24"/>
    </w:rPr>
  </w:style>
  <w:style w:type="character" w:customStyle="1" w:styleId="Heading6Char">
    <w:name w:val="Heading 6 Char"/>
    <w:basedOn w:val="DefaultParagraphFont"/>
    <w:link w:val="Heading6"/>
    <w:uiPriority w:val="9"/>
    <w:rsid w:val="0059331B"/>
    <w:rPr>
      <w:rFonts w:asciiTheme="majorHAnsi" w:eastAsiaTheme="majorEastAsia" w:hAnsiTheme="majorHAnsi" w:cstheme="majorBidi"/>
      <w:b/>
      <w:color w:val="1A1A1A" w:themeColor="text1"/>
      <w:sz w:val="24"/>
    </w:rPr>
  </w:style>
  <w:style w:type="table" w:styleId="GridTable4">
    <w:name w:val="Grid Table 4"/>
    <w:basedOn w:val="TableNormal"/>
    <w:uiPriority w:val="49"/>
    <w:rsid w:val="007E4689"/>
    <w:pPr>
      <w:spacing w:after="0" w:line="240" w:lineRule="auto"/>
    </w:pPr>
    <w:tblPr>
      <w:tblStyleRowBandSize w:val="1"/>
      <w:tblStyleColBandSize w:val="1"/>
      <w:tblBorders>
        <w:top w:val="single" w:sz="4" w:space="0" w:color="757575" w:themeColor="text1" w:themeTint="99"/>
        <w:left w:val="single" w:sz="4" w:space="0" w:color="757575" w:themeColor="text1" w:themeTint="99"/>
        <w:bottom w:val="single" w:sz="4" w:space="0" w:color="757575" w:themeColor="text1" w:themeTint="99"/>
        <w:right w:val="single" w:sz="4" w:space="0" w:color="757575" w:themeColor="text1" w:themeTint="99"/>
        <w:insideH w:val="single" w:sz="4" w:space="0" w:color="757575" w:themeColor="text1" w:themeTint="99"/>
        <w:insideV w:val="single" w:sz="4" w:space="0" w:color="757575" w:themeColor="text1" w:themeTint="99"/>
      </w:tblBorders>
    </w:tblPr>
    <w:tblStylePr w:type="firstRow">
      <w:rPr>
        <w:b/>
        <w:bCs/>
        <w:color w:val="FFFFFF" w:themeColor="background1"/>
      </w:rPr>
      <w:tblPr/>
      <w:tcPr>
        <w:tcBorders>
          <w:top w:val="single" w:sz="4" w:space="0" w:color="1A1A1A" w:themeColor="text1"/>
          <w:left w:val="single" w:sz="4" w:space="0" w:color="1A1A1A" w:themeColor="text1"/>
          <w:bottom w:val="single" w:sz="4" w:space="0" w:color="1A1A1A" w:themeColor="text1"/>
          <w:right w:val="single" w:sz="4" w:space="0" w:color="1A1A1A" w:themeColor="text1"/>
          <w:insideH w:val="nil"/>
          <w:insideV w:val="nil"/>
        </w:tcBorders>
        <w:shd w:val="clear" w:color="auto" w:fill="1A1A1A" w:themeFill="text1"/>
      </w:tcPr>
    </w:tblStylePr>
    <w:tblStylePr w:type="lastRow">
      <w:rPr>
        <w:b/>
        <w:bCs/>
      </w:rPr>
      <w:tblPr/>
      <w:tcPr>
        <w:tcBorders>
          <w:top w:val="double" w:sz="4" w:space="0" w:color="1A1A1A" w:themeColor="text1"/>
        </w:tcBorders>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paragraph" w:customStyle="1" w:styleId="Bulletlevel2">
    <w:name w:val="Bullet level 2"/>
    <w:basedOn w:val="BulletsLevel1"/>
    <w:link w:val="Bulletlevel2Char"/>
    <w:rsid w:val="002B3394"/>
    <w:pPr>
      <w:numPr>
        <w:ilvl w:val="1"/>
        <w:numId w:val="3"/>
      </w:numPr>
      <w:ind w:left="1135" w:hanging="284"/>
    </w:pPr>
  </w:style>
  <w:style w:type="character" w:customStyle="1" w:styleId="Bulletlevel2Char">
    <w:name w:val="Bullet level 2 Char"/>
    <w:basedOn w:val="BulletsLevel1Char"/>
    <w:link w:val="Bulletlevel2"/>
    <w:rsid w:val="002B3394"/>
    <w:rPr>
      <w:color w:val="1A1A1A" w:themeColor="text1"/>
      <w:sz w:val="24"/>
    </w:rPr>
  </w:style>
  <w:style w:type="character" w:customStyle="1" w:styleId="Heading4Char">
    <w:name w:val="Heading 4 Char"/>
    <w:basedOn w:val="DefaultParagraphFont"/>
    <w:link w:val="Heading4"/>
    <w:uiPriority w:val="9"/>
    <w:rsid w:val="003146C7"/>
    <w:rPr>
      <w:rFonts w:asciiTheme="majorHAnsi" w:eastAsiaTheme="majorEastAsia" w:hAnsiTheme="majorHAnsi" w:cstheme="majorBidi"/>
      <w:b/>
      <w:iCs/>
      <w:color w:val="003858" w:themeColor="accent2"/>
      <w:sz w:val="32"/>
    </w:rPr>
  </w:style>
  <w:style w:type="character" w:customStyle="1" w:styleId="Heading5Char">
    <w:name w:val="Heading 5 Char"/>
    <w:basedOn w:val="DefaultParagraphFont"/>
    <w:link w:val="Heading5"/>
    <w:uiPriority w:val="9"/>
    <w:rsid w:val="003146C7"/>
    <w:rPr>
      <w:rFonts w:asciiTheme="majorHAnsi" w:eastAsiaTheme="majorEastAsia" w:hAnsiTheme="majorHAnsi" w:cstheme="majorBidi"/>
      <w:b/>
      <w:color w:val="003858" w:themeColor="accent2"/>
      <w:sz w:val="28"/>
    </w:rPr>
  </w:style>
  <w:style w:type="character" w:styleId="SubtleReference">
    <w:name w:val="Subtle Reference"/>
    <w:basedOn w:val="DefaultParagraphFont"/>
    <w:uiPriority w:val="31"/>
    <w:rsid w:val="007E4689"/>
    <w:rPr>
      <w:rFonts w:asciiTheme="minorHAnsi" w:hAnsiTheme="minorHAnsi"/>
      <w:smallCaps/>
      <w:color w:val="404040" w:themeColor="background2" w:themeShade="40"/>
      <w:sz w:val="24"/>
    </w:rPr>
  </w:style>
  <w:style w:type="paragraph" w:customStyle="1" w:styleId="Tableheadingwhite">
    <w:name w:val="Table heading white"/>
    <w:basedOn w:val="Normal"/>
    <w:link w:val="TableheadingwhiteChar"/>
    <w:autoRedefine/>
    <w:qFormat/>
    <w:rsid w:val="007E4689"/>
    <w:pPr>
      <w:spacing w:after="40" w:line="240" w:lineRule="auto"/>
    </w:pPr>
    <w:rPr>
      <w:rFonts w:asciiTheme="majorHAnsi" w:hAnsiTheme="majorHAnsi"/>
      <w:b/>
      <w:bCs/>
      <w:color w:val="FFFFFF" w:themeColor="background1"/>
      <w:sz w:val="20"/>
    </w:rPr>
  </w:style>
  <w:style w:type="character" w:customStyle="1" w:styleId="TableheadingwhiteChar">
    <w:name w:val="Table heading white Char"/>
    <w:basedOn w:val="DefaultParagraphFont"/>
    <w:link w:val="Tableheadingwhite"/>
    <w:rsid w:val="007E4689"/>
    <w:rPr>
      <w:rFonts w:asciiTheme="majorHAnsi" w:hAnsiTheme="majorHAnsi"/>
      <w:b/>
      <w:bCs/>
      <w:color w:val="FFFFFF" w:themeColor="background1"/>
      <w:sz w:val="20"/>
    </w:rPr>
  </w:style>
  <w:style w:type="paragraph" w:customStyle="1" w:styleId="Tablecopy">
    <w:name w:val="Table copy"/>
    <w:next w:val="Normal"/>
    <w:link w:val="TablecopyChar"/>
    <w:autoRedefine/>
    <w:qFormat/>
    <w:rsid w:val="007E4689"/>
    <w:pPr>
      <w:spacing w:after="40" w:line="240" w:lineRule="auto"/>
    </w:pPr>
    <w:rPr>
      <w:color w:val="1A1A1A" w:themeColor="text1"/>
      <w:sz w:val="20"/>
    </w:rPr>
  </w:style>
  <w:style w:type="character" w:customStyle="1" w:styleId="TablecopyChar">
    <w:name w:val="Table copy Char"/>
    <w:basedOn w:val="DefaultParagraphFont"/>
    <w:link w:val="Tablecopy"/>
    <w:rsid w:val="007E4689"/>
    <w:rPr>
      <w:color w:val="1A1A1A" w:themeColor="text1"/>
      <w:sz w:val="20"/>
    </w:rPr>
  </w:style>
  <w:style w:type="paragraph" w:styleId="Header">
    <w:name w:val="header"/>
    <w:link w:val="HeaderChar"/>
    <w:autoRedefine/>
    <w:uiPriority w:val="99"/>
    <w:unhideWhenUsed/>
    <w:qFormat/>
    <w:rsid w:val="0059331B"/>
    <w:pPr>
      <w:tabs>
        <w:tab w:val="center" w:pos="4513"/>
        <w:tab w:val="right" w:pos="9026"/>
      </w:tabs>
      <w:spacing w:after="0" w:line="240" w:lineRule="auto"/>
    </w:pPr>
    <w:rPr>
      <w:color w:val="1A1A1A" w:themeColor="text1"/>
      <w:sz w:val="16"/>
    </w:rPr>
  </w:style>
  <w:style w:type="character" w:customStyle="1" w:styleId="HeaderChar">
    <w:name w:val="Header Char"/>
    <w:basedOn w:val="DefaultParagraphFont"/>
    <w:link w:val="Header"/>
    <w:uiPriority w:val="99"/>
    <w:rsid w:val="0059331B"/>
    <w:rPr>
      <w:color w:val="1A1A1A" w:themeColor="text1"/>
      <w:sz w:val="16"/>
    </w:rPr>
  </w:style>
  <w:style w:type="paragraph" w:styleId="Footer">
    <w:name w:val="footer"/>
    <w:basedOn w:val="Normal"/>
    <w:link w:val="FooterChar"/>
    <w:uiPriority w:val="99"/>
    <w:unhideWhenUsed/>
    <w:qFormat/>
    <w:rsid w:val="007E4689"/>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7E4689"/>
    <w:rPr>
      <w:color w:val="1A1A1A" w:themeColor="text1"/>
      <w:sz w:val="16"/>
    </w:rPr>
  </w:style>
  <w:style w:type="paragraph" w:styleId="TOC1">
    <w:name w:val="toc 1"/>
    <w:basedOn w:val="Normal"/>
    <w:next w:val="Normal"/>
    <w:uiPriority w:val="39"/>
    <w:unhideWhenUsed/>
    <w:qFormat/>
    <w:rsid w:val="007E4689"/>
  </w:style>
  <w:style w:type="paragraph" w:styleId="TOC2">
    <w:name w:val="toc 2"/>
    <w:next w:val="Normal"/>
    <w:autoRedefine/>
    <w:uiPriority w:val="39"/>
    <w:unhideWhenUsed/>
    <w:rsid w:val="007E4689"/>
    <w:pPr>
      <w:spacing w:after="120" w:line="312" w:lineRule="auto"/>
      <w:ind w:left="284"/>
    </w:pPr>
    <w:rPr>
      <w:color w:val="1A1A1A" w:themeColor="text1"/>
      <w:sz w:val="24"/>
    </w:rPr>
  </w:style>
  <w:style w:type="paragraph" w:styleId="TOC3">
    <w:name w:val="toc 3"/>
    <w:next w:val="Normal"/>
    <w:autoRedefine/>
    <w:uiPriority w:val="39"/>
    <w:unhideWhenUsed/>
    <w:rsid w:val="007E4689"/>
    <w:pPr>
      <w:spacing w:after="120" w:line="312" w:lineRule="auto"/>
      <w:ind w:left="567"/>
    </w:pPr>
    <w:rPr>
      <w:color w:val="1A1A1A" w:themeColor="text1"/>
      <w:sz w:val="24"/>
    </w:rPr>
  </w:style>
  <w:style w:type="character" w:styleId="Hyperlink">
    <w:name w:val="Hyperlink"/>
    <w:basedOn w:val="DefaultParagraphFont"/>
    <w:uiPriority w:val="99"/>
    <w:unhideWhenUsed/>
    <w:rsid w:val="003146C7"/>
    <w:rPr>
      <w:color w:val="003858" w:themeColor="accent2"/>
      <w:u w:val="single"/>
    </w:rPr>
  </w:style>
  <w:style w:type="character" w:styleId="BookTitle">
    <w:name w:val="Book Title"/>
    <w:basedOn w:val="DefaultParagraphFont"/>
    <w:uiPriority w:val="33"/>
    <w:rsid w:val="007E4689"/>
    <w:rPr>
      <w:rFonts w:asciiTheme="minorHAnsi" w:hAnsiTheme="minorHAnsi"/>
      <w:b w:val="0"/>
      <w:bCs/>
      <w:i w:val="0"/>
      <w:iCs/>
      <w:spacing w:val="5"/>
      <w:sz w:val="24"/>
    </w:rPr>
  </w:style>
  <w:style w:type="paragraph" w:customStyle="1" w:styleId="BulletL1">
    <w:name w:val="Bullet L1"/>
    <w:link w:val="BulletL1Char"/>
    <w:qFormat/>
    <w:rsid w:val="00DA6B55"/>
    <w:pPr>
      <w:numPr>
        <w:numId w:val="4"/>
      </w:numPr>
      <w:spacing w:after="80" w:line="312" w:lineRule="auto"/>
      <w:ind w:left="568" w:hanging="284"/>
      <w:contextualSpacing/>
    </w:pPr>
    <w:rPr>
      <w:color w:val="1A1A1A" w:themeColor="text1"/>
      <w:sz w:val="24"/>
    </w:rPr>
  </w:style>
  <w:style w:type="character" w:customStyle="1" w:styleId="BulletL1Char">
    <w:name w:val="Bullet L1 Char"/>
    <w:basedOn w:val="DefaultParagraphFont"/>
    <w:link w:val="BulletL1"/>
    <w:rsid w:val="00DA6B55"/>
    <w:rPr>
      <w:color w:val="1A1A1A" w:themeColor="text1"/>
      <w:sz w:val="24"/>
    </w:rPr>
  </w:style>
  <w:style w:type="paragraph" w:customStyle="1" w:styleId="BulletL2">
    <w:name w:val="Bullet L2"/>
    <w:link w:val="BulletL2Char"/>
    <w:autoRedefine/>
    <w:qFormat/>
    <w:rsid w:val="001B3E6E"/>
    <w:pPr>
      <w:numPr>
        <w:numId w:val="5"/>
      </w:numPr>
      <w:spacing w:after="80" w:line="312" w:lineRule="auto"/>
      <w:ind w:left="851" w:hanging="284"/>
    </w:pPr>
    <w:rPr>
      <w:color w:val="1A1A1A" w:themeColor="text1"/>
      <w:sz w:val="24"/>
    </w:rPr>
  </w:style>
  <w:style w:type="character" w:customStyle="1" w:styleId="BulletL2Char">
    <w:name w:val="Bullet L2 Char"/>
    <w:basedOn w:val="BulletL1Char"/>
    <w:link w:val="BulletL2"/>
    <w:rsid w:val="001B3E6E"/>
    <w:rPr>
      <w:color w:val="1A1A1A" w:themeColor="text1"/>
      <w:sz w:val="24"/>
    </w:rPr>
  </w:style>
  <w:style w:type="paragraph" w:customStyle="1" w:styleId="BulletL3">
    <w:name w:val="Bullet L3"/>
    <w:basedOn w:val="BulletL1"/>
    <w:autoRedefine/>
    <w:rsid w:val="00DA6B55"/>
    <w:pPr>
      <w:numPr>
        <w:numId w:val="6"/>
      </w:numPr>
      <w:ind w:left="1078" w:hanging="227"/>
    </w:pPr>
  </w:style>
  <w:style w:type="character" w:styleId="Emphasis">
    <w:name w:val="Emphasis"/>
    <w:basedOn w:val="DefaultParagraphFont"/>
    <w:uiPriority w:val="20"/>
    <w:rsid w:val="007E4689"/>
    <w:rPr>
      <w:rFonts w:asciiTheme="minorHAnsi" w:hAnsiTheme="minorHAnsi"/>
      <w:b w:val="0"/>
      <w:i w:val="0"/>
      <w:iCs/>
      <w:sz w:val="28"/>
    </w:rPr>
  </w:style>
  <w:style w:type="character" w:styleId="EndnoteReference">
    <w:name w:val="endnote reference"/>
    <w:basedOn w:val="DefaultParagraphFont"/>
    <w:uiPriority w:val="99"/>
    <w:semiHidden/>
    <w:unhideWhenUsed/>
    <w:rsid w:val="007E4689"/>
    <w:rPr>
      <w:vertAlign w:val="superscript"/>
    </w:rPr>
  </w:style>
  <w:style w:type="character" w:styleId="FollowedHyperlink">
    <w:name w:val="FollowedHyperlink"/>
    <w:basedOn w:val="DefaultParagraphFont"/>
    <w:uiPriority w:val="99"/>
    <w:semiHidden/>
    <w:unhideWhenUsed/>
    <w:rsid w:val="007E4689"/>
    <w:rPr>
      <w:color w:val="1A1A1A" w:themeColor="followedHyperlink"/>
      <w:u w:val="single"/>
    </w:rPr>
  </w:style>
  <w:style w:type="paragraph" w:customStyle="1" w:styleId="FooterDepartmentdivisionunitnameCover">
    <w:name w:val="Footer Department/division/unit name (Cover)"/>
    <w:qFormat/>
    <w:rsid w:val="007E4689"/>
    <w:pPr>
      <w:spacing w:after="0" w:line="240" w:lineRule="auto"/>
    </w:pPr>
    <w:rPr>
      <w:rFonts w:asciiTheme="majorHAnsi" w:eastAsiaTheme="majorEastAsia" w:hAnsiTheme="majorHAnsi" w:cstheme="majorBidi"/>
      <w:b/>
      <w:iCs/>
      <w:noProof/>
      <w:color w:val="1A1A1A" w:themeColor="text1"/>
      <w:sz w:val="20"/>
    </w:rPr>
  </w:style>
  <w:style w:type="character" w:styleId="FootnoteReference">
    <w:name w:val="footnote reference"/>
    <w:basedOn w:val="DefaultParagraphFont"/>
    <w:uiPriority w:val="99"/>
    <w:unhideWhenUsed/>
    <w:qFormat/>
    <w:rsid w:val="007E4689"/>
    <w:rPr>
      <w:rFonts w:asciiTheme="minorHAnsi" w:hAnsiTheme="minorHAnsi"/>
      <w:color w:val="1A1A1A" w:themeColor="text1"/>
      <w:sz w:val="16"/>
      <w:szCs w:val="20"/>
      <w:vertAlign w:val="superscript"/>
    </w:rPr>
  </w:style>
  <w:style w:type="paragraph" w:styleId="FootnoteText">
    <w:name w:val="footnote text"/>
    <w:basedOn w:val="Normal"/>
    <w:link w:val="FootnoteTextChar"/>
    <w:uiPriority w:val="99"/>
    <w:semiHidden/>
    <w:unhideWhenUsed/>
    <w:rsid w:val="007E46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4689"/>
    <w:rPr>
      <w:color w:val="1A1A1A" w:themeColor="text1"/>
      <w:sz w:val="20"/>
      <w:szCs w:val="20"/>
    </w:rPr>
  </w:style>
  <w:style w:type="table" w:styleId="GridTable2">
    <w:name w:val="Grid Table 2"/>
    <w:basedOn w:val="TableNormal"/>
    <w:uiPriority w:val="47"/>
    <w:rsid w:val="007E4689"/>
    <w:pPr>
      <w:spacing w:after="0" w:line="240" w:lineRule="auto"/>
    </w:pPr>
    <w:tblPr>
      <w:tblStyleRowBandSize w:val="1"/>
      <w:tblStyleColBandSize w:val="1"/>
      <w:tblBorders>
        <w:top w:val="single" w:sz="2" w:space="0" w:color="757575" w:themeColor="text1" w:themeTint="99"/>
        <w:bottom w:val="single" w:sz="2" w:space="0" w:color="757575" w:themeColor="text1" w:themeTint="99"/>
        <w:insideH w:val="single" w:sz="2" w:space="0" w:color="757575" w:themeColor="text1" w:themeTint="99"/>
        <w:insideV w:val="single" w:sz="2" w:space="0" w:color="757575" w:themeColor="text1" w:themeTint="99"/>
      </w:tblBorders>
    </w:tblPr>
    <w:tblStylePr w:type="firstRow">
      <w:rPr>
        <w:b/>
        <w:bCs/>
      </w:rPr>
      <w:tblPr/>
      <w:tcPr>
        <w:tcBorders>
          <w:top w:val="nil"/>
          <w:bottom w:val="single" w:sz="12" w:space="0" w:color="757575" w:themeColor="text1" w:themeTint="99"/>
          <w:insideH w:val="nil"/>
          <w:insideV w:val="nil"/>
        </w:tcBorders>
        <w:shd w:val="clear" w:color="auto" w:fill="FFFFFF" w:themeFill="background1"/>
      </w:tcPr>
    </w:tblStylePr>
    <w:tblStylePr w:type="lastRow">
      <w:rPr>
        <w:b/>
        <w:bCs/>
      </w:rPr>
      <w:tblPr/>
      <w:tcPr>
        <w:tcBorders>
          <w:top w:val="double" w:sz="2" w:space="0" w:color="757575"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character" w:customStyle="1" w:styleId="Heading7Char">
    <w:name w:val="Heading 7 Char"/>
    <w:basedOn w:val="DefaultParagraphFont"/>
    <w:link w:val="Heading7"/>
    <w:uiPriority w:val="9"/>
    <w:rsid w:val="007E4689"/>
    <w:rPr>
      <w:rFonts w:asciiTheme="majorHAnsi" w:eastAsiaTheme="majorEastAsia" w:hAnsiTheme="majorHAnsi" w:cstheme="majorBidi"/>
      <w:b/>
      <w:iCs/>
      <w:color w:val="692A0E" w:themeColor="accent1" w:themeShade="80"/>
      <w:sz w:val="32"/>
    </w:rPr>
  </w:style>
  <w:style w:type="character" w:customStyle="1" w:styleId="Heading8Char">
    <w:name w:val="Heading 8 Char"/>
    <w:basedOn w:val="DefaultParagraphFont"/>
    <w:link w:val="Heading8"/>
    <w:uiPriority w:val="9"/>
    <w:rsid w:val="007E4689"/>
    <w:rPr>
      <w:rFonts w:asciiTheme="majorHAnsi" w:eastAsiaTheme="majorEastAsia" w:hAnsiTheme="majorHAnsi" w:cstheme="majorBidi"/>
      <w:b/>
      <w:color w:val="692A0E" w:themeColor="accent1" w:themeShade="80"/>
      <w:sz w:val="28"/>
      <w:szCs w:val="21"/>
    </w:rPr>
  </w:style>
  <w:style w:type="character" w:customStyle="1" w:styleId="Heading9Char">
    <w:name w:val="Heading 9 Char"/>
    <w:basedOn w:val="DefaultParagraphFont"/>
    <w:link w:val="Heading9"/>
    <w:uiPriority w:val="9"/>
    <w:rsid w:val="007E4689"/>
    <w:rPr>
      <w:rFonts w:asciiTheme="majorHAnsi" w:eastAsiaTheme="majorEastAsia" w:hAnsiTheme="majorHAnsi" w:cstheme="majorBidi"/>
      <w:b/>
      <w:iCs/>
      <w:color w:val="692A0E" w:themeColor="accent1" w:themeShade="80"/>
      <w:sz w:val="24"/>
      <w:szCs w:val="21"/>
    </w:rPr>
  </w:style>
  <w:style w:type="character" w:customStyle="1" w:styleId="InstructionalRed">
    <w:name w:val="Instructional Red"/>
    <w:basedOn w:val="DefaultParagraphFont"/>
    <w:uiPriority w:val="1"/>
    <w:qFormat/>
    <w:rsid w:val="007E4689"/>
    <w:rPr>
      <w:rFonts w:asciiTheme="minorHAnsi" w:hAnsiTheme="minorHAnsi"/>
      <w:color w:val="001B2C" w:themeColor="accent2" w:themeShade="80"/>
      <w:sz w:val="24"/>
    </w:rPr>
  </w:style>
  <w:style w:type="character" w:styleId="IntenseEmphasis">
    <w:name w:val="Intense Emphasis"/>
    <w:basedOn w:val="DefaultParagraphFont"/>
    <w:uiPriority w:val="21"/>
    <w:rsid w:val="007E4689"/>
    <w:rPr>
      <w:rFonts w:asciiTheme="minorHAnsi" w:hAnsiTheme="minorHAnsi"/>
      <w:b w:val="0"/>
      <w:i w:val="0"/>
      <w:iCs/>
      <w:color w:val="692A0E" w:themeColor="accent1" w:themeShade="80"/>
      <w:sz w:val="28"/>
    </w:rPr>
  </w:style>
  <w:style w:type="paragraph" w:styleId="IntenseQuote">
    <w:name w:val="Intense Quote"/>
    <w:basedOn w:val="Normal"/>
    <w:next w:val="Normal"/>
    <w:link w:val="IntenseQuoteChar"/>
    <w:uiPriority w:val="30"/>
    <w:rsid w:val="007E4689"/>
    <w:pPr>
      <w:pBdr>
        <w:top w:val="single" w:sz="4" w:space="6" w:color="D3551D" w:themeColor="accent1"/>
        <w:bottom w:val="single" w:sz="4" w:space="6" w:color="D3551D" w:themeColor="accent1"/>
      </w:pBdr>
      <w:spacing w:before="240" w:after="240"/>
      <w:ind w:left="851" w:right="851"/>
    </w:pPr>
    <w:rPr>
      <w:iCs/>
      <w:color w:val="692A0E" w:themeColor="accent1" w:themeShade="80"/>
    </w:rPr>
  </w:style>
  <w:style w:type="character" w:customStyle="1" w:styleId="IntenseQuoteChar">
    <w:name w:val="Intense Quote Char"/>
    <w:basedOn w:val="DefaultParagraphFont"/>
    <w:link w:val="IntenseQuote"/>
    <w:uiPriority w:val="30"/>
    <w:rsid w:val="007E4689"/>
    <w:rPr>
      <w:iCs/>
      <w:color w:val="692A0E" w:themeColor="accent1" w:themeShade="80"/>
      <w:sz w:val="24"/>
    </w:rPr>
  </w:style>
  <w:style w:type="character" w:styleId="IntenseReference">
    <w:name w:val="Intense Reference"/>
    <w:basedOn w:val="DefaultParagraphFont"/>
    <w:uiPriority w:val="32"/>
    <w:rsid w:val="007E4689"/>
    <w:rPr>
      <w:rFonts w:asciiTheme="minorHAnsi" w:hAnsiTheme="minorHAnsi"/>
      <w:b w:val="0"/>
      <w:bCs/>
      <w:smallCaps/>
      <w:color w:val="692A0E" w:themeColor="accent1" w:themeShade="80"/>
      <w:spacing w:val="5"/>
      <w:sz w:val="24"/>
    </w:rPr>
  </w:style>
  <w:style w:type="paragraph" w:styleId="ListContinue">
    <w:name w:val="List Continue"/>
    <w:basedOn w:val="Normal"/>
    <w:uiPriority w:val="4"/>
    <w:qFormat/>
    <w:rsid w:val="007E4689"/>
    <w:pPr>
      <w:spacing w:line="288" w:lineRule="auto"/>
      <w:ind w:left="284"/>
      <w:contextualSpacing/>
    </w:pPr>
    <w:rPr>
      <w:color w:val="auto"/>
      <w:spacing w:val="-2"/>
      <w:kern w:val="0"/>
      <w:sz w:val="22"/>
      <w14:ligatures w14:val="none"/>
    </w:rPr>
  </w:style>
  <w:style w:type="paragraph" w:styleId="ListNumber2">
    <w:name w:val="List Number 2"/>
    <w:aliases w:val="List Number L2"/>
    <w:basedOn w:val="Normal"/>
    <w:autoRedefine/>
    <w:uiPriority w:val="4"/>
    <w:qFormat/>
    <w:rsid w:val="00DA6B55"/>
    <w:pPr>
      <w:numPr>
        <w:ilvl w:val="1"/>
        <w:numId w:val="12"/>
      </w:numPr>
      <w:ind w:left="1134" w:hanging="567"/>
      <w:contextualSpacing/>
    </w:pPr>
    <w:rPr>
      <w:color w:val="auto"/>
      <w:spacing w:val="-2"/>
      <w:kern w:val="0"/>
      <w14:ligatures w14:val="none"/>
    </w:rPr>
  </w:style>
  <w:style w:type="paragraph" w:styleId="ListNumber3">
    <w:name w:val="List Number 3"/>
    <w:aliases w:val="List Number L3"/>
    <w:basedOn w:val="Normal"/>
    <w:uiPriority w:val="4"/>
    <w:qFormat/>
    <w:rsid w:val="00DA6B55"/>
    <w:pPr>
      <w:numPr>
        <w:ilvl w:val="2"/>
        <w:numId w:val="12"/>
      </w:numPr>
      <w:ind w:left="1985" w:hanging="851"/>
      <w:contextualSpacing/>
    </w:pPr>
    <w:rPr>
      <w:color w:val="auto"/>
      <w:spacing w:val="-2"/>
      <w:kern w:val="0"/>
      <w14:ligatures w14:val="none"/>
    </w:rPr>
  </w:style>
  <w:style w:type="paragraph" w:styleId="ListNumber">
    <w:name w:val="List Number"/>
    <w:aliases w:val="List Number L1"/>
    <w:basedOn w:val="Normal"/>
    <w:next w:val="ListContinue"/>
    <w:uiPriority w:val="4"/>
    <w:qFormat/>
    <w:rsid w:val="00DA6B55"/>
    <w:pPr>
      <w:numPr>
        <w:numId w:val="12"/>
      </w:numPr>
      <w:ind w:left="568" w:hanging="284"/>
    </w:pPr>
    <w:rPr>
      <w:color w:val="auto"/>
      <w:spacing w:val="-2"/>
      <w:kern w:val="0"/>
      <w14:ligatures w14:val="none"/>
    </w:rPr>
  </w:style>
  <w:style w:type="paragraph" w:styleId="ListParagraph">
    <w:name w:val="List Paragraph"/>
    <w:basedOn w:val="Normal"/>
    <w:uiPriority w:val="34"/>
    <w:qFormat/>
    <w:rsid w:val="007E4689"/>
    <w:pPr>
      <w:ind w:left="720"/>
      <w:contextualSpacing/>
    </w:pPr>
    <w:rPr>
      <w:color w:val="auto"/>
      <w:sz w:val="22"/>
    </w:rPr>
  </w:style>
  <w:style w:type="table" w:styleId="ListTable3">
    <w:name w:val="List Table 3"/>
    <w:basedOn w:val="TableNormal"/>
    <w:uiPriority w:val="48"/>
    <w:rsid w:val="007E4689"/>
    <w:pPr>
      <w:spacing w:after="0" w:line="240" w:lineRule="auto"/>
    </w:pPr>
    <w:tblPr>
      <w:tblStyleRowBandSize w:val="1"/>
      <w:tblStyleColBandSize w:val="1"/>
      <w:tblBorders>
        <w:top w:val="single" w:sz="4" w:space="0" w:color="1A1A1A" w:themeColor="text1"/>
        <w:left w:val="single" w:sz="4" w:space="0" w:color="1A1A1A" w:themeColor="text1"/>
        <w:bottom w:val="single" w:sz="4" w:space="0" w:color="1A1A1A" w:themeColor="text1"/>
        <w:right w:val="single" w:sz="4" w:space="0" w:color="1A1A1A" w:themeColor="text1"/>
      </w:tblBorders>
    </w:tblPr>
    <w:tblStylePr w:type="firstRow">
      <w:rPr>
        <w:b/>
        <w:bCs/>
        <w:color w:val="FFFFFF" w:themeColor="background1"/>
      </w:rPr>
      <w:tblPr/>
      <w:tcPr>
        <w:shd w:val="clear" w:color="auto" w:fill="1A1A1A" w:themeFill="text1"/>
      </w:tcPr>
    </w:tblStylePr>
    <w:tblStylePr w:type="lastRow">
      <w:rPr>
        <w:b/>
        <w:bCs/>
      </w:rPr>
      <w:tblPr/>
      <w:tcPr>
        <w:tcBorders>
          <w:top w:val="double" w:sz="4" w:space="0" w:color="1A1A1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1A1A" w:themeColor="text1"/>
          <w:right w:val="single" w:sz="4" w:space="0" w:color="1A1A1A" w:themeColor="text1"/>
        </w:tcBorders>
      </w:tcPr>
    </w:tblStylePr>
    <w:tblStylePr w:type="band1Horz">
      <w:tblPr/>
      <w:tcPr>
        <w:tcBorders>
          <w:top w:val="single" w:sz="4" w:space="0" w:color="1A1A1A" w:themeColor="text1"/>
          <w:bottom w:val="single" w:sz="4" w:space="0" w:color="1A1A1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1A1A" w:themeColor="text1"/>
          <w:left w:val="nil"/>
        </w:tcBorders>
      </w:tcPr>
    </w:tblStylePr>
    <w:tblStylePr w:type="swCell">
      <w:tblPr/>
      <w:tcPr>
        <w:tcBorders>
          <w:top w:val="double" w:sz="4" w:space="0" w:color="1A1A1A" w:themeColor="text1"/>
          <w:right w:val="nil"/>
        </w:tcBorders>
      </w:tcPr>
    </w:tblStylePr>
  </w:style>
  <w:style w:type="paragraph" w:customStyle="1" w:styleId="NumberlistL1">
    <w:name w:val="Number list L1"/>
    <w:link w:val="NumberlistL1Char"/>
    <w:autoRedefine/>
    <w:rsid w:val="007E4689"/>
    <w:pPr>
      <w:numPr>
        <w:numId w:val="13"/>
      </w:numPr>
      <w:spacing w:after="60" w:line="312" w:lineRule="auto"/>
    </w:pPr>
    <w:rPr>
      <w:color w:val="1A1A1A" w:themeColor="text1"/>
      <w:sz w:val="24"/>
    </w:rPr>
  </w:style>
  <w:style w:type="character" w:customStyle="1" w:styleId="NumberlistL1Char">
    <w:name w:val="Number list L1 Char"/>
    <w:basedOn w:val="DefaultParagraphFont"/>
    <w:link w:val="NumberlistL1"/>
    <w:rsid w:val="007E4689"/>
    <w:rPr>
      <w:color w:val="1A1A1A" w:themeColor="text1"/>
      <w:sz w:val="24"/>
    </w:rPr>
  </w:style>
  <w:style w:type="paragraph" w:customStyle="1" w:styleId="NumberlistL2">
    <w:name w:val="Number list L2"/>
    <w:basedOn w:val="NumberlistL1"/>
    <w:link w:val="NumberlistL2Char"/>
    <w:autoRedefine/>
    <w:rsid w:val="007E4689"/>
    <w:pPr>
      <w:numPr>
        <w:ilvl w:val="1"/>
        <w:numId w:val="15"/>
      </w:numPr>
    </w:pPr>
  </w:style>
  <w:style w:type="character" w:customStyle="1" w:styleId="NumberlistL2Char">
    <w:name w:val="Number list L2 Char"/>
    <w:basedOn w:val="NumberlistL1Char"/>
    <w:link w:val="NumberlistL2"/>
    <w:rsid w:val="007E4689"/>
    <w:rPr>
      <w:color w:val="1A1A1A" w:themeColor="text1"/>
      <w:sz w:val="24"/>
    </w:rPr>
  </w:style>
  <w:style w:type="paragraph" w:customStyle="1" w:styleId="NumberlistL3">
    <w:name w:val="Number list L3"/>
    <w:basedOn w:val="NumberlistL2"/>
    <w:link w:val="NumberlistL3Char"/>
    <w:rsid w:val="007E4689"/>
    <w:pPr>
      <w:numPr>
        <w:ilvl w:val="2"/>
      </w:numPr>
    </w:pPr>
  </w:style>
  <w:style w:type="character" w:customStyle="1" w:styleId="NumberlistL3Char">
    <w:name w:val="Number list L3 Char"/>
    <w:basedOn w:val="NumberlistL2Char"/>
    <w:link w:val="NumberlistL3"/>
    <w:rsid w:val="007E4689"/>
    <w:rPr>
      <w:color w:val="1A1A1A" w:themeColor="text1"/>
      <w:sz w:val="24"/>
    </w:rPr>
  </w:style>
  <w:style w:type="paragraph" w:styleId="Quote">
    <w:name w:val="Quote"/>
    <w:basedOn w:val="Normal"/>
    <w:next w:val="Normal"/>
    <w:link w:val="QuoteChar"/>
    <w:autoRedefine/>
    <w:uiPriority w:val="29"/>
    <w:rsid w:val="007E4689"/>
    <w:pPr>
      <w:pBdr>
        <w:top w:val="single" w:sz="8" w:space="6" w:color="auto"/>
        <w:bottom w:val="single" w:sz="8" w:space="6" w:color="auto"/>
      </w:pBdr>
      <w:spacing w:before="240" w:after="240"/>
      <w:ind w:left="851" w:right="851"/>
    </w:pPr>
    <w:rPr>
      <w:iCs/>
      <w:color w:val="404040" w:themeColor="background2" w:themeShade="40"/>
    </w:rPr>
  </w:style>
  <w:style w:type="character" w:customStyle="1" w:styleId="QuoteChar">
    <w:name w:val="Quote Char"/>
    <w:basedOn w:val="DefaultParagraphFont"/>
    <w:link w:val="Quote"/>
    <w:uiPriority w:val="29"/>
    <w:rsid w:val="007E4689"/>
    <w:rPr>
      <w:iCs/>
      <w:color w:val="404040" w:themeColor="background2" w:themeShade="40"/>
      <w:sz w:val="24"/>
    </w:rPr>
  </w:style>
  <w:style w:type="character" w:styleId="SubtleEmphasis">
    <w:name w:val="Subtle Emphasis"/>
    <w:basedOn w:val="DefaultParagraphFont"/>
    <w:uiPriority w:val="19"/>
    <w:rsid w:val="007E4689"/>
    <w:rPr>
      <w:rFonts w:asciiTheme="minorHAnsi" w:hAnsiTheme="minorHAnsi"/>
      <w:i/>
      <w:iCs/>
      <w:color w:val="404040" w:themeColor="background2" w:themeShade="40"/>
      <w:sz w:val="24"/>
    </w:rPr>
  </w:style>
  <w:style w:type="paragraph" w:customStyle="1" w:styleId="Tablebullet">
    <w:name w:val="Table bullet"/>
    <w:basedOn w:val="Tablecopy"/>
    <w:qFormat/>
    <w:rsid w:val="007E4689"/>
    <w:pPr>
      <w:numPr>
        <w:numId w:val="16"/>
      </w:numPr>
    </w:pPr>
  </w:style>
  <w:style w:type="paragraph" w:customStyle="1" w:styleId="Tableheadingblack">
    <w:name w:val="Table heading black"/>
    <w:basedOn w:val="Tableheadingwhite"/>
    <w:next w:val="Normal"/>
    <w:autoRedefine/>
    <w:qFormat/>
    <w:rsid w:val="007E4689"/>
    <w:pPr>
      <w:jc w:val="center"/>
    </w:pPr>
    <w:rPr>
      <w:color w:val="1A1A1A" w:themeColor="text1"/>
    </w:rPr>
  </w:style>
  <w:style w:type="paragraph" w:styleId="TOCHeading">
    <w:name w:val="TOC Heading"/>
    <w:basedOn w:val="Heading1"/>
    <w:next w:val="Heading1"/>
    <w:uiPriority w:val="39"/>
    <w:semiHidden/>
    <w:unhideWhenUsed/>
    <w:qFormat/>
    <w:rsid w:val="007E4689"/>
    <w:pPr>
      <w:spacing w:after="240"/>
      <w:outlineLvl w:val="9"/>
    </w:pPr>
  </w:style>
  <w:style w:type="character" w:styleId="UnresolvedMention">
    <w:name w:val="Unresolved Mention"/>
    <w:basedOn w:val="DefaultParagraphFont"/>
    <w:uiPriority w:val="99"/>
    <w:semiHidden/>
    <w:unhideWhenUsed/>
    <w:rsid w:val="007E4689"/>
    <w:rPr>
      <w:rFonts w:asciiTheme="minorHAnsi" w:hAnsiTheme="minorHAnsi"/>
      <w:color w:val="C00000"/>
      <w:sz w:val="24"/>
      <w:shd w:val="clear" w:color="auto" w:fill="E1DFDD"/>
    </w:rPr>
  </w:style>
  <w:style w:type="table" w:styleId="ListTable3-Accent2">
    <w:name w:val="List Table 3 Accent 2"/>
    <w:basedOn w:val="TableNormal"/>
    <w:uiPriority w:val="48"/>
    <w:rsid w:val="003146C7"/>
    <w:pPr>
      <w:spacing w:after="0" w:line="240" w:lineRule="auto"/>
    </w:pPr>
    <w:tblPr>
      <w:tblStyleRowBandSize w:val="1"/>
      <w:tblStyleColBandSize w:val="1"/>
      <w:tblBorders>
        <w:top w:val="single" w:sz="4" w:space="0" w:color="003858" w:themeColor="accent2"/>
        <w:left w:val="single" w:sz="4" w:space="0" w:color="003858" w:themeColor="accent2"/>
        <w:bottom w:val="single" w:sz="4" w:space="0" w:color="003858" w:themeColor="accent2"/>
        <w:right w:val="single" w:sz="4" w:space="0" w:color="003858" w:themeColor="accent2"/>
      </w:tblBorders>
    </w:tblPr>
    <w:tblStylePr w:type="firstRow">
      <w:rPr>
        <w:b/>
        <w:bCs/>
        <w:color w:val="FFFFFF" w:themeColor="background1"/>
      </w:rPr>
      <w:tblPr/>
      <w:tcPr>
        <w:shd w:val="clear" w:color="auto" w:fill="003858" w:themeFill="accent2"/>
      </w:tcPr>
    </w:tblStylePr>
    <w:tblStylePr w:type="lastRow">
      <w:rPr>
        <w:b/>
        <w:bCs/>
      </w:rPr>
      <w:tblPr/>
      <w:tcPr>
        <w:tcBorders>
          <w:top w:val="double" w:sz="4" w:space="0" w:color="00385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58" w:themeColor="accent2"/>
          <w:right w:val="single" w:sz="4" w:space="0" w:color="003858" w:themeColor="accent2"/>
        </w:tcBorders>
      </w:tcPr>
    </w:tblStylePr>
    <w:tblStylePr w:type="band1Horz">
      <w:tblPr/>
      <w:tcPr>
        <w:tcBorders>
          <w:top w:val="single" w:sz="4" w:space="0" w:color="003858" w:themeColor="accent2"/>
          <w:bottom w:val="single" w:sz="4" w:space="0" w:color="00385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themeColor="accent2"/>
          <w:left w:val="nil"/>
        </w:tcBorders>
      </w:tcPr>
    </w:tblStylePr>
    <w:tblStylePr w:type="swCell">
      <w:tblPr/>
      <w:tcPr>
        <w:tcBorders>
          <w:top w:val="double" w:sz="4" w:space="0" w:color="003858" w:themeColor="accent2"/>
          <w:right w:val="nil"/>
        </w:tcBorders>
      </w:tcPr>
    </w:tblStylePr>
  </w:style>
  <w:style w:type="character" w:styleId="CommentReference">
    <w:name w:val="annotation reference"/>
    <w:basedOn w:val="DefaultParagraphFont"/>
    <w:uiPriority w:val="99"/>
    <w:semiHidden/>
    <w:unhideWhenUsed/>
    <w:rsid w:val="00203000"/>
    <w:rPr>
      <w:sz w:val="16"/>
      <w:szCs w:val="16"/>
    </w:rPr>
  </w:style>
  <w:style w:type="paragraph" w:styleId="CommentText">
    <w:name w:val="annotation text"/>
    <w:basedOn w:val="Normal"/>
    <w:link w:val="CommentTextChar"/>
    <w:uiPriority w:val="99"/>
    <w:unhideWhenUsed/>
    <w:rsid w:val="00203000"/>
    <w:pPr>
      <w:spacing w:line="240" w:lineRule="auto"/>
    </w:pPr>
    <w:rPr>
      <w:sz w:val="20"/>
      <w:szCs w:val="20"/>
    </w:rPr>
  </w:style>
  <w:style w:type="character" w:customStyle="1" w:styleId="CommentTextChar">
    <w:name w:val="Comment Text Char"/>
    <w:basedOn w:val="DefaultParagraphFont"/>
    <w:link w:val="CommentText"/>
    <w:uiPriority w:val="99"/>
    <w:rsid w:val="00203000"/>
    <w:rPr>
      <w:color w:val="1A1A1A" w:themeColor="text1"/>
      <w:sz w:val="20"/>
      <w:szCs w:val="20"/>
    </w:rPr>
  </w:style>
  <w:style w:type="paragraph" w:styleId="CommentSubject">
    <w:name w:val="annotation subject"/>
    <w:basedOn w:val="CommentText"/>
    <w:next w:val="CommentText"/>
    <w:link w:val="CommentSubjectChar"/>
    <w:uiPriority w:val="99"/>
    <w:semiHidden/>
    <w:unhideWhenUsed/>
    <w:rsid w:val="00203000"/>
    <w:rPr>
      <w:b/>
      <w:bCs/>
    </w:rPr>
  </w:style>
  <w:style w:type="character" w:customStyle="1" w:styleId="CommentSubjectChar">
    <w:name w:val="Comment Subject Char"/>
    <w:basedOn w:val="CommentTextChar"/>
    <w:link w:val="CommentSubject"/>
    <w:uiPriority w:val="99"/>
    <w:semiHidden/>
    <w:rsid w:val="00203000"/>
    <w:rPr>
      <w:b/>
      <w:bCs/>
      <w:color w:val="1A1A1A" w:themeColor="text1"/>
      <w:sz w:val="20"/>
      <w:szCs w:val="20"/>
    </w:rPr>
  </w:style>
  <w:style w:type="paragraph" w:styleId="Revision">
    <w:name w:val="Revision"/>
    <w:hidden/>
    <w:uiPriority w:val="99"/>
    <w:semiHidden/>
    <w:rsid w:val="004D60E3"/>
    <w:pPr>
      <w:spacing w:after="0" w:line="240" w:lineRule="auto"/>
    </w:pPr>
    <w:rPr>
      <w:color w:val="1A1A1A"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eterans@dpac.tas.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eterans@dpac.tas.gov.a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orms.cloud.microsoft/r/sb7dWiHk4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PAC 2025">
      <a:dk1>
        <a:srgbClr val="1A1A1A"/>
      </a:dk1>
      <a:lt1>
        <a:srgbClr val="FFFFFF"/>
      </a:lt1>
      <a:dk2>
        <a:srgbClr val="2A312D"/>
      </a:dk2>
      <a:lt2>
        <a:srgbClr val="FFFFFF"/>
      </a:lt2>
      <a:accent1>
        <a:srgbClr val="D3551D"/>
      </a:accent1>
      <a:accent2>
        <a:srgbClr val="003858"/>
      </a:accent2>
      <a:accent3>
        <a:srgbClr val="535353"/>
      </a:accent3>
      <a:accent4>
        <a:srgbClr val="8C8C8C"/>
      </a:accent4>
      <a:accent5>
        <a:srgbClr val="A4BBD5"/>
      </a:accent5>
      <a:accent6>
        <a:srgbClr val="D38F14"/>
      </a:accent6>
      <a:hlink>
        <a:srgbClr val="701622"/>
      </a:hlink>
      <a:folHlink>
        <a:srgbClr val="1A1A1A"/>
      </a:folHlink>
    </a:clrScheme>
    <a:fontScheme name="TasGo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4755367-4b2a-4a1b-8829-9e1fd886e214" xsi:nil="true"/>
    <lcf76f155ced4ddcb4097134ff3c332f xmlns="4e68bc7d-4cbe-4c73-86a1-00cbaf9cda27">
      <Terms xmlns="http://schemas.microsoft.com/office/infopath/2007/PartnerControls"/>
    </lcf76f155ced4ddcb4097134ff3c332f>
    <_Version xmlns="http://schemas.microsoft.com/sharepoint/v3/fields" xsi:nil="true"/>
    <Reviewed xmlns="4e68bc7d-4cbe-4c73-86a1-00cbaf9cda27">true</Reviewed>
    <Assignedto xmlns="4e68bc7d-4cbe-4c73-86a1-00cbaf9cda27">
      <UserInfo>
        <DisplayName/>
        <AccountId xsi:nil="true"/>
        <AccountType/>
      </UserInfo>
    </Assignedto>
    <Comments xmlns="4e68bc7d-4cbe-4c73-86a1-00cbaf9cda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9F9E154BB7FB4BBCEE17F6782182E5" ma:contentTypeVersion="22" ma:contentTypeDescription="Create a new document." ma:contentTypeScope="" ma:versionID="3de740e9b52041d226d509d3281752ed">
  <xsd:schema xmlns:xsd="http://www.w3.org/2001/XMLSchema" xmlns:xs="http://www.w3.org/2001/XMLSchema" xmlns:p="http://schemas.microsoft.com/office/2006/metadata/properties" xmlns:ns2="4e68bc7d-4cbe-4c73-86a1-00cbaf9cda27" xmlns:ns3="d4755367-4b2a-4a1b-8829-9e1fd886e214" xmlns:ns4="http://schemas.microsoft.com/sharepoint/v3/fields" targetNamespace="http://schemas.microsoft.com/office/2006/metadata/properties" ma:root="true" ma:fieldsID="a9273fda0cf8ebd25045cf9904b51e4b" ns2:_="" ns3:_="" ns4:_="">
    <xsd:import namespace="4e68bc7d-4cbe-4c73-86a1-00cbaf9cda27"/>
    <xsd:import namespace="d4755367-4b2a-4a1b-8829-9e1fd886e214"/>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Assignedto" minOccurs="0"/>
                <xsd:element ref="ns2:Reviewed" minOccurs="0"/>
                <xsd:element ref="ns2:Comments" minOccurs="0"/>
                <xsd:element ref="ns4: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8bc7d-4cbe-4c73-86a1-00cbaf9cda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fa8d43-ebde-4843-a9f4-94e805a6a4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ssignedto" ma:index="26"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d" ma:index="27" nillable="true" ma:displayName="Reviewed" ma:default="1" ma:format="Dropdown" ma:internalName="Reviewed">
      <xsd:simpleType>
        <xsd:restriction base="dms:Boolean"/>
      </xsd:simpleType>
    </xsd:element>
    <xsd:element name="Comments" ma:index="28"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755367-4b2a-4a1b-8829-9e1fd886e2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35dcf2-699b-4077-b3e1-4942c3a439c0}" ma:internalName="TaxCatchAll" ma:showField="CatchAllData" ma:web="d4755367-4b2a-4a1b-8829-9e1fd886e2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9"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AF632C-7E23-4B9E-899A-14EFFD8FC2D9}">
  <ds:schemaRefs>
    <ds:schemaRef ds:uri="http://schemas.microsoft.com/sharepoint/v3/contenttype/forms"/>
  </ds:schemaRefs>
</ds:datastoreItem>
</file>

<file path=customXml/itemProps2.xml><?xml version="1.0" encoding="utf-8"?>
<ds:datastoreItem xmlns:ds="http://schemas.openxmlformats.org/officeDocument/2006/customXml" ds:itemID="{A764C93B-33A9-4092-8B50-32C43E8784B7}">
  <ds:schemaRefs>
    <ds:schemaRef ds:uri="http://schemas.microsoft.com/office/2006/metadata/properties"/>
    <ds:schemaRef ds:uri="http://schemas.microsoft.com/office/infopath/2007/PartnerControls"/>
    <ds:schemaRef ds:uri="d4755367-4b2a-4a1b-8829-9e1fd886e214"/>
    <ds:schemaRef ds:uri="4e68bc7d-4cbe-4c73-86a1-00cbaf9cda27"/>
    <ds:schemaRef ds:uri="http://schemas.microsoft.com/sharepoint/v3/fields"/>
  </ds:schemaRefs>
</ds:datastoreItem>
</file>

<file path=customXml/itemProps3.xml><?xml version="1.0" encoding="utf-8"?>
<ds:datastoreItem xmlns:ds="http://schemas.openxmlformats.org/officeDocument/2006/customXml" ds:itemID="{C2EC023B-FB09-48AD-B89D-50E5A180C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8bc7d-4cbe-4c73-86a1-00cbaf9cda27"/>
    <ds:schemaRef ds:uri="d4755367-4b2a-4a1b-8829-9e1fd886e214"/>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991</Words>
  <Characters>5583</Characters>
  <Application>Microsoft Office Word</Application>
  <DocSecurity>0</DocSecurity>
  <Lines>199</Lines>
  <Paragraphs>93</Paragraphs>
  <ScaleCrop>false</ScaleCrop>
  <HeadingPairs>
    <vt:vector size="2" baseType="variant">
      <vt:variant>
        <vt:lpstr>Title</vt:lpstr>
      </vt:variant>
      <vt:variant>
        <vt:i4>1</vt:i4>
      </vt:variant>
    </vt:vector>
  </HeadingPairs>
  <TitlesOfParts>
    <vt:vector size="1" baseType="lpstr">
      <vt:lpstr>Review of the Anzac Day Observance Act 1929</vt:lpstr>
    </vt:vector>
  </TitlesOfParts>
  <Company>Department of Premier and Cabinet</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Anzac Day Observance Act 1929</dc:title>
  <dc:subject/>
  <dc:creator>van Beek, Haylee</dc:creator>
  <cp:keywords/>
  <dc:description/>
  <cp:lastModifiedBy>van Beek, Haylee</cp:lastModifiedBy>
  <cp:revision>4</cp:revision>
  <dcterms:created xsi:type="dcterms:W3CDTF">2026-10-21T06:15:00Z</dcterms:created>
  <dcterms:modified xsi:type="dcterms:W3CDTF">2026-10-21T07:34:00Z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b23925a,56995783,35206f93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7883d80b,223a0a81,5892248b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2025-10-14T22:00:56Z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0d84d9ce-f2d5-4987-a19a-4c74b9e676b8</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y fmtid="{D5CDD505-2E9C-101B-9397-08002B2CF9AE}" pid="16" name="ContentTypeId">
    <vt:lpwstr>0x0101000E9F9E154BB7FB4BBCEE17F6782182E5</vt:lpwstr>
  </property>
  <property fmtid="{D5CDD505-2E9C-101B-9397-08002B2CF9AE}" pid="17" name="MediaServiceImageTags">
    <vt:lpwstr/>
  </property>
</Properties>
</file>