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0FA34" w14:textId="77777777" w:rsidR="003E79BC" w:rsidRDefault="003E79BC" w:rsidP="00AA5E48">
      <w:pPr>
        <w:pStyle w:val="Department"/>
      </w:pPr>
      <w:bookmarkStart w:id="0" w:name="_GoBack"/>
      <w:bookmarkEnd w:id="0"/>
    </w:p>
    <w:p w14:paraId="26B9023A" w14:textId="0F582F12" w:rsidR="002E201C" w:rsidRPr="00BB74D2" w:rsidRDefault="00AF3A7F" w:rsidP="00AA5E48">
      <w:pPr>
        <w:pStyle w:val="Department"/>
        <w:rPr>
          <w:color w:val="auto"/>
        </w:rPr>
      </w:pPr>
      <w:r>
        <w:t>These</w:t>
      </w:r>
      <w:r w:rsidR="003E79BC">
        <w:t xml:space="preserve"> Guide</w:t>
      </w:r>
      <w:r>
        <w:t>lines aim</w:t>
      </w:r>
      <w:r w:rsidR="003E79BC">
        <w:t xml:space="preserve"> to </w:t>
      </w:r>
      <w:r w:rsidR="004B5DE0">
        <w:t xml:space="preserve">ensure </w:t>
      </w:r>
      <w:r w:rsidR="00AA5E48">
        <w:t>a tran</w:t>
      </w:r>
      <w:r w:rsidR="003E79BC">
        <w:t>sparent, effective and</w:t>
      </w:r>
      <w:r w:rsidR="00DA02CC">
        <w:t xml:space="preserve"> merit-based </w:t>
      </w:r>
      <w:r w:rsidR="003E79BC">
        <w:t xml:space="preserve">recruitment approach that is compliant with Employment Direction No 17 (ED 17) and the </w:t>
      </w:r>
      <w:r w:rsidR="003E79BC" w:rsidRPr="003E79BC">
        <w:rPr>
          <w:i/>
        </w:rPr>
        <w:t>State Service Act 2000</w:t>
      </w:r>
      <w:r w:rsidR="00AA1551">
        <w:rPr>
          <w:i/>
        </w:rPr>
        <w:t xml:space="preserve"> </w:t>
      </w:r>
      <w:r w:rsidR="00AA1551" w:rsidRPr="00AA1551">
        <w:rPr>
          <w:iCs/>
        </w:rPr>
        <w:t>and agreed SES mobility processes</w:t>
      </w:r>
      <w:r w:rsidR="003E79BC" w:rsidRPr="00AA1551">
        <w:rPr>
          <w:iCs/>
        </w:rPr>
        <w:t>.</w:t>
      </w:r>
      <w:r w:rsidR="003E79BC">
        <w:t xml:space="preserve">  It</w:t>
      </w:r>
      <w:r w:rsidR="004B5DE0">
        <w:t xml:space="preserve"> provides quick checklists for the key steps that should be undertaken when assessing offices</w:t>
      </w:r>
      <w:r w:rsidR="00946D42" w:rsidRPr="00946D42">
        <w:t xml:space="preserve"> </w:t>
      </w:r>
      <w:r w:rsidR="00946D42">
        <w:t>and recruiting officers, whether Senior Executive (SES) or Equivalent Specialist.</w:t>
      </w:r>
      <w:r w:rsidR="00A63434">
        <w:t xml:space="preserve"> They</w:t>
      </w:r>
      <w:r>
        <w:t xml:space="preserve"> </w:t>
      </w:r>
      <w:r w:rsidR="003E79BC">
        <w:t xml:space="preserve">should </w:t>
      </w:r>
      <w:r w:rsidR="004B5DE0" w:rsidRPr="003E79BC">
        <w:t xml:space="preserve">be read in conjunction with </w:t>
      </w:r>
      <w:r w:rsidR="003E79BC" w:rsidRPr="003E79BC">
        <w:t xml:space="preserve">ED 17 for </w:t>
      </w:r>
      <w:r w:rsidR="003E79BC">
        <w:t>background.</w:t>
      </w:r>
    </w:p>
    <w:p w14:paraId="0E05A1BC" w14:textId="665B2D3B" w:rsidR="003E79BC" w:rsidRDefault="003E79BC" w:rsidP="003E79BC">
      <w:pPr>
        <w:pStyle w:val="Department"/>
      </w:pPr>
      <w:r>
        <w:t xml:space="preserve">As an overview, processes must be timely and aim to attract a full and diverse range of quality applicants, selection panels must be appropriate with conflicts declared and managed, and selection decisions well-reasoned. </w:t>
      </w:r>
    </w:p>
    <w:p w14:paraId="11DFBE5D" w14:textId="4302309D" w:rsidR="00977E16" w:rsidRDefault="007A07B3" w:rsidP="00AA5E48">
      <w:pPr>
        <w:pStyle w:val="Department"/>
      </w:pPr>
      <w:r>
        <w:t>The summary elements</w:t>
      </w:r>
      <w:r w:rsidR="00946D42">
        <w:t>, explained in further detail throughout the document,</w:t>
      </w:r>
      <w:r w:rsidR="003E79BC">
        <w:t xml:space="preserve"> </w:t>
      </w:r>
      <w:r>
        <w:t>are</w:t>
      </w:r>
      <w:r w:rsidR="00977E16">
        <w:t>:</w:t>
      </w:r>
    </w:p>
    <w:p w14:paraId="18F690C4" w14:textId="3420ABA1" w:rsidR="00977E16" w:rsidRDefault="00977E16" w:rsidP="00875AAA">
      <w:pPr>
        <w:pStyle w:val="Department"/>
        <w:numPr>
          <w:ilvl w:val="0"/>
          <w:numId w:val="18"/>
        </w:numPr>
      </w:pPr>
      <w:r>
        <w:t xml:space="preserve">Decisions about the future of </w:t>
      </w:r>
      <w:r w:rsidR="004B5DE0">
        <w:t>a senior executive</w:t>
      </w:r>
      <w:r>
        <w:t xml:space="preserve"> </w:t>
      </w:r>
      <w:r w:rsidR="008F3CD4">
        <w:t>o</w:t>
      </w:r>
      <w:r w:rsidR="00BF6736">
        <w:t xml:space="preserve">ffice </w:t>
      </w:r>
      <w:r w:rsidR="004B5DE0">
        <w:t>will be</w:t>
      </w:r>
      <w:r w:rsidR="005D6AB4">
        <w:t xml:space="preserve"> </w:t>
      </w:r>
      <w:r>
        <w:t xml:space="preserve">made as soon as </w:t>
      </w:r>
      <w:r w:rsidR="004B5DE0">
        <w:t>a Head of Agency</w:t>
      </w:r>
      <w:r w:rsidR="00A47FC9">
        <w:t xml:space="preserve"> (</w:t>
      </w:r>
      <w:proofErr w:type="spellStart"/>
      <w:r w:rsidR="00A47FC9">
        <w:t>HoA</w:t>
      </w:r>
      <w:proofErr w:type="spellEnd"/>
      <w:r w:rsidR="00A47FC9">
        <w:t>)</w:t>
      </w:r>
      <w:r w:rsidR="004B5DE0">
        <w:t xml:space="preserve"> is aware</w:t>
      </w:r>
      <w:r>
        <w:t xml:space="preserve"> that the </w:t>
      </w:r>
      <w:r w:rsidR="008F3CD4">
        <w:t>o</w:t>
      </w:r>
      <w:r w:rsidR="00AF07A3">
        <w:t>ffice will be vacant.</w:t>
      </w:r>
    </w:p>
    <w:p w14:paraId="6AC41E39" w14:textId="6465004D" w:rsidR="005543E6" w:rsidRDefault="005543E6" w:rsidP="00875AAA">
      <w:pPr>
        <w:pStyle w:val="Department"/>
        <w:numPr>
          <w:ilvl w:val="0"/>
          <w:numId w:val="18"/>
        </w:numPr>
      </w:pPr>
      <w:r>
        <w:t xml:space="preserve">Redesign of </w:t>
      </w:r>
      <w:r w:rsidR="004B5DE0">
        <w:t>offices</w:t>
      </w:r>
      <w:r>
        <w:t xml:space="preserve"> should ensure the role </w:t>
      </w:r>
      <w:r w:rsidR="00946D42">
        <w:t xml:space="preserve">continues to </w:t>
      </w:r>
      <w:r>
        <w:t xml:space="preserve">meet the agency’s needs, barriers to merit are removed, and the statement of duties </w:t>
      </w:r>
      <w:r w:rsidR="00E156E7">
        <w:t>(S</w:t>
      </w:r>
      <w:r w:rsidR="003F1728">
        <w:t>O</w:t>
      </w:r>
      <w:r w:rsidR="00E156E7">
        <w:t xml:space="preserve">D) </w:t>
      </w:r>
      <w:r w:rsidR="004B5DE0">
        <w:t>revised</w:t>
      </w:r>
      <w:r w:rsidR="00946D42">
        <w:t xml:space="preserve"> appropriately.</w:t>
      </w:r>
      <w:r w:rsidR="004B5DE0">
        <w:t xml:space="preserve"> </w:t>
      </w:r>
    </w:p>
    <w:p w14:paraId="5FC5DB96" w14:textId="2622F0F8" w:rsidR="004A0DFF" w:rsidRPr="004A0DFF" w:rsidRDefault="004A0DFF" w:rsidP="00A63434">
      <w:pPr>
        <w:pStyle w:val="Department"/>
        <w:numPr>
          <w:ilvl w:val="0"/>
          <w:numId w:val="18"/>
        </w:numPr>
      </w:pPr>
      <w:r>
        <w:t>SES recruitment will include a</w:t>
      </w:r>
      <w:r w:rsidRPr="004A0DFF">
        <w:t>ctively promot</w:t>
      </w:r>
      <w:r>
        <w:t>ing</w:t>
      </w:r>
      <w:r w:rsidRPr="004A0DFF">
        <w:t xml:space="preserve"> mobility opportunities to encourage diverse experiences and develop SES leadership and capability;</w:t>
      </w:r>
    </w:p>
    <w:p w14:paraId="122263EA" w14:textId="25832912" w:rsidR="00A63434" w:rsidRDefault="004A0DFF" w:rsidP="004A0DFF">
      <w:pPr>
        <w:pStyle w:val="Department"/>
        <w:numPr>
          <w:ilvl w:val="0"/>
          <w:numId w:val="18"/>
        </w:numPr>
      </w:pPr>
      <w:r>
        <w:t xml:space="preserve">SES mobility will provide </w:t>
      </w:r>
      <w:r w:rsidRPr="004A0DFF">
        <w:t>a consistent, equitable and transparent process for SES officers at any level to express interest in mobility opportunities</w:t>
      </w:r>
      <w:r w:rsidR="00A63434">
        <w:t>.</w:t>
      </w:r>
    </w:p>
    <w:p w14:paraId="10B73204" w14:textId="33CB5C40" w:rsidR="00946D42" w:rsidRDefault="004A0DFF" w:rsidP="00946D42">
      <w:pPr>
        <w:pStyle w:val="Department"/>
        <w:numPr>
          <w:ilvl w:val="0"/>
          <w:numId w:val="18"/>
        </w:numPr>
      </w:pPr>
      <w:r>
        <w:t>S</w:t>
      </w:r>
      <w:r w:rsidR="00977E16">
        <w:t>election process</w:t>
      </w:r>
      <w:r>
        <w:t>es</w:t>
      </w:r>
      <w:r w:rsidR="00977E16">
        <w:t xml:space="preserve"> should be designed to attract the full range of potential applicants</w:t>
      </w:r>
      <w:r w:rsidR="00946D42">
        <w:t>;</w:t>
      </w:r>
      <w:r w:rsidR="003E79BC">
        <w:t xml:space="preserve"> </w:t>
      </w:r>
      <w:r w:rsidR="00946D42">
        <w:t xml:space="preserve">where there is a small or non-diverse field of applicants, the </w:t>
      </w:r>
      <w:proofErr w:type="spellStart"/>
      <w:r w:rsidR="00946D42">
        <w:t>H</w:t>
      </w:r>
      <w:r w:rsidR="00A47FC9">
        <w:t>o</w:t>
      </w:r>
      <w:r w:rsidR="00946D42">
        <w:t>A</w:t>
      </w:r>
      <w:proofErr w:type="spellEnd"/>
      <w:r w:rsidR="00946D42">
        <w:t xml:space="preserve"> is to give full consideration to implementing more effective attraction processes.</w:t>
      </w:r>
    </w:p>
    <w:p w14:paraId="73A00B16" w14:textId="11C96863" w:rsidR="00BF6736" w:rsidRDefault="00BF6736" w:rsidP="00875AAA">
      <w:pPr>
        <w:pStyle w:val="Department"/>
        <w:numPr>
          <w:ilvl w:val="0"/>
          <w:numId w:val="18"/>
        </w:numPr>
      </w:pPr>
      <w:r>
        <w:t xml:space="preserve">Selection panel chairs should be chosen based on the relevance of their role, skills and knowledge to the vacant </w:t>
      </w:r>
      <w:r w:rsidR="008F3CD4">
        <w:t>o</w:t>
      </w:r>
      <w:r>
        <w:t>ffice.</w:t>
      </w:r>
    </w:p>
    <w:p w14:paraId="51D7ECD6" w14:textId="7E554824" w:rsidR="00BF6736" w:rsidRDefault="00BF6736" w:rsidP="00875AAA">
      <w:pPr>
        <w:pStyle w:val="Department"/>
        <w:numPr>
          <w:ilvl w:val="0"/>
          <w:numId w:val="18"/>
        </w:numPr>
      </w:pPr>
      <w:r>
        <w:t>All conflicts</w:t>
      </w:r>
      <w:r w:rsidR="004B5DE0">
        <w:t xml:space="preserve"> </w:t>
      </w:r>
      <w:r>
        <w:t>of interest</w:t>
      </w:r>
      <w:r w:rsidR="004B5DE0">
        <w:t>,</w:t>
      </w:r>
      <w:r>
        <w:t xml:space="preserve"> </w:t>
      </w:r>
      <w:r w:rsidR="004B5DE0">
        <w:t>actual</w:t>
      </w:r>
      <w:r w:rsidR="005B3476">
        <w:t xml:space="preserve">, </w:t>
      </w:r>
      <w:r w:rsidR="00EC49E4">
        <w:t>perceived</w:t>
      </w:r>
      <w:r w:rsidR="004B5DE0">
        <w:t xml:space="preserve"> or potential, </w:t>
      </w:r>
      <w:r>
        <w:t>should be documented and effectively managed.</w:t>
      </w:r>
    </w:p>
    <w:p w14:paraId="0E63FE51" w14:textId="3E7A19C7" w:rsidR="004B5DE0" w:rsidRDefault="004B5DE0" w:rsidP="00875AAA">
      <w:pPr>
        <w:pStyle w:val="Department"/>
        <w:numPr>
          <w:ilvl w:val="0"/>
          <w:numId w:val="18"/>
        </w:numPr>
      </w:pPr>
      <w:r>
        <w:t>The entire recruitment process should aim to be completed within 50 working days.</w:t>
      </w:r>
    </w:p>
    <w:p w14:paraId="6D3BB345" w14:textId="128A7412" w:rsidR="00946D42" w:rsidRDefault="00946D42" w:rsidP="00875AAA">
      <w:pPr>
        <w:pStyle w:val="Department"/>
        <w:numPr>
          <w:ilvl w:val="0"/>
          <w:numId w:val="18"/>
        </w:numPr>
      </w:pPr>
      <w:r>
        <w:t>All processes and decision-making</w:t>
      </w:r>
      <w:r w:rsidR="004A0DFF">
        <w:t>, including mobility assessments,</w:t>
      </w:r>
      <w:r>
        <w:t xml:space="preserve"> must be well documented</w:t>
      </w:r>
      <w:r w:rsidR="005875B9">
        <w:t xml:space="preserve"> at the appropriate management level.</w:t>
      </w:r>
    </w:p>
    <w:p w14:paraId="710A993A" w14:textId="5D08A94A" w:rsidR="004B5DE0" w:rsidRPr="004B5DE0" w:rsidRDefault="004B5DE0" w:rsidP="004B5DE0">
      <w:pPr>
        <w:pStyle w:val="ListParagraph"/>
        <w:tabs>
          <w:tab w:val="left" w:pos="4335"/>
        </w:tabs>
        <w:spacing w:before="0"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</w:p>
    <w:p w14:paraId="54E5698E" w14:textId="77777777" w:rsidR="004B5DE0" w:rsidRDefault="004B5DE0" w:rsidP="004B5DE0">
      <w:pPr>
        <w:pStyle w:val="Department"/>
        <w:ind w:left="720"/>
      </w:pPr>
    </w:p>
    <w:p w14:paraId="5DA45971" w14:textId="1B9ECC62" w:rsidR="006E152B" w:rsidRPr="00CB3193" w:rsidRDefault="004B5DE0" w:rsidP="00A63434">
      <w:pPr>
        <w:spacing w:before="0" w:after="0" w:line="240" w:lineRule="auto"/>
        <w:rPr>
          <w:b/>
        </w:rPr>
      </w:pPr>
      <w:r>
        <w:br w:type="page"/>
      </w:r>
      <w:r w:rsidR="00875AAA">
        <w:rPr>
          <w:b/>
        </w:rPr>
        <w:lastRenderedPageBreak/>
        <w:t xml:space="preserve">CHECKLISTS FOR SES RECRUITMENT AND </w:t>
      </w:r>
      <w:r w:rsidR="00CB3193" w:rsidRPr="00CB3193">
        <w:rPr>
          <w:b/>
        </w:rPr>
        <w:t>APPOINTMENT</w:t>
      </w:r>
      <w:r w:rsidR="00875AAA">
        <w:rPr>
          <w:b/>
        </w:rPr>
        <w:t>S</w:t>
      </w:r>
    </w:p>
    <w:p w14:paraId="2CD216C4" w14:textId="4E845EB6" w:rsidR="00AF07A3" w:rsidRPr="003E79BC" w:rsidRDefault="005875B9" w:rsidP="00AF07A3">
      <w:pPr>
        <w:rPr>
          <w:i/>
        </w:rPr>
      </w:pPr>
      <w:r w:rsidRPr="003E79BC">
        <w:rPr>
          <w:i/>
          <w:sz w:val="20"/>
          <w:szCs w:val="20"/>
        </w:rPr>
        <w:t xml:space="preserve">NB: </w:t>
      </w:r>
      <w:r w:rsidR="0035316C" w:rsidRPr="003E79BC">
        <w:rPr>
          <w:i/>
          <w:sz w:val="20"/>
          <w:szCs w:val="20"/>
        </w:rPr>
        <w:t>W</w:t>
      </w:r>
      <w:r w:rsidR="00AF07A3" w:rsidRPr="003E79BC">
        <w:rPr>
          <w:i/>
          <w:sz w:val="20"/>
          <w:szCs w:val="20"/>
        </w:rPr>
        <w:t>here an action is specifically assigned to the</w:t>
      </w:r>
      <w:r w:rsidR="00F919D5">
        <w:rPr>
          <w:i/>
          <w:sz w:val="20"/>
          <w:szCs w:val="20"/>
        </w:rPr>
        <w:t xml:space="preserve"> </w:t>
      </w:r>
      <w:proofErr w:type="spellStart"/>
      <w:r w:rsidR="00F919D5">
        <w:rPr>
          <w:i/>
          <w:sz w:val="20"/>
          <w:szCs w:val="20"/>
        </w:rPr>
        <w:t>HoA</w:t>
      </w:r>
      <w:proofErr w:type="spellEnd"/>
      <w:r w:rsidR="00AF07A3" w:rsidRPr="003E79BC">
        <w:rPr>
          <w:i/>
          <w:sz w:val="20"/>
          <w:szCs w:val="20"/>
        </w:rPr>
        <w:t xml:space="preserve">, it must be completed by the </w:t>
      </w:r>
      <w:proofErr w:type="spellStart"/>
      <w:r w:rsidR="00F919D5">
        <w:rPr>
          <w:i/>
          <w:sz w:val="20"/>
          <w:szCs w:val="20"/>
        </w:rPr>
        <w:t>HoA</w:t>
      </w:r>
      <w:proofErr w:type="spellEnd"/>
      <w:r w:rsidR="00F919D5">
        <w:rPr>
          <w:i/>
          <w:sz w:val="20"/>
          <w:szCs w:val="20"/>
        </w:rPr>
        <w:t xml:space="preserve"> </w:t>
      </w:r>
      <w:r w:rsidR="00AF07A3" w:rsidRPr="003E79BC">
        <w:rPr>
          <w:i/>
          <w:sz w:val="20"/>
          <w:szCs w:val="20"/>
        </w:rPr>
        <w:t>and cannot be delegated.</w:t>
      </w:r>
      <w:r w:rsidR="00AF07A3" w:rsidRPr="003E79BC">
        <w:rPr>
          <w:i/>
        </w:rPr>
        <w:t xml:space="preserve">  </w:t>
      </w:r>
    </w:p>
    <w:p w14:paraId="1833AA81" w14:textId="40ABA145" w:rsidR="00F7704D" w:rsidRPr="00AF07A3" w:rsidRDefault="00AF07A3" w:rsidP="00DE30DA">
      <w:pPr>
        <w:pStyle w:val="ListParagraph"/>
        <w:numPr>
          <w:ilvl w:val="0"/>
          <w:numId w:val="15"/>
        </w:numPr>
        <w:ind w:left="360"/>
        <w:rPr>
          <w:b/>
        </w:rPr>
      </w:pPr>
      <w:r w:rsidRPr="00AF07A3">
        <w:rPr>
          <w:b/>
        </w:rPr>
        <w:t xml:space="preserve">OFFICE VACATED </w:t>
      </w:r>
    </w:p>
    <w:p w14:paraId="5DE3F384" w14:textId="7E64E1A3" w:rsidR="00045C08" w:rsidRDefault="00045C08" w:rsidP="00045C08">
      <w:pPr>
        <w:pStyle w:val="Department"/>
      </w:pPr>
      <w:r>
        <w:t xml:space="preserve">When </w:t>
      </w:r>
      <w:r w:rsidR="00363482">
        <w:t xml:space="preserve">a </w:t>
      </w:r>
      <w:proofErr w:type="spellStart"/>
      <w:r w:rsidR="00E156E7">
        <w:t>HoA</w:t>
      </w:r>
      <w:proofErr w:type="spellEnd"/>
      <w:r w:rsidR="00E156E7">
        <w:t xml:space="preserve"> </w:t>
      </w:r>
      <w:r w:rsidR="00363482">
        <w:t>becomes aware</w:t>
      </w:r>
      <w:r>
        <w:t xml:space="preserve"> </w:t>
      </w:r>
      <w:r w:rsidR="001A52A6">
        <w:t xml:space="preserve">that an </w:t>
      </w:r>
      <w:r w:rsidR="008F3CD4">
        <w:t>office</w:t>
      </w:r>
      <w:r w:rsidR="001A52A6">
        <w:t xml:space="preserve"> is to be vacated</w:t>
      </w:r>
      <w:r w:rsidR="00363482">
        <w:t xml:space="preserve"> on an ongoing basis (</w:t>
      </w:r>
      <w:proofErr w:type="spellStart"/>
      <w:r w:rsidR="00363482">
        <w:t>i</w:t>
      </w:r>
      <w:r w:rsidR="003F1728">
        <w:t>e</w:t>
      </w:r>
      <w:proofErr w:type="spellEnd"/>
      <w:r w:rsidR="00363482">
        <w:t xml:space="preserve"> – not as the result of leave or temporary transfer)</w:t>
      </w:r>
      <w:r w:rsidR="001A52A6">
        <w:t xml:space="preserve">, </w:t>
      </w:r>
      <w:r w:rsidR="00E156E7">
        <w:t xml:space="preserve">an </w:t>
      </w:r>
      <w:r>
        <w:t>agenc</w:t>
      </w:r>
      <w:r w:rsidR="00E156E7">
        <w:t>y is</w:t>
      </w:r>
      <w:r>
        <w:t xml:space="preserve"> to:</w:t>
      </w:r>
    </w:p>
    <w:p w14:paraId="762F2A5A" w14:textId="7F313162" w:rsidR="00045C08" w:rsidRDefault="00045C08" w:rsidP="00DE30DA">
      <w:pPr>
        <w:pStyle w:val="Department"/>
        <w:numPr>
          <w:ilvl w:val="0"/>
          <w:numId w:val="6"/>
        </w:numPr>
        <w:ind w:left="1276" w:hanging="785"/>
      </w:pPr>
      <w:r>
        <w:t xml:space="preserve">Determine whether that </w:t>
      </w:r>
      <w:r w:rsidR="008F3CD4">
        <w:t>o</w:t>
      </w:r>
      <w:r>
        <w:t xml:space="preserve">ffice </w:t>
      </w:r>
      <w:r w:rsidR="00363482">
        <w:t>will still be</w:t>
      </w:r>
      <w:r>
        <w:t xml:space="preserve"> required </w:t>
      </w:r>
      <w:r w:rsidR="00363482">
        <w:t>in either the same or</w:t>
      </w:r>
      <w:r w:rsidR="00CA41ED">
        <w:t xml:space="preserve"> similar form, and for how long it will be required.</w:t>
      </w:r>
    </w:p>
    <w:p w14:paraId="3497550A" w14:textId="4C2951CB" w:rsidR="00045C08" w:rsidRDefault="00045C08" w:rsidP="00DE30DA">
      <w:pPr>
        <w:pStyle w:val="Department"/>
        <w:numPr>
          <w:ilvl w:val="0"/>
          <w:numId w:val="6"/>
        </w:numPr>
        <w:ind w:left="1276" w:hanging="785"/>
      </w:pPr>
      <w:r>
        <w:t xml:space="preserve">If the </w:t>
      </w:r>
      <w:r w:rsidR="008F3CD4">
        <w:t>o</w:t>
      </w:r>
      <w:r>
        <w:t xml:space="preserve">ffice is not required, then </w:t>
      </w:r>
      <w:r w:rsidR="001A52A6">
        <w:t xml:space="preserve">the </w:t>
      </w:r>
      <w:proofErr w:type="spellStart"/>
      <w:r w:rsidR="001A52A6">
        <w:t>HoA</w:t>
      </w:r>
      <w:proofErr w:type="spellEnd"/>
      <w:r w:rsidR="001A52A6">
        <w:t xml:space="preserve"> must </w:t>
      </w:r>
      <w:r w:rsidR="00A47FC9">
        <w:t>send,</w:t>
      </w:r>
      <w:r w:rsidR="001A52A6">
        <w:t xml:space="preserve"> </w:t>
      </w:r>
      <w:r w:rsidR="00A47FC9">
        <w:t>through</w:t>
      </w:r>
      <w:r w:rsidR="00E156E7">
        <w:t xml:space="preserve"> the Department of Premier and Cabinet’s State Service Management Office</w:t>
      </w:r>
      <w:r w:rsidR="00EF0EC5">
        <w:t xml:space="preserve"> (SSMO)</w:t>
      </w:r>
      <w:r w:rsidR="00A47FC9">
        <w:t xml:space="preserve">, </w:t>
      </w:r>
      <w:r w:rsidR="001A52A6">
        <w:t xml:space="preserve">a </w:t>
      </w:r>
      <w:r>
        <w:t xml:space="preserve">request </w:t>
      </w:r>
      <w:r w:rsidR="001A52A6">
        <w:t xml:space="preserve">for the Premier </w:t>
      </w:r>
      <w:r>
        <w:t xml:space="preserve">to abolish the </w:t>
      </w:r>
      <w:r w:rsidR="008F3CD4">
        <w:t>o</w:t>
      </w:r>
      <w:r>
        <w:t>ffice</w:t>
      </w:r>
      <w:r w:rsidR="00A47FC9">
        <w:t>.</w:t>
      </w:r>
    </w:p>
    <w:p w14:paraId="1120DEB9" w14:textId="211DA443" w:rsidR="00F7704D" w:rsidRDefault="00045C08" w:rsidP="003E79BC">
      <w:pPr>
        <w:pStyle w:val="Department"/>
        <w:numPr>
          <w:ilvl w:val="0"/>
          <w:numId w:val="6"/>
        </w:numPr>
        <w:ind w:left="1276" w:hanging="785"/>
      </w:pPr>
      <w:r>
        <w:t xml:space="preserve">If the </w:t>
      </w:r>
      <w:r w:rsidR="008F3CD4">
        <w:t>of</w:t>
      </w:r>
      <w:r>
        <w:t xml:space="preserve">fice is required </w:t>
      </w:r>
      <w:r w:rsidR="001A52A6">
        <w:t>in the same or</w:t>
      </w:r>
      <w:r>
        <w:t xml:space="preserve"> a similar form, </w:t>
      </w:r>
      <w:r w:rsidR="00B46D7B">
        <w:t>the agency</w:t>
      </w:r>
      <w:r w:rsidR="00F7704D">
        <w:t xml:space="preserve"> must undertake t</w:t>
      </w:r>
      <w:r w:rsidR="001A52A6">
        <w:t>he following steps as a minimum</w:t>
      </w:r>
      <w:r w:rsidR="00A47FC9">
        <w:t>. These steps must not</w:t>
      </w:r>
      <w:r w:rsidR="00363482" w:rsidRPr="003E79BC">
        <w:t xml:space="preserve"> be delayed </w:t>
      </w:r>
      <w:r w:rsidR="00A47FC9">
        <w:t>where the duties are still being undertaken (</w:t>
      </w:r>
      <w:proofErr w:type="spellStart"/>
      <w:r w:rsidR="00A47FC9">
        <w:t>eg</w:t>
      </w:r>
      <w:proofErr w:type="spellEnd"/>
      <w:r w:rsidR="00A47FC9">
        <w:t xml:space="preserve"> – officer completing their notice period, another officer being temporarily assigned the duties etc)</w:t>
      </w:r>
      <w:r w:rsidR="00F7704D">
        <w:t>:</w:t>
      </w:r>
    </w:p>
    <w:p w14:paraId="30F2C047" w14:textId="46DDEFEC" w:rsidR="00946D42" w:rsidRDefault="00F7704D" w:rsidP="009929EB">
      <w:pPr>
        <w:pStyle w:val="Department"/>
        <w:numPr>
          <w:ilvl w:val="1"/>
          <w:numId w:val="6"/>
        </w:numPr>
      </w:pPr>
      <w:r>
        <w:t xml:space="preserve">Review the </w:t>
      </w:r>
      <w:r w:rsidR="00E84095">
        <w:t>S</w:t>
      </w:r>
      <w:r w:rsidR="00EF0EC5">
        <w:t>O</w:t>
      </w:r>
      <w:r w:rsidR="00E84095">
        <w:t xml:space="preserve">D immediately. A </w:t>
      </w:r>
      <w:r w:rsidR="005875B9">
        <w:t>S</w:t>
      </w:r>
      <w:r w:rsidR="00EF0EC5">
        <w:t>O</w:t>
      </w:r>
      <w:r w:rsidR="005875B9">
        <w:t xml:space="preserve">D must </w:t>
      </w:r>
      <w:r w:rsidR="00946D42">
        <w:t>includ</w:t>
      </w:r>
      <w:r w:rsidR="005875B9">
        <w:t xml:space="preserve">e </w:t>
      </w:r>
      <w:r w:rsidR="00946D42">
        <w:t>the selection criteria reflecting the skills, knowledge and experience required for the role, and</w:t>
      </w:r>
      <w:r w:rsidR="00E84095">
        <w:t>, for SES duties,</w:t>
      </w:r>
      <w:r w:rsidR="005875B9">
        <w:t xml:space="preserve"> be</w:t>
      </w:r>
      <w:r w:rsidR="00946D42">
        <w:t xml:space="preserve"> informed by the SES Leadership Capability Framework.</w:t>
      </w:r>
    </w:p>
    <w:p w14:paraId="7E4088EB" w14:textId="79DB0223" w:rsidR="00E84095" w:rsidRPr="00E84095" w:rsidRDefault="00E84095" w:rsidP="00E84095">
      <w:pPr>
        <w:pStyle w:val="Department"/>
        <w:numPr>
          <w:ilvl w:val="1"/>
          <w:numId w:val="6"/>
        </w:numPr>
        <w:rPr>
          <w:b/>
          <w:i/>
        </w:rPr>
      </w:pPr>
      <w:r>
        <w:t>If the</w:t>
      </w:r>
      <w:r w:rsidR="00F7704D">
        <w:t xml:space="preserve"> S</w:t>
      </w:r>
      <w:r w:rsidR="00EF0EC5">
        <w:t>O</w:t>
      </w:r>
      <w:r w:rsidR="00F7704D">
        <w:t>D</w:t>
      </w:r>
      <w:r>
        <w:t xml:space="preserve"> will not change</w:t>
      </w:r>
      <w:r w:rsidR="00F7704D">
        <w:t xml:space="preserve">, briefly document how this was </w:t>
      </w:r>
      <w:r>
        <w:t>decided</w:t>
      </w:r>
      <w:r w:rsidR="00F7704D">
        <w:t xml:space="preserve"> (</w:t>
      </w:r>
      <w:proofErr w:type="spellStart"/>
      <w:r>
        <w:t>eg</w:t>
      </w:r>
      <w:proofErr w:type="spellEnd"/>
      <w:r>
        <w:t xml:space="preserve"> - </w:t>
      </w:r>
      <w:r w:rsidR="00F7704D">
        <w:t xml:space="preserve">no changes in the structure, outcomes still current), with </w:t>
      </w:r>
      <w:r w:rsidR="005875B9">
        <w:t xml:space="preserve">an email to SSMO </w:t>
      </w:r>
      <w:r>
        <w:t xml:space="preserve">that </w:t>
      </w:r>
      <w:r w:rsidR="005875B9">
        <w:t>provid</w:t>
      </w:r>
      <w:r>
        <w:t>es</w:t>
      </w:r>
      <w:r w:rsidR="005875B9">
        <w:t xml:space="preserve"> the </w:t>
      </w:r>
      <w:r w:rsidR="00EE43C1">
        <w:t>S</w:t>
      </w:r>
      <w:r w:rsidR="00F919D5">
        <w:t>O</w:t>
      </w:r>
      <w:r w:rsidR="00EE43C1">
        <w:t xml:space="preserve">D and </w:t>
      </w:r>
      <w:r>
        <w:t xml:space="preserve">a </w:t>
      </w:r>
      <w:r w:rsidR="00EE43C1">
        <w:t xml:space="preserve">confirmation </w:t>
      </w:r>
      <w:r>
        <w:t xml:space="preserve">of </w:t>
      </w:r>
      <w:proofErr w:type="spellStart"/>
      <w:r>
        <w:t>HoA’s</w:t>
      </w:r>
      <w:proofErr w:type="spellEnd"/>
      <w:r>
        <w:t xml:space="preserve"> approval. </w:t>
      </w:r>
      <w:r w:rsidRPr="00F1053C">
        <w:t>However</w:t>
      </w:r>
      <w:r w:rsidR="00F1053C">
        <w:t>,</w:t>
      </w:r>
      <w:r w:rsidRPr="00F1053C">
        <w:t xml:space="preserve"> if there have been any classification changes in SES offices </w:t>
      </w:r>
      <w:r w:rsidR="00F1053C">
        <w:t>or senior positions</w:t>
      </w:r>
      <w:r w:rsidRPr="00F1053C">
        <w:t xml:space="preserve"> either above or below the vacancy, a new Mercer</w:t>
      </w:r>
      <w:r w:rsidR="00EF0EC5">
        <w:t xml:space="preserve"> Assessment</w:t>
      </w:r>
      <w:r w:rsidRPr="00F1053C">
        <w:t xml:space="preserve"> is required, even if it is confirmed overall duties are not to change</w:t>
      </w:r>
      <w:r w:rsidR="00F1053C">
        <w:t>.</w:t>
      </w:r>
    </w:p>
    <w:p w14:paraId="24AF5E74" w14:textId="14D8C26E" w:rsidR="00F7704D" w:rsidRDefault="00F7704D" w:rsidP="003E79BC">
      <w:pPr>
        <w:pStyle w:val="Department"/>
        <w:numPr>
          <w:ilvl w:val="1"/>
          <w:numId w:val="6"/>
        </w:numPr>
      </w:pPr>
      <w:r>
        <w:t xml:space="preserve">If </w:t>
      </w:r>
      <w:r w:rsidR="00E84095">
        <w:t>the S</w:t>
      </w:r>
      <w:r w:rsidR="00EF0EC5">
        <w:t>O</w:t>
      </w:r>
      <w:r w:rsidR="00E84095">
        <w:t xml:space="preserve">D </w:t>
      </w:r>
      <w:r w:rsidR="00F1053C">
        <w:t>will change</w:t>
      </w:r>
      <w:r>
        <w:t xml:space="preserve">, </w:t>
      </w:r>
      <w:r w:rsidR="00F1053C">
        <w:t xml:space="preserve">the </w:t>
      </w:r>
      <w:proofErr w:type="spellStart"/>
      <w:r w:rsidR="00F1053C">
        <w:t>HoA</w:t>
      </w:r>
      <w:proofErr w:type="spellEnd"/>
      <w:r w:rsidR="00F1053C">
        <w:t xml:space="preserve"> must </w:t>
      </w:r>
      <w:r>
        <w:t>provide</w:t>
      </w:r>
      <w:r w:rsidR="001A52A6">
        <w:t xml:space="preserve"> </w:t>
      </w:r>
      <w:r>
        <w:t>the S</w:t>
      </w:r>
      <w:r w:rsidR="003F1728">
        <w:t>O</w:t>
      </w:r>
      <w:r>
        <w:t xml:space="preserve">D, </w:t>
      </w:r>
      <w:r w:rsidR="00F1053C">
        <w:t xml:space="preserve">a new </w:t>
      </w:r>
      <w:r>
        <w:t xml:space="preserve">Mercer </w:t>
      </w:r>
      <w:r w:rsidR="003F1728">
        <w:t>A</w:t>
      </w:r>
      <w:r>
        <w:t xml:space="preserve">ssessment, organisational chart, statement </w:t>
      </w:r>
      <w:r w:rsidR="00F1053C">
        <w:t>requesting</w:t>
      </w:r>
      <w:r>
        <w:t xml:space="preserve"> </w:t>
      </w:r>
      <w:r w:rsidR="00B46D7B">
        <w:t>ongoing</w:t>
      </w:r>
      <w:r>
        <w:t xml:space="preserve"> </w:t>
      </w:r>
      <w:r w:rsidR="00F1053C">
        <w:t>SES or equivalent specialist</w:t>
      </w:r>
      <w:r>
        <w:t xml:space="preserve"> classification and any other </w:t>
      </w:r>
      <w:r w:rsidR="00F1053C">
        <w:t xml:space="preserve">relevant </w:t>
      </w:r>
      <w:r>
        <w:t xml:space="preserve">information </w:t>
      </w:r>
      <w:r w:rsidR="00F1053C">
        <w:t>(as per Section 2) to SSMO</w:t>
      </w:r>
      <w:r w:rsidR="00EE43C1">
        <w:t>.</w:t>
      </w:r>
    </w:p>
    <w:p w14:paraId="76C75517" w14:textId="5AA7C1F0" w:rsidR="00F7704D" w:rsidRDefault="00F7704D" w:rsidP="003E79BC">
      <w:pPr>
        <w:pStyle w:val="Department"/>
        <w:numPr>
          <w:ilvl w:val="1"/>
          <w:numId w:val="6"/>
        </w:numPr>
      </w:pPr>
      <w:r>
        <w:t xml:space="preserve">If the duties have changed so significantly that they are not demonstrably the result of job redesign, SSMO may advise that the request must be for </w:t>
      </w:r>
      <w:r w:rsidR="005A4BFF">
        <w:t xml:space="preserve">the creation of </w:t>
      </w:r>
      <w:r>
        <w:t xml:space="preserve">a new </w:t>
      </w:r>
      <w:r w:rsidR="008F3CD4">
        <w:t>o</w:t>
      </w:r>
      <w:r>
        <w:t xml:space="preserve">ffice rather than a </w:t>
      </w:r>
      <w:r w:rsidR="00F1053C">
        <w:t>review of classification review and redetermination.</w:t>
      </w:r>
    </w:p>
    <w:p w14:paraId="58184219" w14:textId="4211880F" w:rsidR="00F7704D" w:rsidRDefault="00F7704D" w:rsidP="00DE30DA">
      <w:pPr>
        <w:pStyle w:val="Department"/>
        <w:numPr>
          <w:ilvl w:val="0"/>
          <w:numId w:val="6"/>
        </w:numPr>
        <w:ind w:left="1276" w:hanging="785"/>
      </w:pPr>
      <w:r>
        <w:t>SSMO will</w:t>
      </w:r>
      <w:r w:rsidR="00E84095">
        <w:t xml:space="preserve"> </w:t>
      </w:r>
      <w:r>
        <w:t xml:space="preserve">determine </w:t>
      </w:r>
      <w:r w:rsidR="005875B9">
        <w:t xml:space="preserve">or confirm </w:t>
      </w:r>
      <w:r>
        <w:t xml:space="preserve">classification and </w:t>
      </w:r>
      <w:r w:rsidR="005875B9">
        <w:t xml:space="preserve">changes and </w:t>
      </w:r>
      <w:r>
        <w:t>advise the agency</w:t>
      </w:r>
      <w:r w:rsidR="005875B9">
        <w:t xml:space="preserve">. Should a new </w:t>
      </w:r>
      <w:r w:rsidR="008F3CD4">
        <w:t>o</w:t>
      </w:r>
      <w:r w:rsidR="005875B9">
        <w:t>ffice be required, SSMO will provide advice to the Premier accordingly.</w:t>
      </w:r>
      <w:r w:rsidR="00B46D7B">
        <w:t xml:space="preserve"> </w:t>
      </w:r>
    </w:p>
    <w:p w14:paraId="5F2C3B47" w14:textId="39720D28" w:rsidR="00E84095" w:rsidRDefault="00E84095">
      <w:pPr>
        <w:spacing w:before="0" w:after="0" w:line="240" w:lineRule="auto"/>
      </w:pPr>
      <w:r>
        <w:br w:type="page"/>
      </w:r>
    </w:p>
    <w:p w14:paraId="7865D3EC" w14:textId="181F1C5E" w:rsidR="00EE43C1" w:rsidRPr="00EE43C1" w:rsidRDefault="00EE43C1" w:rsidP="00EE43C1">
      <w:pPr>
        <w:pStyle w:val="ListParagraph"/>
        <w:numPr>
          <w:ilvl w:val="0"/>
          <w:numId w:val="15"/>
        </w:numPr>
        <w:ind w:left="360"/>
        <w:rPr>
          <w:b/>
        </w:rPr>
      </w:pPr>
      <w:r w:rsidRPr="00EE43C1">
        <w:rPr>
          <w:b/>
        </w:rPr>
        <w:lastRenderedPageBreak/>
        <w:t>JOB ASSESSMENT</w:t>
      </w:r>
    </w:p>
    <w:p w14:paraId="7C8FF300" w14:textId="359D7D18" w:rsidR="00EE43C1" w:rsidRDefault="00EE43C1" w:rsidP="00EE43C1">
      <w:pPr>
        <w:pStyle w:val="Department"/>
      </w:pPr>
      <w:r>
        <w:t>On vacancy (Section 1) or on consecutive appointment (Section 6)</w:t>
      </w:r>
      <w:r w:rsidR="00E84095">
        <w:t>,</w:t>
      </w:r>
      <w:r>
        <w:t xml:space="preserve"> </w:t>
      </w:r>
      <w:r w:rsidR="00EF0EC5">
        <w:t xml:space="preserve">an </w:t>
      </w:r>
      <w:r w:rsidR="008F3CD4">
        <w:t>o</w:t>
      </w:r>
      <w:r>
        <w:t xml:space="preserve">ffice must be examined in accordance with </w:t>
      </w:r>
      <w:r w:rsidR="00EF0EC5">
        <w:t>S</w:t>
      </w:r>
      <w:r>
        <w:t xml:space="preserve">ections 2 </w:t>
      </w:r>
      <w:r w:rsidR="00EF0EC5">
        <w:t xml:space="preserve">to </w:t>
      </w:r>
      <w:r>
        <w:t xml:space="preserve">5 of ED 17.  This process is critical before any selection process or offer of consecutive appointment to ensure currency of duties and outcomes required, </w:t>
      </w:r>
      <w:r w:rsidR="00265188">
        <w:t xml:space="preserve">correct </w:t>
      </w:r>
      <w:r>
        <w:t>reporting lines (both above and below)</w:t>
      </w:r>
      <w:r w:rsidR="00E84095">
        <w:t xml:space="preserve"> </w:t>
      </w:r>
      <w:r>
        <w:t xml:space="preserve">selection criteria and classification level.  In some instances, </w:t>
      </w:r>
      <w:r w:rsidR="005875B9">
        <w:t>the duties may be more appropriately</w:t>
      </w:r>
      <w:r>
        <w:t xml:space="preserve"> classified under higher levels of relevant Awards.</w:t>
      </w:r>
    </w:p>
    <w:p w14:paraId="490080E4" w14:textId="52090944" w:rsidR="00EE43C1" w:rsidRDefault="00265188" w:rsidP="00EE43C1">
      <w:pPr>
        <w:pStyle w:val="Department"/>
      </w:pPr>
      <w:r>
        <w:t xml:space="preserve">Should a </w:t>
      </w:r>
      <w:r w:rsidR="00EF0EC5">
        <w:t xml:space="preserve">HOA </w:t>
      </w:r>
      <w:r>
        <w:t xml:space="preserve">consider that senior executive </w:t>
      </w:r>
      <w:r w:rsidR="005875B9">
        <w:t xml:space="preserve">or equivalent specialist </w:t>
      </w:r>
      <w:r>
        <w:t>classification remains appropriate:</w:t>
      </w:r>
    </w:p>
    <w:p w14:paraId="6F93A5FA" w14:textId="75D4CCCB" w:rsidR="00F1053C" w:rsidRDefault="00265188" w:rsidP="00265188">
      <w:pPr>
        <w:pStyle w:val="Department"/>
        <w:numPr>
          <w:ilvl w:val="0"/>
          <w:numId w:val="6"/>
        </w:numPr>
        <w:ind w:left="1276" w:hanging="785"/>
      </w:pPr>
      <w:r>
        <w:t xml:space="preserve">If there are minor </w:t>
      </w:r>
      <w:r w:rsidR="00F1053C">
        <w:t xml:space="preserve">(or no) </w:t>
      </w:r>
      <w:r>
        <w:t xml:space="preserve">changes to the duties, </w:t>
      </w:r>
      <w:r w:rsidR="00F1053C">
        <w:t>Human Resources</w:t>
      </w:r>
      <w:r w:rsidR="005875B9">
        <w:t xml:space="preserve"> may </w:t>
      </w:r>
      <w:r>
        <w:t xml:space="preserve">provide the revised SOD and confirmation </w:t>
      </w:r>
      <w:r w:rsidR="00E84095">
        <w:t xml:space="preserve">email </w:t>
      </w:r>
      <w:r>
        <w:t>described in Section 1 to SSMO</w:t>
      </w:r>
      <w:r w:rsidR="00F1053C">
        <w:t xml:space="preserve">, including a Mercer </w:t>
      </w:r>
      <w:r w:rsidR="003F1728">
        <w:t>A</w:t>
      </w:r>
      <w:r w:rsidR="00F1053C">
        <w:t xml:space="preserve">ssessment where there have been structural </w:t>
      </w:r>
      <w:r w:rsidR="004D5E95">
        <w:t xml:space="preserve">/ reporting </w:t>
      </w:r>
      <w:r w:rsidR="00F1053C">
        <w:t>changes.</w:t>
      </w:r>
      <w:r>
        <w:t xml:space="preserve"> </w:t>
      </w:r>
    </w:p>
    <w:p w14:paraId="0B539B2E" w14:textId="5574D037" w:rsidR="00265188" w:rsidRDefault="00F1053C" w:rsidP="00F1053C">
      <w:pPr>
        <w:pStyle w:val="Department"/>
        <w:ind w:left="1276"/>
      </w:pPr>
      <w:r w:rsidRPr="00F1053C">
        <w:t>Examples of changes considered minor include a title change, terminology updated to reflect organisational, cultural or professional changes and clarification or editing of specific sections where the focus of the duties and the outcomes requ</w:t>
      </w:r>
      <w:r>
        <w:t xml:space="preserve">ired are to remain the same; </w:t>
      </w:r>
      <w:r w:rsidR="00265188" w:rsidRPr="00F1053C">
        <w:rPr>
          <w:b/>
        </w:rPr>
        <w:t xml:space="preserve">or </w:t>
      </w:r>
    </w:p>
    <w:p w14:paraId="2BD29085" w14:textId="6C98A62D" w:rsidR="00265188" w:rsidRDefault="00265188" w:rsidP="00265188">
      <w:pPr>
        <w:pStyle w:val="Department"/>
        <w:numPr>
          <w:ilvl w:val="0"/>
          <w:numId w:val="6"/>
        </w:numPr>
        <w:ind w:left="1276" w:hanging="785"/>
      </w:pPr>
      <w:r>
        <w:t>If the changes are more substantial, review and determination of classification is delegated to the Director, S</w:t>
      </w:r>
      <w:r w:rsidR="00875AAA">
        <w:t>SMO.  The following information is required for a determination:</w:t>
      </w:r>
    </w:p>
    <w:p w14:paraId="372C04D5" w14:textId="602A1B40" w:rsidR="00875AAA" w:rsidRDefault="00875AAA" w:rsidP="00875AAA">
      <w:pPr>
        <w:pStyle w:val="Department"/>
        <w:numPr>
          <w:ilvl w:val="1"/>
          <w:numId w:val="6"/>
        </w:numPr>
      </w:pPr>
      <w:r>
        <w:t>S</w:t>
      </w:r>
      <w:r w:rsidR="00EF0EC5">
        <w:t>OD</w:t>
      </w:r>
    </w:p>
    <w:p w14:paraId="618D3C39" w14:textId="7FC18818" w:rsidR="00875AAA" w:rsidRDefault="00875AAA" w:rsidP="00875AAA">
      <w:pPr>
        <w:pStyle w:val="Department"/>
        <w:numPr>
          <w:ilvl w:val="1"/>
          <w:numId w:val="6"/>
        </w:numPr>
      </w:pPr>
      <w:r>
        <w:t xml:space="preserve">Organisational chart showing direct reports, supervisory arrangements and all senior positions and offices with relationships to the </w:t>
      </w:r>
      <w:r w:rsidR="008F3CD4">
        <w:t>o</w:t>
      </w:r>
      <w:r>
        <w:t>ffice in question</w:t>
      </w:r>
    </w:p>
    <w:p w14:paraId="3E791468" w14:textId="4B785368" w:rsidR="00875AAA" w:rsidRDefault="00875AAA" w:rsidP="00875AAA">
      <w:pPr>
        <w:pStyle w:val="Department"/>
        <w:numPr>
          <w:ilvl w:val="1"/>
          <w:numId w:val="6"/>
        </w:numPr>
      </w:pPr>
      <w:r>
        <w:t xml:space="preserve">Covering </w:t>
      </w:r>
      <w:r w:rsidR="00EF0EC5">
        <w:t xml:space="preserve">memorandum </w:t>
      </w:r>
      <w:r>
        <w:t xml:space="preserve">from the </w:t>
      </w:r>
      <w:proofErr w:type="spellStart"/>
      <w:r>
        <w:t>HoA</w:t>
      </w:r>
      <w:proofErr w:type="spellEnd"/>
      <w:r>
        <w:t xml:space="preserve"> outlining the details and impact of changes</w:t>
      </w:r>
    </w:p>
    <w:p w14:paraId="2933802D" w14:textId="20A7A4A8" w:rsidR="00875AAA" w:rsidRDefault="004D5E95" w:rsidP="00875AAA">
      <w:pPr>
        <w:pStyle w:val="Department"/>
        <w:numPr>
          <w:ilvl w:val="1"/>
          <w:numId w:val="6"/>
        </w:numPr>
      </w:pPr>
      <w:r>
        <w:t xml:space="preserve">New </w:t>
      </w:r>
      <w:r w:rsidR="00875AAA">
        <w:t xml:space="preserve">Mercer Assessment </w:t>
      </w:r>
      <w:r w:rsidR="00EF0EC5">
        <w:t>(refer to Attachment 1)</w:t>
      </w:r>
      <w:r w:rsidR="003F1728">
        <w:t>.</w:t>
      </w:r>
    </w:p>
    <w:p w14:paraId="5A9E65F3" w14:textId="77777777" w:rsidR="00B30A3B" w:rsidRDefault="00B30A3B" w:rsidP="003E79BC">
      <w:pPr>
        <w:pStyle w:val="Department"/>
      </w:pPr>
    </w:p>
    <w:p w14:paraId="7AA77BC4" w14:textId="677415F6" w:rsidR="00BF6715" w:rsidRPr="00BF6715" w:rsidRDefault="00BF6715" w:rsidP="00DE30DA">
      <w:pPr>
        <w:pStyle w:val="ListParagraph"/>
        <w:numPr>
          <w:ilvl w:val="0"/>
          <w:numId w:val="15"/>
        </w:numPr>
        <w:ind w:left="360"/>
        <w:rPr>
          <w:b/>
        </w:rPr>
      </w:pPr>
      <w:bookmarkStart w:id="1" w:name="_Hlk85006719"/>
      <w:r w:rsidRPr="00BF6715">
        <w:rPr>
          <w:b/>
        </w:rPr>
        <w:t>MOBILITY</w:t>
      </w:r>
    </w:p>
    <w:p w14:paraId="35ACA4E8" w14:textId="16C8D7CC" w:rsidR="00F7704D" w:rsidRDefault="00363482" w:rsidP="00F7704D">
      <w:r>
        <w:t xml:space="preserve">Once </w:t>
      </w:r>
      <w:r w:rsidR="00A07EF2">
        <w:t xml:space="preserve">a vacant </w:t>
      </w:r>
      <w:r w:rsidR="008F3CD4">
        <w:t>o</w:t>
      </w:r>
      <w:r>
        <w:t xml:space="preserve">ffice </w:t>
      </w:r>
      <w:r w:rsidR="00F7704D">
        <w:t>has be</w:t>
      </w:r>
      <w:r w:rsidR="008F32F3">
        <w:t>en</w:t>
      </w:r>
      <w:r w:rsidR="00F7704D">
        <w:t xml:space="preserve"> determined as remaining </w:t>
      </w:r>
      <w:r w:rsidR="004D5E95">
        <w:t>SES or Equivalent Specialist</w:t>
      </w:r>
      <w:r w:rsidR="00F7704D">
        <w:t xml:space="preserve">, </w:t>
      </w:r>
      <w:r>
        <w:t xml:space="preserve">or has been </w:t>
      </w:r>
      <w:r w:rsidR="00A07EF2">
        <w:t xml:space="preserve">newly </w:t>
      </w:r>
      <w:r>
        <w:t>created</w:t>
      </w:r>
      <w:r w:rsidR="004D5E95">
        <w:t xml:space="preserve"> as such</w:t>
      </w:r>
      <w:r w:rsidR="00D22265">
        <w:t>,</w:t>
      </w:r>
      <w:r w:rsidR="004D5E95">
        <w:t xml:space="preserve"> the agency must commence </w:t>
      </w:r>
      <w:r w:rsidR="00F7704D">
        <w:t xml:space="preserve">recruitment action </w:t>
      </w:r>
      <w:r>
        <w:t xml:space="preserve">within </w:t>
      </w:r>
      <w:r w:rsidRPr="00B46D7B">
        <w:rPr>
          <w:b/>
          <w:i/>
        </w:rPr>
        <w:t>three months</w:t>
      </w:r>
      <w:r w:rsidR="004D5E95">
        <w:rPr>
          <w:b/>
          <w:i/>
        </w:rPr>
        <w:t xml:space="preserve"> </w:t>
      </w:r>
      <w:r w:rsidR="004D5E95" w:rsidRPr="004D5E95">
        <w:t>of that determination or creation</w:t>
      </w:r>
      <w:r w:rsidR="004D5E95">
        <w:t>.  H</w:t>
      </w:r>
      <w:r w:rsidR="00B46D7B">
        <w:t xml:space="preserve">owever before recruitment all offices </w:t>
      </w:r>
      <w:r w:rsidR="00A07EF2">
        <w:t xml:space="preserve">other than equivalent specialists </w:t>
      </w:r>
      <w:r w:rsidR="00B46D7B">
        <w:t>must progress through mobility</w:t>
      </w:r>
      <w:r w:rsidR="004A0DFF">
        <w:t xml:space="preserve"> if they are for longer than six months</w:t>
      </w:r>
      <w:r w:rsidR="003823D9">
        <w:t>, unless exempted by the HOSS</w:t>
      </w:r>
      <w:r w:rsidR="004A0DFF">
        <w:t>.  If the vacancy is genuinely for six months o</w:t>
      </w:r>
      <w:r w:rsidR="00975D09">
        <w:t>r</w:t>
      </w:r>
      <w:r w:rsidR="004A0DFF">
        <w:t xml:space="preserve"> less, it is at the discretion of the </w:t>
      </w:r>
      <w:proofErr w:type="spellStart"/>
      <w:r w:rsidR="004A0DFF">
        <w:t>HoA</w:t>
      </w:r>
      <w:proofErr w:type="spellEnd"/>
      <w:r w:rsidR="004A0DFF">
        <w:t xml:space="preserve"> whether to open the role for mobility interest</w:t>
      </w:r>
      <w:r w:rsidR="00066405">
        <w:t>, or to fill using the provisions of ED 17 instead</w:t>
      </w:r>
      <w:r w:rsidR="004A0DFF">
        <w:t xml:space="preserve"> </w:t>
      </w:r>
    </w:p>
    <w:p w14:paraId="0AD8ACA7" w14:textId="6936868A" w:rsidR="004A0DFF" w:rsidRDefault="004A0DFF" w:rsidP="00DE30DA">
      <w:pPr>
        <w:pStyle w:val="Department"/>
        <w:numPr>
          <w:ilvl w:val="0"/>
          <w:numId w:val="6"/>
        </w:numPr>
        <w:ind w:left="1276" w:hanging="785"/>
      </w:pPr>
      <w:r>
        <w:t xml:space="preserve">The vacant office will be uploaded to the My Mobility Portal within the jobs website / </w:t>
      </w:r>
      <w:proofErr w:type="spellStart"/>
      <w:r>
        <w:t>PageUp</w:t>
      </w:r>
      <w:proofErr w:type="spellEnd"/>
      <w:r>
        <w:t xml:space="preserve"> and include the Statement of Duties.</w:t>
      </w:r>
    </w:p>
    <w:p w14:paraId="3B3F1A5E" w14:textId="276DE155" w:rsidR="00F7704D" w:rsidRDefault="004A0DFF" w:rsidP="00DE30DA">
      <w:pPr>
        <w:pStyle w:val="Department"/>
        <w:numPr>
          <w:ilvl w:val="0"/>
          <w:numId w:val="6"/>
        </w:numPr>
        <w:ind w:left="1276" w:hanging="785"/>
      </w:pPr>
      <w:r>
        <w:t>The closing date for applications through mobility will be no earlier than five clear days from advertisement</w:t>
      </w:r>
      <w:r w:rsidR="00965DBB" w:rsidRPr="004D5E95">
        <w:rPr>
          <w:color w:val="auto"/>
        </w:rPr>
        <w:t>.</w:t>
      </w:r>
    </w:p>
    <w:p w14:paraId="7AE778C1" w14:textId="77777777" w:rsidR="004A0DFF" w:rsidRPr="004D5E95" w:rsidRDefault="004A0DFF" w:rsidP="004A0DFF">
      <w:pPr>
        <w:pStyle w:val="Department"/>
        <w:numPr>
          <w:ilvl w:val="0"/>
          <w:numId w:val="6"/>
        </w:numPr>
        <w:ind w:left="1276" w:hanging="785"/>
        <w:rPr>
          <w:color w:val="auto"/>
        </w:rPr>
      </w:pPr>
      <w:r>
        <w:rPr>
          <w:color w:val="auto"/>
        </w:rPr>
        <w:t>Mobility opportunities are open to SES officers at any level, not only the level of the vacant office.</w:t>
      </w:r>
    </w:p>
    <w:p w14:paraId="7EE369ED" w14:textId="0594C074" w:rsidR="00F7704D" w:rsidRDefault="004A0DFF" w:rsidP="00DE30DA">
      <w:pPr>
        <w:pStyle w:val="Department"/>
        <w:numPr>
          <w:ilvl w:val="0"/>
          <w:numId w:val="6"/>
        </w:numPr>
        <w:ind w:left="1276" w:hanging="785"/>
      </w:pPr>
      <w:r>
        <w:lastRenderedPageBreak/>
        <w:t xml:space="preserve">At the discretion of the </w:t>
      </w:r>
      <w:proofErr w:type="spellStart"/>
      <w:r>
        <w:t>HoA</w:t>
      </w:r>
      <w:proofErr w:type="spellEnd"/>
      <w:r>
        <w:t xml:space="preserve">, the office may also be </w:t>
      </w:r>
      <w:r w:rsidR="00F7704D">
        <w:t xml:space="preserve">advertised </w:t>
      </w:r>
      <w:r w:rsidR="00FB75D3" w:rsidRPr="00FB75D3">
        <w:t>on the main and publicly available jobs website (</w:t>
      </w:r>
      <w:hyperlink r:id="rId8" w:history="1">
        <w:r w:rsidR="00FB75D3" w:rsidRPr="005213C5">
          <w:rPr>
            <w:rStyle w:val="Hyperlink"/>
          </w:rPr>
          <w:t>www.jobs.tas.gov.au</w:t>
        </w:r>
      </w:hyperlink>
      <w:r w:rsidR="00FB75D3" w:rsidRPr="00FB75D3">
        <w:t>)</w:t>
      </w:r>
      <w:r w:rsidR="00FB75D3">
        <w:t xml:space="preserve"> </w:t>
      </w:r>
      <w:r w:rsidR="00F7704D">
        <w:t>accordi</w:t>
      </w:r>
      <w:r w:rsidR="001A52A6">
        <w:t>ng to the requirements of ED 17</w:t>
      </w:r>
      <w:r w:rsidR="00FB75D3">
        <w:t>,</w:t>
      </w:r>
      <w:r>
        <w:t xml:space="preserve"> concurrently with mobility processes</w:t>
      </w:r>
      <w:r w:rsidR="006353B9">
        <w:t>.</w:t>
      </w:r>
      <w:r w:rsidR="00FB75D3" w:rsidRPr="00FB75D3">
        <w:t xml:space="preserve"> SES officer</w:t>
      </w:r>
      <w:r w:rsidR="00FB75D3">
        <w:t>s</w:t>
      </w:r>
      <w:r w:rsidR="00FB75D3" w:rsidRPr="00FB75D3">
        <w:t xml:space="preserve"> should make </w:t>
      </w:r>
      <w:r w:rsidR="00FB75D3">
        <w:t>their</w:t>
      </w:r>
      <w:r w:rsidR="00FB75D3" w:rsidRPr="00FB75D3">
        <w:t xml:space="preserve"> application through the My Mobility portal rather than the external jobs website.</w:t>
      </w:r>
    </w:p>
    <w:p w14:paraId="3F722153" w14:textId="2E78F0FC" w:rsidR="00204A4C" w:rsidRDefault="00204A4C" w:rsidP="00204A4C">
      <w:pPr>
        <w:pStyle w:val="Department"/>
        <w:numPr>
          <w:ilvl w:val="0"/>
          <w:numId w:val="6"/>
        </w:numPr>
        <w:ind w:left="1276" w:hanging="785"/>
        <w:rPr>
          <w:color w:val="auto"/>
        </w:rPr>
      </w:pPr>
      <w:r>
        <w:rPr>
          <w:color w:val="auto"/>
        </w:rPr>
        <w:t xml:space="preserve">Applicants through the My Mobility portal </w:t>
      </w:r>
      <w:r w:rsidR="00975D09">
        <w:rPr>
          <w:color w:val="auto"/>
        </w:rPr>
        <w:t xml:space="preserve">are </w:t>
      </w:r>
      <w:r>
        <w:rPr>
          <w:color w:val="auto"/>
        </w:rPr>
        <w:t xml:space="preserve">assessed </w:t>
      </w:r>
      <w:r w:rsidR="00407AC1">
        <w:rPr>
          <w:color w:val="auto"/>
        </w:rPr>
        <w:t>first.</w:t>
      </w:r>
    </w:p>
    <w:p w14:paraId="23A1C871" w14:textId="2FB25C5D" w:rsidR="00363482" w:rsidRDefault="00363482" w:rsidP="00DE30DA">
      <w:pPr>
        <w:pStyle w:val="Department"/>
        <w:numPr>
          <w:ilvl w:val="0"/>
          <w:numId w:val="6"/>
        </w:numPr>
        <w:ind w:left="1276" w:hanging="785"/>
        <w:rPr>
          <w:color w:val="auto"/>
        </w:rPr>
      </w:pPr>
      <w:r w:rsidRPr="004D5E95">
        <w:rPr>
          <w:color w:val="auto"/>
        </w:rPr>
        <w:t xml:space="preserve">During this </w:t>
      </w:r>
      <w:r w:rsidR="004A0DFF">
        <w:rPr>
          <w:color w:val="auto"/>
        </w:rPr>
        <w:t>mobility and advertising process,</w:t>
      </w:r>
      <w:r w:rsidR="00965DBB" w:rsidRPr="004D5E95">
        <w:rPr>
          <w:color w:val="auto"/>
        </w:rPr>
        <w:t xml:space="preserve"> </w:t>
      </w:r>
      <w:r w:rsidR="00D22265" w:rsidRPr="004D5E95">
        <w:rPr>
          <w:color w:val="auto"/>
        </w:rPr>
        <w:t>a</w:t>
      </w:r>
      <w:r w:rsidR="00EF0EC5">
        <w:rPr>
          <w:color w:val="auto"/>
        </w:rPr>
        <w:t xml:space="preserve"> </w:t>
      </w:r>
      <w:proofErr w:type="spellStart"/>
      <w:r w:rsidR="004D5E95">
        <w:rPr>
          <w:color w:val="auto"/>
        </w:rPr>
        <w:t>HoA</w:t>
      </w:r>
      <w:proofErr w:type="spellEnd"/>
      <w:r w:rsidR="00D22265" w:rsidRPr="004D5E95">
        <w:rPr>
          <w:color w:val="auto"/>
        </w:rPr>
        <w:t xml:space="preserve"> may select a permanent </w:t>
      </w:r>
      <w:r w:rsidRPr="004D5E95">
        <w:rPr>
          <w:color w:val="auto"/>
        </w:rPr>
        <w:t xml:space="preserve">employee </w:t>
      </w:r>
      <w:r w:rsidR="00B46D7B" w:rsidRPr="004D5E95">
        <w:rPr>
          <w:color w:val="auto"/>
        </w:rPr>
        <w:t>to undertake the duties</w:t>
      </w:r>
      <w:r w:rsidR="00965DBB" w:rsidRPr="004D5E95">
        <w:rPr>
          <w:color w:val="auto"/>
        </w:rPr>
        <w:t xml:space="preserve"> for a maximum of six months until the </w:t>
      </w:r>
      <w:r w:rsidR="008F3CD4">
        <w:rPr>
          <w:color w:val="auto"/>
        </w:rPr>
        <w:t>o</w:t>
      </w:r>
      <w:r w:rsidR="00965DBB" w:rsidRPr="004D5E95">
        <w:rPr>
          <w:color w:val="auto"/>
        </w:rPr>
        <w:t>ffice is filled.</w:t>
      </w:r>
      <w:r w:rsidR="00D22265" w:rsidRPr="004D5E95">
        <w:rPr>
          <w:color w:val="auto"/>
        </w:rPr>
        <w:t xml:space="preserve"> If this employee is from another agency, the employee’s </w:t>
      </w:r>
      <w:proofErr w:type="spellStart"/>
      <w:r w:rsidR="00D22265" w:rsidRPr="004D5E95">
        <w:rPr>
          <w:color w:val="auto"/>
        </w:rPr>
        <w:t>HoA</w:t>
      </w:r>
      <w:proofErr w:type="spellEnd"/>
      <w:r w:rsidR="00D22265" w:rsidRPr="004D5E95">
        <w:rPr>
          <w:color w:val="auto"/>
        </w:rPr>
        <w:t xml:space="preserve"> must also agree to the arrangement.</w:t>
      </w:r>
      <w:r w:rsidR="004A0DFF">
        <w:rPr>
          <w:color w:val="auto"/>
        </w:rPr>
        <w:t xml:space="preserve"> Fixed term employees cannot be paid an MRDA and therefore should not be assigned SES duties.</w:t>
      </w:r>
    </w:p>
    <w:p w14:paraId="28FA6EBC" w14:textId="3D384DF4" w:rsidR="00D319B3" w:rsidRDefault="00D319B3" w:rsidP="00DE30DA">
      <w:pPr>
        <w:pStyle w:val="Department"/>
        <w:numPr>
          <w:ilvl w:val="0"/>
          <w:numId w:val="6"/>
        </w:numPr>
        <w:ind w:left="1276" w:hanging="785"/>
        <w:rPr>
          <w:color w:val="auto"/>
        </w:rPr>
      </w:pPr>
      <w:r w:rsidRPr="004D5E95">
        <w:rPr>
          <w:color w:val="auto"/>
        </w:rPr>
        <w:t>A</w:t>
      </w:r>
      <w:r w:rsidR="004D5E95">
        <w:rPr>
          <w:color w:val="auto"/>
        </w:rPr>
        <w:t xml:space="preserve"> </w:t>
      </w:r>
      <w:proofErr w:type="spellStart"/>
      <w:r w:rsidR="004D5E95">
        <w:rPr>
          <w:color w:val="auto"/>
        </w:rPr>
        <w:t>HoA</w:t>
      </w:r>
      <w:proofErr w:type="spellEnd"/>
      <w:r w:rsidRPr="004D5E95">
        <w:rPr>
          <w:color w:val="auto"/>
        </w:rPr>
        <w:t xml:space="preserve"> may also </w:t>
      </w:r>
      <w:r w:rsidR="00CA41ED" w:rsidRPr="004D5E95">
        <w:rPr>
          <w:color w:val="auto"/>
        </w:rPr>
        <w:t xml:space="preserve">have </w:t>
      </w:r>
      <w:r w:rsidRPr="004D5E95">
        <w:rPr>
          <w:color w:val="auto"/>
        </w:rPr>
        <w:t xml:space="preserve">an existing officer perform the duties of another </w:t>
      </w:r>
      <w:r w:rsidR="008F3CD4">
        <w:rPr>
          <w:color w:val="auto"/>
        </w:rPr>
        <w:t>o</w:t>
      </w:r>
      <w:r w:rsidRPr="004D5E95">
        <w:rPr>
          <w:color w:val="auto"/>
        </w:rPr>
        <w:t>ffice (with H</w:t>
      </w:r>
      <w:r w:rsidR="00EF0EC5">
        <w:rPr>
          <w:color w:val="auto"/>
        </w:rPr>
        <w:t>ead of the State Service (H</w:t>
      </w:r>
      <w:r w:rsidRPr="004D5E95">
        <w:rPr>
          <w:color w:val="auto"/>
        </w:rPr>
        <w:t>oSS</w:t>
      </w:r>
      <w:r w:rsidR="00EF0EC5">
        <w:rPr>
          <w:color w:val="auto"/>
        </w:rPr>
        <w:t>)</w:t>
      </w:r>
      <w:r w:rsidRPr="004D5E95">
        <w:rPr>
          <w:color w:val="auto"/>
        </w:rPr>
        <w:t xml:space="preserve"> approval for SES level 3 and 4)</w:t>
      </w:r>
      <w:r w:rsidR="00CA41ED" w:rsidRPr="004D5E95">
        <w:rPr>
          <w:color w:val="auto"/>
        </w:rPr>
        <w:t xml:space="preserve"> while recruitment is underway.  </w:t>
      </w:r>
    </w:p>
    <w:p w14:paraId="08AE7825" w14:textId="779780E8" w:rsidR="00066405" w:rsidRPr="004D5E95" w:rsidRDefault="00066405" w:rsidP="00DE30DA">
      <w:pPr>
        <w:pStyle w:val="Department"/>
        <w:numPr>
          <w:ilvl w:val="0"/>
          <w:numId w:val="6"/>
        </w:numPr>
        <w:ind w:left="1276" w:hanging="785"/>
        <w:rPr>
          <w:color w:val="auto"/>
        </w:rPr>
      </w:pPr>
      <w:r>
        <w:rPr>
          <w:color w:val="auto"/>
        </w:rPr>
        <w:t xml:space="preserve">For all of the above steps, </w:t>
      </w:r>
      <w:r w:rsidR="00975D09">
        <w:rPr>
          <w:color w:val="auto"/>
        </w:rPr>
        <w:t>all</w:t>
      </w:r>
      <w:r w:rsidRPr="004D5E95">
        <w:rPr>
          <w:color w:val="auto"/>
        </w:rPr>
        <w:t xml:space="preserve"> process</w:t>
      </w:r>
      <w:r>
        <w:rPr>
          <w:color w:val="auto"/>
        </w:rPr>
        <w:t>es, assessments and selections</w:t>
      </w:r>
      <w:r w:rsidRPr="004D5E95">
        <w:rPr>
          <w:color w:val="auto"/>
        </w:rPr>
        <w:t xml:space="preserve"> must be documented</w:t>
      </w:r>
      <w:r>
        <w:rPr>
          <w:color w:val="auto"/>
        </w:rPr>
        <w:t>, including</w:t>
      </w:r>
      <w:r w:rsidRPr="00066405">
        <w:rPr>
          <w:color w:val="auto"/>
        </w:rPr>
        <w:t xml:space="preserve"> </w:t>
      </w:r>
      <w:r w:rsidRPr="004D5E95">
        <w:rPr>
          <w:color w:val="auto"/>
        </w:rPr>
        <w:t>management of any conflict of interest.</w:t>
      </w:r>
      <w:r>
        <w:rPr>
          <w:color w:val="auto"/>
        </w:rPr>
        <w:t xml:space="preserve">  </w:t>
      </w:r>
    </w:p>
    <w:p w14:paraId="7EC18594" w14:textId="5C27802E" w:rsidR="002E201C" w:rsidRDefault="00A07EF2" w:rsidP="00AA5E48">
      <w:pPr>
        <w:pStyle w:val="Department"/>
      </w:pPr>
      <w:r>
        <w:t>Where the vacancy is in an agency that is not part of the Heads of Agen</w:t>
      </w:r>
      <w:r w:rsidR="00EF0EC5">
        <w:t>cy</w:t>
      </w:r>
      <w:r>
        <w:t xml:space="preserve"> </w:t>
      </w:r>
      <w:r w:rsidR="00EF0EC5">
        <w:t>G</w:t>
      </w:r>
      <w:r>
        <w:t>roup, SSMO can assist with the mobility process.</w:t>
      </w:r>
    </w:p>
    <w:bookmarkEnd w:id="1"/>
    <w:p w14:paraId="5FC7F191" w14:textId="77777777" w:rsidR="004D5E95" w:rsidRDefault="004D5E95" w:rsidP="00AA5E48">
      <w:pPr>
        <w:pStyle w:val="Department"/>
      </w:pPr>
    </w:p>
    <w:p w14:paraId="3EDA6E92" w14:textId="26A38A58" w:rsidR="002E201C" w:rsidRPr="00C95BFB" w:rsidRDefault="0018572C" w:rsidP="00DE30DA">
      <w:pPr>
        <w:pStyle w:val="Department"/>
        <w:numPr>
          <w:ilvl w:val="0"/>
          <w:numId w:val="15"/>
        </w:numPr>
        <w:ind w:left="360"/>
        <w:rPr>
          <w:b/>
        </w:rPr>
      </w:pPr>
      <w:r>
        <w:rPr>
          <w:b/>
        </w:rPr>
        <w:t xml:space="preserve">ADVERTISING /SELECTION </w:t>
      </w:r>
      <w:r w:rsidR="00711854" w:rsidRPr="00C95BFB">
        <w:rPr>
          <w:b/>
        </w:rPr>
        <w:t xml:space="preserve">PROCESS </w:t>
      </w:r>
    </w:p>
    <w:p w14:paraId="37862636" w14:textId="24E553C9" w:rsidR="00965DBB" w:rsidRDefault="0018572C" w:rsidP="00711854">
      <w:pPr>
        <w:pStyle w:val="Department"/>
        <w:ind w:left="360"/>
      </w:pPr>
      <w:r>
        <w:t xml:space="preserve">If there </w:t>
      </w:r>
      <w:r w:rsidR="00975D09">
        <w:t>is no successful transfer</w:t>
      </w:r>
      <w:r>
        <w:t xml:space="preserve"> through the mobility process, the selection process for a vacant </w:t>
      </w:r>
      <w:r w:rsidR="008F3CD4">
        <w:t>o</w:t>
      </w:r>
      <w:r>
        <w:t xml:space="preserve">ffice depends on the length and nature of a vacancy. </w:t>
      </w:r>
    </w:p>
    <w:p w14:paraId="0DA86B16" w14:textId="246E59C3" w:rsidR="00875AAA" w:rsidRPr="004D5E95" w:rsidRDefault="00965DBB" w:rsidP="00875AAA">
      <w:pPr>
        <w:pStyle w:val="Department"/>
        <w:ind w:left="360"/>
        <w:rPr>
          <w:color w:val="auto"/>
        </w:rPr>
      </w:pPr>
      <w:r w:rsidRPr="004D5E95">
        <w:rPr>
          <w:b/>
          <w:i/>
        </w:rPr>
        <w:t>Vacancies up</w:t>
      </w:r>
      <w:r w:rsidR="00CA41ED" w:rsidRPr="004D5E95">
        <w:rPr>
          <w:b/>
          <w:i/>
        </w:rPr>
        <w:t xml:space="preserve"> to and including </w:t>
      </w:r>
      <w:r w:rsidR="00EF0EC5">
        <w:rPr>
          <w:b/>
          <w:i/>
        </w:rPr>
        <w:t>12</w:t>
      </w:r>
      <w:r w:rsidR="00CA41ED" w:rsidRPr="004D5E95">
        <w:rPr>
          <w:b/>
          <w:i/>
        </w:rPr>
        <w:t xml:space="preserve"> months</w:t>
      </w:r>
      <w:r w:rsidR="004D5E95" w:rsidRPr="004D5E95">
        <w:rPr>
          <w:b/>
          <w:i/>
        </w:rPr>
        <w:br/>
      </w:r>
      <w:r w:rsidR="004A37BC" w:rsidRPr="004D5E95">
        <w:rPr>
          <w:color w:val="auto"/>
        </w:rPr>
        <w:t xml:space="preserve">These provisions are only to be used where the vacancy will genuinely not extend beyond </w:t>
      </w:r>
      <w:r w:rsidR="008F3CD4">
        <w:rPr>
          <w:color w:val="auto"/>
        </w:rPr>
        <w:t xml:space="preserve">12 </w:t>
      </w:r>
      <w:r w:rsidR="004A37BC" w:rsidRPr="004D5E95">
        <w:rPr>
          <w:color w:val="auto"/>
        </w:rPr>
        <w:t>months (</w:t>
      </w:r>
      <w:proofErr w:type="spellStart"/>
      <w:r w:rsidR="004A37BC" w:rsidRPr="004D5E95">
        <w:rPr>
          <w:color w:val="auto"/>
        </w:rPr>
        <w:t>ie</w:t>
      </w:r>
      <w:proofErr w:type="spellEnd"/>
      <w:r w:rsidR="004A37BC" w:rsidRPr="004D5E95">
        <w:rPr>
          <w:color w:val="auto"/>
        </w:rPr>
        <w:t xml:space="preserve"> leave, transfer, or while the ongoing need for the </w:t>
      </w:r>
      <w:r w:rsidR="008F3CD4">
        <w:rPr>
          <w:color w:val="auto"/>
        </w:rPr>
        <w:t>o</w:t>
      </w:r>
      <w:r w:rsidR="004A37BC" w:rsidRPr="004D5E95">
        <w:rPr>
          <w:color w:val="auto"/>
        </w:rPr>
        <w:t xml:space="preserve">ffice is still being considered but the duties are required in the meantime). </w:t>
      </w:r>
    </w:p>
    <w:p w14:paraId="223B0C43" w14:textId="1D4D6785" w:rsidR="00965DBB" w:rsidRDefault="004D5E95" w:rsidP="00875AAA">
      <w:pPr>
        <w:pStyle w:val="Department"/>
        <w:numPr>
          <w:ilvl w:val="0"/>
          <w:numId w:val="6"/>
        </w:numPr>
        <w:ind w:left="1276" w:hanging="785"/>
      </w:pPr>
      <w:r>
        <w:t>The vacancy m</w:t>
      </w:r>
      <w:r w:rsidR="0018572C">
        <w:t>ay be fille</w:t>
      </w:r>
      <w:r w:rsidR="001A52A6">
        <w:t xml:space="preserve">d </w:t>
      </w:r>
      <w:r w:rsidR="003B6C61">
        <w:t xml:space="preserve">by a permanent </w:t>
      </w:r>
      <w:r w:rsidR="001A52A6">
        <w:t xml:space="preserve">employee </w:t>
      </w:r>
      <w:r w:rsidR="003B6C61">
        <w:t xml:space="preserve">(or an officer appointed at a lower SES level) </w:t>
      </w:r>
      <w:r w:rsidR="001A52A6">
        <w:t xml:space="preserve">chosen through an Expression of Interest </w:t>
      </w:r>
      <w:r w:rsidR="00EF0EC5">
        <w:t xml:space="preserve">(EOI) </w:t>
      </w:r>
      <w:r w:rsidR="001A52A6">
        <w:t>process</w:t>
      </w:r>
      <w:r w:rsidR="003B6C61">
        <w:t>.</w:t>
      </w:r>
    </w:p>
    <w:p w14:paraId="1A953DD0" w14:textId="5F9F6213" w:rsidR="008F32F3" w:rsidRDefault="008F32F3" w:rsidP="00965DBB">
      <w:pPr>
        <w:pStyle w:val="Department"/>
        <w:numPr>
          <w:ilvl w:val="0"/>
          <w:numId w:val="6"/>
        </w:numPr>
        <w:ind w:left="1276" w:hanging="785"/>
      </w:pPr>
      <w:r>
        <w:t xml:space="preserve">Agencies are to ensure that the </w:t>
      </w:r>
      <w:r w:rsidR="00EF0EC5">
        <w:t xml:space="preserve">EOI </w:t>
      </w:r>
      <w:r>
        <w:t xml:space="preserve">is well publicised and available to State Service </w:t>
      </w:r>
      <w:r w:rsidR="005A4BFF">
        <w:t>e</w:t>
      </w:r>
      <w:r w:rsidR="004D5E95">
        <w:t xml:space="preserve">mployees/officers in </w:t>
      </w:r>
      <w:r>
        <w:t>that agency</w:t>
      </w:r>
      <w:r w:rsidR="004D5E95">
        <w:t xml:space="preserve"> at a minimum</w:t>
      </w:r>
      <w:r>
        <w:t xml:space="preserve">, and ideally </w:t>
      </w:r>
      <w:r w:rsidR="004D5E95">
        <w:t>across</w:t>
      </w:r>
      <w:r>
        <w:t xml:space="preserve"> all agencies.</w:t>
      </w:r>
      <w:r w:rsidR="00F111C2">
        <w:t xml:space="preserve"> Where it is decided to restrict the advertising within the agency, reasons for doing so should be recorded.</w:t>
      </w:r>
      <w:r w:rsidR="00363482">
        <w:t xml:space="preserve"> </w:t>
      </w:r>
    </w:p>
    <w:p w14:paraId="3FEE1FEB" w14:textId="36009D34" w:rsidR="0018572C" w:rsidRDefault="0018572C" w:rsidP="00711854">
      <w:pPr>
        <w:pStyle w:val="Department"/>
        <w:ind w:left="360"/>
      </w:pPr>
      <w:r w:rsidRPr="004D5E95">
        <w:rPr>
          <w:b/>
          <w:i/>
        </w:rPr>
        <w:t xml:space="preserve">Vacancies </w:t>
      </w:r>
      <w:r w:rsidR="001A52A6" w:rsidRPr="004D5E95">
        <w:rPr>
          <w:b/>
          <w:i/>
        </w:rPr>
        <w:t xml:space="preserve">over </w:t>
      </w:r>
      <w:r w:rsidR="00EF0EC5">
        <w:rPr>
          <w:b/>
          <w:i/>
        </w:rPr>
        <w:t>12</w:t>
      </w:r>
      <w:r w:rsidR="001A52A6" w:rsidRPr="004D5E95">
        <w:rPr>
          <w:b/>
          <w:i/>
        </w:rPr>
        <w:t xml:space="preserve"> months </w:t>
      </w:r>
      <w:r w:rsidRPr="004D5E95">
        <w:rPr>
          <w:b/>
          <w:i/>
        </w:rPr>
        <w:t>must be filled as follows</w:t>
      </w:r>
      <w:r>
        <w:t>:</w:t>
      </w:r>
    </w:p>
    <w:p w14:paraId="711D7406" w14:textId="4E4CFBB2" w:rsidR="00955401" w:rsidRDefault="003B6C61" w:rsidP="00DE30DA">
      <w:pPr>
        <w:pStyle w:val="Department"/>
        <w:numPr>
          <w:ilvl w:val="0"/>
          <w:numId w:val="6"/>
        </w:numPr>
        <w:ind w:left="1276" w:hanging="785"/>
      </w:pPr>
      <w:r>
        <w:t>Consider and</w:t>
      </w:r>
      <w:r w:rsidR="00955401">
        <w:t xml:space="preserve"> </w:t>
      </w:r>
      <w:r w:rsidR="008F4B04">
        <w:t>document the appropriate recruitment strategy to attract a competitive and diverse field of applicants</w:t>
      </w:r>
      <w:r w:rsidR="00F15122">
        <w:t>, and an appropriate process in which to make a selection</w:t>
      </w:r>
      <w:r w:rsidR="008F4B04">
        <w:t xml:space="preserve">. </w:t>
      </w:r>
      <w:r w:rsidR="00EF0EC5">
        <w:t>The s</w:t>
      </w:r>
      <w:r w:rsidR="008F4B04">
        <w:t xml:space="preserve">trategy </w:t>
      </w:r>
      <w:r w:rsidR="00EF0EC5">
        <w:t xml:space="preserve">is </w:t>
      </w:r>
      <w:r w:rsidR="008F4B04">
        <w:t>to indicate timeframes and any funding requirements (</w:t>
      </w:r>
      <w:proofErr w:type="spellStart"/>
      <w:r w:rsidR="008F4B04">
        <w:t>eg</w:t>
      </w:r>
      <w:proofErr w:type="spellEnd"/>
      <w:r w:rsidR="008F4B04">
        <w:t xml:space="preserve"> </w:t>
      </w:r>
      <w:r w:rsidR="005A4BFF">
        <w:t xml:space="preserve">executive </w:t>
      </w:r>
      <w:r w:rsidR="008F4B04">
        <w:t>recruitment company, advertising via mechanisms outside the usual practices)</w:t>
      </w:r>
      <w:r w:rsidR="00F15122">
        <w:t>.</w:t>
      </w:r>
    </w:p>
    <w:p w14:paraId="3F369C57" w14:textId="38764331" w:rsidR="008F4B04" w:rsidRDefault="009929EB" w:rsidP="00DE30DA">
      <w:pPr>
        <w:pStyle w:val="Department"/>
        <w:numPr>
          <w:ilvl w:val="0"/>
          <w:numId w:val="6"/>
        </w:numPr>
        <w:ind w:left="1276" w:hanging="785"/>
      </w:pPr>
      <w:r>
        <w:t>Choose</w:t>
      </w:r>
      <w:r w:rsidR="004D5E95">
        <w:t xml:space="preserve"> </w:t>
      </w:r>
      <w:r w:rsidR="00EF0EC5">
        <w:t>s</w:t>
      </w:r>
      <w:r w:rsidR="008F4B04">
        <w:t xml:space="preserve">election </w:t>
      </w:r>
      <w:r w:rsidR="00EF0EC5">
        <w:t>p</w:t>
      </w:r>
      <w:r w:rsidR="008F4B04">
        <w:t xml:space="preserve">anel </w:t>
      </w:r>
      <w:r w:rsidR="003B6C61">
        <w:t xml:space="preserve">members </w:t>
      </w:r>
      <w:r w:rsidR="008F4B04">
        <w:t xml:space="preserve">based on their skills, experience and roles </w:t>
      </w:r>
      <w:r w:rsidR="003B6C61">
        <w:t xml:space="preserve">as </w:t>
      </w:r>
      <w:r w:rsidR="008F4B04">
        <w:t xml:space="preserve">relevant to the selection process and </w:t>
      </w:r>
      <w:r w:rsidR="00CC2E72">
        <w:t>their experience/training in selection processes.</w:t>
      </w:r>
      <w:r w:rsidR="00F15122">
        <w:t xml:space="preserve"> It is usual practic</w:t>
      </w:r>
      <w:r w:rsidR="005D6AB4">
        <w:t xml:space="preserve">e for the </w:t>
      </w:r>
      <w:r w:rsidR="00EF0EC5">
        <w:t>c</w:t>
      </w:r>
      <w:r w:rsidR="005D6AB4">
        <w:t xml:space="preserve">hair of the </w:t>
      </w:r>
      <w:r w:rsidR="00EF0EC5">
        <w:t>p</w:t>
      </w:r>
      <w:r w:rsidR="005D6AB4">
        <w:t>anel to</w:t>
      </w:r>
      <w:r w:rsidR="00F15122">
        <w:t xml:space="preserve"> be the direct line supervisor of the vacant </w:t>
      </w:r>
      <w:r w:rsidR="008F3CD4">
        <w:t>o</w:t>
      </w:r>
      <w:r w:rsidR="00F15122">
        <w:t>ffice.</w:t>
      </w:r>
    </w:p>
    <w:p w14:paraId="55E3A183" w14:textId="2BFC6EDE" w:rsidR="00084AA1" w:rsidRDefault="00955401" w:rsidP="00DE30DA">
      <w:pPr>
        <w:pStyle w:val="Department"/>
        <w:numPr>
          <w:ilvl w:val="0"/>
          <w:numId w:val="6"/>
        </w:numPr>
        <w:ind w:left="1276" w:hanging="785"/>
      </w:pPr>
      <w:r>
        <w:lastRenderedPageBreak/>
        <w:t xml:space="preserve">If the </w:t>
      </w:r>
      <w:r w:rsidR="00EF0EC5">
        <w:t>a</w:t>
      </w:r>
      <w:r>
        <w:t xml:space="preserve">gency wishes to advertise the vacant </w:t>
      </w:r>
      <w:r w:rsidR="008F3CD4">
        <w:t>o</w:t>
      </w:r>
      <w:r>
        <w:t xml:space="preserve">ffice at a salary </w:t>
      </w:r>
      <w:r w:rsidR="00084AA1">
        <w:t>above the base rate</w:t>
      </w:r>
      <w:r>
        <w:t xml:space="preserve"> (market) then the </w:t>
      </w:r>
      <w:proofErr w:type="spellStart"/>
      <w:r w:rsidR="00EF0EC5">
        <w:t>HoA</w:t>
      </w:r>
      <w:proofErr w:type="spellEnd"/>
      <w:r w:rsidR="00EF0EC5">
        <w:t xml:space="preserve"> </w:t>
      </w:r>
      <w:r>
        <w:t>must provide a submission to the</w:t>
      </w:r>
      <w:r w:rsidR="00EF0EC5">
        <w:t xml:space="preserve"> HoSS</w:t>
      </w:r>
      <w:r>
        <w:t>, through SSMO, for approval.  Vacancies must have this approval before advertising</w:t>
      </w:r>
      <w:r w:rsidR="003B6C61">
        <w:t xml:space="preserve"> the higher salary.</w:t>
      </w:r>
    </w:p>
    <w:p w14:paraId="3BCE949A" w14:textId="7C6423C8" w:rsidR="00084AA1" w:rsidRDefault="00084AA1" w:rsidP="00DE30DA">
      <w:pPr>
        <w:pStyle w:val="Department"/>
        <w:numPr>
          <w:ilvl w:val="0"/>
          <w:numId w:val="6"/>
        </w:numPr>
        <w:ind w:left="1276" w:hanging="785"/>
      </w:pPr>
      <w:r>
        <w:t xml:space="preserve">Vacancies must be advertised </w:t>
      </w:r>
      <w:r w:rsidR="003B6C61">
        <w:t xml:space="preserve">on </w:t>
      </w:r>
      <w:hyperlink r:id="rId9" w:history="1">
        <w:r w:rsidR="003B6C61" w:rsidRPr="00084A2A">
          <w:rPr>
            <w:rStyle w:val="Hyperlink"/>
          </w:rPr>
          <w:t>www.jobs.tas.gov.au</w:t>
        </w:r>
      </w:hyperlink>
      <w:r w:rsidR="003B6C61">
        <w:t xml:space="preserve"> at a minimum</w:t>
      </w:r>
      <w:r w:rsidR="00A364CC">
        <w:t>, and all applications acknowledged and recorded.</w:t>
      </w:r>
      <w:r w:rsidR="00875AAA">
        <w:t xml:space="preserve"> Advertisements will provide details of the ‘short </w:t>
      </w:r>
      <w:r w:rsidR="004D5E95">
        <w:t>form</w:t>
      </w:r>
      <w:r w:rsidR="00875AAA">
        <w:t>’ process, an application package and a contact officer for more information about the role.</w:t>
      </w:r>
    </w:p>
    <w:p w14:paraId="28BD9A81" w14:textId="2C3F62CF" w:rsidR="009929EB" w:rsidRDefault="009929EB">
      <w:pPr>
        <w:spacing w:before="0" w:after="0" w:line="240" w:lineRule="auto"/>
      </w:pPr>
      <w:r>
        <w:br w:type="page"/>
      </w:r>
    </w:p>
    <w:p w14:paraId="1BDE857A" w14:textId="65C19BE6" w:rsidR="00946D42" w:rsidRDefault="009929EB" w:rsidP="009929EB">
      <w:pPr>
        <w:pStyle w:val="Department"/>
        <w:numPr>
          <w:ilvl w:val="0"/>
          <w:numId w:val="6"/>
        </w:numPr>
        <w:ind w:left="1276" w:hanging="785"/>
      </w:pPr>
      <w:r>
        <w:lastRenderedPageBreak/>
        <w:t xml:space="preserve">The </w:t>
      </w:r>
      <w:r w:rsidR="00EF0EC5">
        <w:t>p</w:t>
      </w:r>
      <w:r>
        <w:t>anel should shortlist a diverse field of applicants shortlisted where comparative merit permits, and must use inclusive recruitment practices.</w:t>
      </w:r>
      <w:r w:rsidR="009C67B5">
        <w:t xml:space="preserve"> </w:t>
      </w:r>
    </w:p>
    <w:p w14:paraId="600ACE53" w14:textId="5D7C410D" w:rsidR="00CC2E72" w:rsidRDefault="004D5E95" w:rsidP="00DE30DA">
      <w:pPr>
        <w:pStyle w:val="Department"/>
        <w:numPr>
          <w:ilvl w:val="0"/>
          <w:numId w:val="6"/>
        </w:numPr>
        <w:ind w:left="1276" w:hanging="785"/>
      </w:pPr>
      <w:r>
        <w:t>P</w:t>
      </w:r>
      <w:r w:rsidR="00CC2E72">
        <w:t>anel</w:t>
      </w:r>
      <w:r w:rsidR="00EF0EC5">
        <w:t xml:space="preserve"> members</w:t>
      </w:r>
      <w:r w:rsidR="00CC2E72">
        <w:t xml:space="preserve"> </w:t>
      </w:r>
      <w:r w:rsidR="00F15122">
        <w:t xml:space="preserve">and other people </w:t>
      </w:r>
      <w:r w:rsidR="009C67B5">
        <w:t>closely involved</w:t>
      </w:r>
      <w:r>
        <w:t xml:space="preserve"> </w:t>
      </w:r>
      <w:r w:rsidR="009C67B5">
        <w:t>with</w:t>
      </w:r>
      <w:r w:rsidR="00F15122">
        <w:t xml:space="preserve"> the selection process (scr</w:t>
      </w:r>
      <w:r w:rsidR="005D6AB4">
        <w:t>ibe, recruitment consultants etc</w:t>
      </w:r>
      <w:r w:rsidR="00F15122">
        <w:t xml:space="preserve">) are to </w:t>
      </w:r>
      <w:r w:rsidR="00CC2E72">
        <w:t>declare any conflicts of interest</w:t>
      </w:r>
      <w:r w:rsidR="005A4BFF">
        <w:t>, and</w:t>
      </w:r>
      <w:r w:rsidR="00CC2E72">
        <w:t xml:space="preserve"> the </w:t>
      </w:r>
      <w:r w:rsidR="008F3CD4">
        <w:t>c</w:t>
      </w:r>
      <w:r w:rsidR="00CC2E72">
        <w:t xml:space="preserve">hair </w:t>
      </w:r>
      <w:r w:rsidR="008F32F3">
        <w:t xml:space="preserve">is </w:t>
      </w:r>
      <w:r w:rsidR="005A4BFF">
        <w:t xml:space="preserve">to be </w:t>
      </w:r>
      <w:r w:rsidR="008F32F3">
        <w:t xml:space="preserve">satisfied that any conflicts are appropriately managed.  If the </w:t>
      </w:r>
      <w:r w:rsidR="00EF0EC5">
        <w:t>c</w:t>
      </w:r>
      <w:r w:rsidR="008F32F3">
        <w:t xml:space="preserve">hair is not </w:t>
      </w:r>
      <w:r w:rsidR="005A4BFF">
        <w:t xml:space="preserve">satisfied </w:t>
      </w:r>
      <w:r w:rsidR="008F32F3">
        <w:t>that a conflict can be appropriately managed, the</w:t>
      </w:r>
      <w:r w:rsidR="00F15122">
        <w:t>n</w:t>
      </w:r>
      <w:r w:rsidR="008F32F3">
        <w:t xml:space="preserve"> that selection panel member should leave the panel.</w:t>
      </w:r>
      <w:r w:rsidR="00F15122">
        <w:t xml:space="preserve"> Where the </w:t>
      </w:r>
      <w:r w:rsidR="00EF0EC5">
        <w:t>c</w:t>
      </w:r>
      <w:r w:rsidR="00F15122">
        <w:t>hair has a conflict with an applicant, unless it is a direct family member</w:t>
      </w:r>
      <w:r w:rsidR="009C67B5">
        <w:t xml:space="preserve"> (in which case they should recuse themselves)</w:t>
      </w:r>
      <w:r w:rsidR="00F15122">
        <w:t xml:space="preserve">, the </w:t>
      </w:r>
      <w:r w:rsidR="00EF0EC5">
        <w:t>c</w:t>
      </w:r>
      <w:r w:rsidR="00F15122">
        <w:t xml:space="preserve">hair should implement strategies to manage the conflict and stay on the panel as </w:t>
      </w:r>
      <w:r w:rsidR="00EF0EC5">
        <w:t>c</w:t>
      </w:r>
      <w:r w:rsidR="00F15122">
        <w:t>hair. Appropriate documentation must be kept and form part of the final report.</w:t>
      </w:r>
      <w:r w:rsidR="005B3476">
        <w:t xml:space="preserve"> </w:t>
      </w:r>
      <w:r w:rsidR="00C37DFB">
        <w:t>P</w:t>
      </w:r>
      <w:r w:rsidR="005B3476">
        <w:t xml:space="preserve">rocesses must comply with the </w:t>
      </w:r>
      <w:r w:rsidR="003F1728">
        <w:t xml:space="preserve">Policy: </w:t>
      </w:r>
      <w:r w:rsidR="00EF0EC5">
        <w:t xml:space="preserve">Managing </w:t>
      </w:r>
      <w:r w:rsidR="005B3476">
        <w:t>Conflict</w:t>
      </w:r>
      <w:r w:rsidR="00EF0EC5">
        <w:t>s</w:t>
      </w:r>
      <w:r w:rsidR="005B3476">
        <w:t xml:space="preserve"> of Interest in Recruitment.</w:t>
      </w:r>
    </w:p>
    <w:p w14:paraId="4E3A8147" w14:textId="5654D0DB" w:rsidR="00AA5E48" w:rsidRDefault="00F15122" w:rsidP="00DE30DA">
      <w:pPr>
        <w:pStyle w:val="Department"/>
        <w:numPr>
          <w:ilvl w:val="0"/>
          <w:numId w:val="6"/>
        </w:numPr>
        <w:ind w:left="1276" w:hanging="785"/>
      </w:pPr>
      <w:r>
        <w:t xml:space="preserve">Once the selection process has been </w:t>
      </w:r>
      <w:r w:rsidR="003B6C61">
        <w:t>undertaken</w:t>
      </w:r>
      <w:r>
        <w:t xml:space="preserve">, a detailed selection report (see below) is to be completed and signed by </w:t>
      </w:r>
      <w:r w:rsidR="00EF0EC5">
        <w:t>p</w:t>
      </w:r>
      <w:r w:rsidR="004D5E95">
        <w:t xml:space="preserve">anel </w:t>
      </w:r>
      <w:r w:rsidR="00EF0EC5">
        <w:t>m</w:t>
      </w:r>
      <w:r w:rsidR="004D5E95">
        <w:t>embers and relevant delegates</w:t>
      </w:r>
      <w:r>
        <w:t xml:space="preserve">. The </w:t>
      </w:r>
      <w:r w:rsidR="009C67B5">
        <w:t xml:space="preserve">selection documentation </w:t>
      </w:r>
      <w:r>
        <w:t xml:space="preserve">must </w:t>
      </w:r>
      <w:r w:rsidR="00AA5E48">
        <w:t>cover:</w:t>
      </w:r>
    </w:p>
    <w:p w14:paraId="5B8F539A" w14:textId="448CFD04" w:rsidR="00AA5E48" w:rsidRDefault="00AA5E48" w:rsidP="00DE30DA">
      <w:pPr>
        <w:pStyle w:val="Department"/>
        <w:numPr>
          <w:ilvl w:val="0"/>
          <w:numId w:val="6"/>
        </w:numPr>
        <w:ind w:left="2945" w:hanging="785"/>
      </w:pPr>
      <w:r>
        <w:t xml:space="preserve">Details </w:t>
      </w:r>
      <w:r w:rsidR="00C95BFB">
        <w:t xml:space="preserve">of vacant </w:t>
      </w:r>
      <w:r w:rsidR="008F3CD4">
        <w:t>o</w:t>
      </w:r>
      <w:r w:rsidR="00C95BFB">
        <w:t>ffice, including classification level</w:t>
      </w:r>
      <w:r w:rsidR="00977E16">
        <w:t xml:space="preserve"> and date </w:t>
      </w:r>
      <w:r w:rsidR="003F1728">
        <w:t>the</w:t>
      </w:r>
      <w:r w:rsidR="008F3CD4">
        <w:t xml:space="preserve"> o</w:t>
      </w:r>
      <w:r w:rsidR="00977E16">
        <w:t>ffice became substantively vacant (or equivalent if short term backfilling arrangement)</w:t>
      </w:r>
    </w:p>
    <w:p w14:paraId="2D51482A" w14:textId="6FD36B21" w:rsidR="00AA5E48" w:rsidRDefault="004D5E95" w:rsidP="00DE30DA">
      <w:pPr>
        <w:pStyle w:val="Department"/>
        <w:numPr>
          <w:ilvl w:val="0"/>
          <w:numId w:val="6"/>
        </w:numPr>
        <w:ind w:left="2945" w:hanging="785"/>
      </w:pPr>
      <w:r>
        <w:t>Panel</w:t>
      </w:r>
      <w:r w:rsidR="00AA5E48">
        <w:t xml:space="preserve"> members including </w:t>
      </w:r>
      <w:r w:rsidR="0058051C">
        <w:t xml:space="preserve">reasons why they are appropriate to be on the </w:t>
      </w:r>
      <w:r w:rsidR="008F3CD4">
        <w:t>p</w:t>
      </w:r>
      <w:r>
        <w:t>anel</w:t>
      </w:r>
      <w:r w:rsidR="0058051C">
        <w:t xml:space="preserve"> (skills, knowledge, relevance to vacancy).</w:t>
      </w:r>
    </w:p>
    <w:p w14:paraId="01A42447" w14:textId="30160021" w:rsidR="0058051C" w:rsidRDefault="00977E16" w:rsidP="00DE30DA">
      <w:pPr>
        <w:pStyle w:val="Department"/>
        <w:numPr>
          <w:ilvl w:val="0"/>
          <w:numId w:val="6"/>
        </w:numPr>
        <w:ind w:left="2945" w:hanging="785"/>
      </w:pPr>
      <w:r>
        <w:t xml:space="preserve">Conflict of interest </w:t>
      </w:r>
      <w:r w:rsidR="00F46002">
        <w:t xml:space="preserve">summary and strategies </w:t>
      </w:r>
      <w:r>
        <w:t xml:space="preserve">(refer </w:t>
      </w:r>
      <w:r w:rsidR="00EF0EC5">
        <w:t>to the</w:t>
      </w:r>
      <w:r w:rsidR="003F1728">
        <w:t xml:space="preserve"> Policy:</w:t>
      </w:r>
      <w:r w:rsidR="00EF0EC5">
        <w:t xml:space="preserve"> Managing </w:t>
      </w:r>
      <w:r w:rsidR="00C93F73">
        <w:t>Conflict</w:t>
      </w:r>
      <w:r w:rsidR="00EF0EC5">
        <w:t>s</w:t>
      </w:r>
      <w:r w:rsidR="00C93F73">
        <w:t xml:space="preserve"> of Interest in Recruitment</w:t>
      </w:r>
      <w:r>
        <w:t>)</w:t>
      </w:r>
    </w:p>
    <w:p w14:paraId="4C19E729" w14:textId="740F67B3" w:rsidR="00977E16" w:rsidRDefault="00977E16" w:rsidP="00DE30DA">
      <w:pPr>
        <w:pStyle w:val="Department"/>
        <w:numPr>
          <w:ilvl w:val="0"/>
          <w:numId w:val="6"/>
        </w:numPr>
        <w:ind w:left="2945" w:hanging="785"/>
      </w:pPr>
      <w:r>
        <w:t>Vacancy advertising details</w:t>
      </w:r>
    </w:p>
    <w:p w14:paraId="0F1E503E" w14:textId="18223DCC" w:rsidR="00977E16" w:rsidRDefault="00977E16" w:rsidP="00DE30DA">
      <w:pPr>
        <w:pStyle w:val="Department"/>
        <w:numPr>
          <w:ilvl w:val="0"/>
          <w:numId w:val="6"/>
        </w:numPr>
        <w:ind w:left="2945" w:hanging="785"/>
      </w:pPr>
      <w:r>
        <w:t>Summary of selection process</w:t>
      </w:r>
    </w:p>
    <w:p w14:paraId="74A96E5C" w14:textId="03CB9FFD" w:rsidR="00CB3193" w:rsidRDefault="00CB3193" w:rsidP="00DE30DA">
      <w:pPr>
        <w:pStyle w:val="Department"/>
        <w:numPr>
          <w:ilvl w:val="0"/>
          <w:numId w:val="6"/>
        </w:numPr>
        <w:ind w:left="2945" w:hanging="785"/>
      </w:pPr>
      <w:r>
        <w:t>Non-shortlisted applicants – reasons for not shortlisting</w:t>
      </w:r>
    </w:p>
    <w:p w14:paraId="5BB17F99" w14:textId="781AE02A" w:rsidR="00CB3193" w:rsidRDefault="00CB3193" w:rsidP="00DE30DA">
      <w:pPr>
        <w:pStyle w:val="Department"/>
        <w:numPr>
          <w:ilvl w:val="0"/>
          <w:numId w:val="6"/>
        </w:numPr>
        <w:ind w:left="2945" w:hanging="785"/>
      </w:pPr>
      <w:r>
        <w:t>Short-listed applicants – assessment against each of the selection criteria, taking into account all information (application, resume, interview), together with an overview assessment of the applicants</w:t>
      </w:r>
    </w:p>
    <w:p w14:paraId="72142129" w14:textId="70F17983" w:rsidR="00CB3193" w:rsidRDefault="00CB3193" w:rsidP="00DE30DA">
      <w:pPr>
        <w:pStyle w:val="Department"/>
        <w:numPr>
          <w:ilvl w:val="0"/>
          <w:numId w:val="6"/>
        </w:numPr>
        <w:ind w:left="2945" w:hanging="785"/>
      </w:pPr>
      <w:r>
        <w:t>Comparative summary of the top ranking applicants where more than one applicant is suitable</w:t>
      </w:r>
      <w:r w:rsidR="009C67B5">
        <w:t>, incorporating referee reports</w:t>
      </w:r>
    </w:p>
    <w:p w14:paraId="778D5436" w14:textId="7ACF8C39" w:rsidR="001E0ACA" w:rsidRDefault="001E0ACA" w:rsidP="00DE30DA">
      <w:pPr>
        <w:pStyle w:val="Department"/>
        <w:numPr>
          <w:ilvl w:val="0"/>
          <w:numId w:val="6"/>
        </w:numPr>
        <w:ind w:left="2945" w:hanging="785"/>
      </w:pPr>
      <w:r>
        <w:t>Attached feedback provided by referees. Referee comments should be relevant to the selection criteria.</w:t>
      </w:r>
    </w:p>
    <w:p w14:paraId="5B6C62D7" w14:textId="5D7F05F7" w:rsidR="00CB3193" w:rsidRDefault="00F7704D" w:rsidP="00DE30DA">
      <w:pPr>
        <w:pStyle w:val="Department"/>
        <w:numPr>
          <w:ilvl w:val="0"/>
          <w:numId w:val="6"/>
        </w:numPr>
        <w:ind w:left="2945" w:hanging="785"/>
      </w:pPr>
      <w:r>
        <w:t>Recommendation including any recommendations relating to commencing salary (noting that approval from the H</w:t>
      </w:r>
      <w:r w:rsidR="004D5E95">
        <w:t>o</w:t>
      </w:r>
      <w:r>
        <w:t xml:space="preserve">SS </w:t>
      </w:r>
      <w:r w:rsidR="005A4BFF">
        <w:t xml:space="preserve">will </w:t>
      </w:r>
      <w:r>
        <w:t>be required</w:t>
      </w:r>
      <w:r w:rsidR="005A4BFF">
        <w:t xml:space="preserve"> for salary above the base</w:t>
      </w:r>
      <w:r>
        <w:t>)</w:t>
      </w:r>
      <w:r w:rsidR="00875AAA">
        <w:t>.</w:t>
      </w:r>
    </w:p>
    <w:p w14:paraId="19A31D7A" w14:textId="2B56B04C" w:rsidR="00F15122" w:rsidRDefault="004D5E95" w:rsidP="00DE30DA">
      <w:pPr>
        <w:pStyle w:val="Department"/>
        <w:numPr>
          <w:ilvl w:val="0"/>
          <w:numId w:val="6"/>
        </w:numPr>
        <w:ind w:left="2945" w:hanging="785"/>
      </w:pPr>
      <w:r>
        <w:t>(</w:t>
      </w:r>
      <w:r w:rsidR="00CB3193">
        <w:t xml:space="preserve">Dated) signatures of selection panel members </w:t>
      </w:r>
      <w:r w:rsidR="00F15122">
        <w:t>to approve the recommendation</w:t>
      </w:r>
      <w:r w:rsidR="009002D8">
        <w:t>.</w:t>
      </w:r>
    </w:p>
    <w:p w14:paraId="45F6C3F6" w14:textId="17692347" w:rsidR="00875AAA" w:rsidRDefault="00875AAA" w:rsidP="00DE30DA">
      <w:pPr>
        <w:pStyle w:val="Department"/>
        <w:numPr>
          <w:ilvl w:val="0"/>
          <w:numId w:val="6"/>
        </w:numPr>
        <w:ind w:left="2945" w:hanging="785"/>
      </w:pPr>
      <w:r>
        <w:lastRenderedPageBreak/>
        <w:t xml:space="preserve">Quality assurance clearance by HR </w:t>
      </w:r>
      <w:r w:rsidR="009C67B5">
        <w:t>(</w:t>
      </w:r>
      <w:r>
        <w:t xml:space="preserve">or moderation </w:t>
      </w:r>
      <w:r w:rsidR="009C67B5">
        <w:t xml:space="preserve">if </w:t>
      </w:r>
      <w:r>
        <w:t>undertaken</w:t>
      </w:r>
      <w:r w:rsidR="009C67B5">
        <w:t>)</w:t>
      </w:r>
      <w:r>
        <w:t xml:space="preserve"> during selection process</w:t>
      </w:r>
    </w:p>
    <w:p w14:paraId="308E7C07" w14:textId="2AF8D662" w:rsidR="00875AAA" w:rsidRDefault="00875AAA" w:rsidP="00DE30DA">
      <w:pPr>
        <w:pStyle w:val="Department"/>
        <w:numPr>
          <w:ilvl w:val="0"/>
          <w:numId w:val="6"/>
        </w:numPr>
        <w:ind w:left="2945" w:hanging="785"/>
      </w:pPr>
      <w:r>
        <w:t xml:space="preserve">(Dated) approval by </w:t>
      </w:r>
      <w:r w:rsidR="0030013C">
        <w:t>d</w:t>
      </w:r>
      <w:r>
        <w:t>elegate.</w:t>
      </w:r>
    </w:p>
    <w:p w14:paraId="379E9875" w14:textId="75C8D880" w:rsidR="00500A07" w:rsidRDefault="00F15122" w:rsidP="00DE30DA">
      <w:pPr>
        <w:pStyle w:val="Department"/>
        <w:numPr>
          <w:ilvl w:val="0"/>
          <w:numId w:val="6"/>
        </w:numPr>
        <w:ind w:left="1505" w:hanging="785"/>
      </w:pPr>
      <w:r w:rsidRPr="00F15122">
        <w:t xml:space="preserve">In approving a recommendation the </w:t>
      </w:r>
      <w:r w:rsidR="0030013C">
        <w:t>d</w:t>
      </w:r>
      <w:r w:rsidRPr="00F15122">
        <w:t>elegate is</w:t>
      </w:r>
      <w:r w:rsidR="00500A07">
        <w:t xml:space="preserve"> to:</w:t>
      </w:r>
    </w:p>
    <w:p w14:paraId="26966300" w14:textId="036C1373" w:rsidR="00500A07" w:rsidRDefault="00500A07" w:rsidP="00500A07">
      <w:pPr>
        <w:pStyle w:val="Department"/>
        <w:numPr>
          <w:ilvl w:val="1"/>
          <w:numId w:val="6"/>
        </w:numPr>
        <w:ind w:left="2345"/>
      </w:pPr>
      <w:r>
        <w:t xml:space="preserve">identify, document and manage any </w:t>
      </w:r>
      <w:r w:rsidR="009929EB">
        <w:t xml:space="preserve">of their own </w:t>
      </w:r>
      <w:r>
        <w:t xml:space="preserve">conflicts of interest; and </w:t>
      </w:r>
    </w:p>
    <w:p w14:paraId="2B337E71" w14:textId="78E2775C" w:rsidR="00AA5E48" w:rsidRDefault="00F15122" w:rsidP="00500A07">
      <w:pPr>
        <w:pStyle w:val="Department"/>
        <w:numPr>
          <w:ilvl w:val="1"/>
          <w:numId w:val="6"/>
        </w:numPr>
        <w:ind w:left="2345"/>
      </w:pPr>
      <w:proofErr w:type="gramStart"/>
      <w:r w:rsidRPr="00F15122">
        <w:t>be</w:t>
      </w:r>
      <w:proofErr w:type="gramEnd"/>
      <w:r w:rsidRPr="00F15122">
        <w:t xml:space="preserve"> satisfied that the process has been complete</w:t>
      </w:r>
      <w:r w:rsidR="009002D8">
        <w:t xml:space="preserve"> and </w:t>
      </w:r>
      <w:r w:rsidRPr="00F15122">
        <w:t xml:space="preserve">compliant, and that the recommendation is </w:t>
      </w:r>
      <w:r w:rsidR="00602692">
        <w:t>based on merit</w:t>
      </w:r>
      <w:r w:rsidRPr="00F15122">
        <w:t>.</w:t>
      </w:r>
    </w:p>
    <w:p w14:paraId="674E0A99" w14:textId="4CD93F04" w:rsidR="00A364CC" w:rsidRDefault="00A364CC" w:rsidP="00DE30DA">
      <w:pPr>
        <w:pStyle w:val="Department"/>
        <w:numPr>
          <w:ilvl w:val="0"/>
          <w:numId w:val="6"/>
        </w:numPr>
        <w:ind w:left="1505" w:hanging="785"/>
      </w:pPr>
      <w:r>
        <w:t>The selection report and applications are to be retained in the agency’s records management system, in accordance with that agency’s records disposal schedule.</w:t>
      </w:r>
    </w:p>
    <w:p w14:paraId="45536248" w14:textId="346D535C" w:rsidR="003B6C61" w:rsidRPr="00F15122" w:rsidRDefault="003B6C61" w:rsidP="00DE30DA">
      <w:pPr>
        <w:pStyle w:val="Department"/>
        <w:numPr>
          <w:ilvl w:val="0"/>
          <w:numId w:val="6"/>
        </w:numPr>
        <w:ind w:left="1505" w:hanging="785"/>
      </w:pPr>
      <w:r>
        <w:t>Where a selection report is for an office at SES level 3 or</w:t>
      </w:r>
      <w:r w:rsidR="003F1728">
        <w:t xml:space="preserve"> level</w:t>
      </w:r>
      <w:r>
        <w:t xml:space="preserve"> 4, the HoSS is the delegate for final approval and Cabinet notification cannot be finalised until this approval is received.</w:t>
      </w:r>
    </w:p>
    <w:p w14:paraId="5308993D" w14:textId="77777777" w:rsidR="00F15122" w:rsidRPr="00084AA1" w:rsidRDefault="00F15122" w:rsidP="00084AA1">
      <w:pPr>
        <w:pStyle w:val="Department"/>
        <w:rPr>
          <w:b/>
        </w:rPr>
      </w:pPr>
    </w:p>
    <w:p w14:paraId="7E258AA0" w14:textId="35380522" w:rsidR="00084AA1" w:rsidRPr="00084AA1" w:rsidRDefault="00084AA1" w:rsidP="00DE30DA">
      <w:pPr>
        <w:pStyle w:val="Department"/>
        <w:numPr>
          <w:ilvl w:val="0"/>
          <w:numId w:val="15"/>
        </w:numPr>
        <w:ind w:left="360"/>
        <w:rPr>
          <w:b/>
        </w:rPr>
      </w:pPr>
      <w:r w:rsidRPr="00084AA1">
        <w:rPr>
          <w:b/>
        </w:rPr>
        <w:t>APPOINTMENTS</w:t>
      </w:r>
    </w:p>
    <w:p w14:paraId="422D0A70" w14:textId="1273F293" w:rsidR="00084AA1" w:rsidRDefault="00084AA1" w:rsidP="00AA5E48">
      <w:pPr>
        <w:pStyle w:val="Department"/>
      </w:pPr>
      <w:r>
        <w:t>The following process must be used for all appointments</w:t>
      </w:r>
      <w:r w:rsidR="00875AAA">
        <w:t>, including consecutive appointments,</w:t>
      </w:r>
      <w:r>
        <w:t xml:space="preserve"> noting that:</w:t>
      </w:r>
    </w:p>
    <w:p w14:paraId="3BE08E20" w14:textId="045A0B95" w:rsidR="00084AA1" w:rsidRDefault="00084AA1" w:rsidP="003B6C61">
      <w:pPr>
        <w:pStyle w:val="Department"/>
        <w:numPr>
          <w:ilvl w:val="0"/>
          <w:numId w:val="17"/>
        </w:numPr>
      </w:pPr>
      <w:r>
        <w:t xml:space="preserve">For SES </w:t>
      </w:r>
      <w:r w:rsidR="003F1728">
        <w:t xml:space="preserve">level </w:t>
      </w:r>
      <w:r>
        <w:t>1 and</w:t>
      </w:r>
      <w:r w:rsidR="003F1728">
        <w:t xml:space="preserve"> level</w:t>
      </w:r>
      <w:r>
        <w:t xml:space="preserve"> 2</w:t>
      </w:r>
      <w:r w:rsidR="009C67B5">
        <w:t xml:space="preserve"> and equivalent specialists</w:t>
      </w:r>
      <w:r>
        <w:t xml:space="preserve"> –</w:t>
      </w:r>
      <w:r w:rsidR="003F1728">
        <w:t xml:space="preserve"> </w:t>
      </w:r>
      <w:r w:rsidR="0030013C">
        <w:t xml:space="preserve">a </w:t>
      </w:r>
      <w:proofErr w:type="spellStart"/>
      <w:r w:rsidR="0030013C">
        <w:t>HoA</w:t>
      </w:r>
      <w:proofErr w:type="spellEnd"/>
      <w:r w:rsidR="0030013C">
        <w:t xml:space="preserve"> </w:t>
      </w:r>
      <w:r>
        <w:t>has delegation to appoint</w:t>
      </w:r>
      <w:r w:rsidR="003F1728">
        <w:t>.</w:t>
      </w:r>
    </w:p>
    <w:p w14:paraId="64F889E6" w14:textId="1352343C" w:rsidR="00084AA1" w:rsidRDefault="00084AA1" w:rsidP="003B6C61">
      <w:pPr>
        <w:pStyle w:val="Department"/>
        <w:numPr>
          <w:ilvl w:val="0"/>
          <w:numId w:val="17"/>
        </w:numPr>
      </w:pPr>
      <w:r>
        <w:t xml:space="preserve">For SES </w:t>
      </w:r>
      <w:r w:rsidR="003F1728">
        <w:t xml:space="preserve">level </w:t>
      </w:r>
      <w:r w:rsidR="005A4BFF">
        <w:t>3</w:t>
      </w:r>
      <w:r>
        <w:t xml:space="preserve"> and </w:t>
      </w:r>
      <w:r w:rsidR="003F1728">
        <w:t xml:space="preserve">level </w:t>
      </w:r>
      <w:r w:rsidR="005A4BFF">
        <w:t xml:space="preserve">4 </w:t>
      </w:r>
      <w:r>
        <w:t xml:space="preserve">– Only the </w:t>
      </w:r>
      <w:r w:rsidR="0030013C">
        <w:t xml:space="preserve">HoSS </w:t>
      </w:r>
      <w:r>
        <w:t xml:space="preserve">can </w:t>
      </w:r>
      <w:r w:rsidR="005A4BFF">
        <w:t xml:space="preserve">sign </w:t>
      </w:r>
      <w:r w:rsidR="003B6C61">
        <w:t>an I</w:t>
      </w:r>
      <w:r w:rsidR="005A4BFF">
        <w:t xml:space="preserve">nstrument of </w:t>
      </w:r>
      <w:r w:rsidR="003B6C61">
        <w:t>A</w:t>
      </w:r>
      <w:r>
        <w:t>ppoint</w:t>
      </w:r>
      <w:r w:rsidR="005A4BFF">
        <w:t xml:space="preserve">ment. </w:t>
      </w:r>
      <w:r w:rsidR="003B6C61">
        <w:t>The selection report must be approved</w:t>
      </w:r>
      <w:r w:rsidR="0030013C">
        <w:t xml:space="preserve"> by the HoSS</w:t>
      </w:r>
      <w:r w:rsidR="00C50109">
        <w:t xml:space="preserve"> before any offer is made to the applicant</w:t>
      </w:r>
      <w:r w:rsidR="003B6C61">
        <w:t>.</w:t>
      </w:r>
    </w:p>
    <w:p w14:paraId="30324E9C" w14:textId="2F3BB4D2" w:rsidR="00084AA1" w:rsidRDefault="00084AA1" w:rsidP="00AA5E48">
      <w:pPr>
        <w:pStyle w:val="Department"/>
      </w:pPr>
      <w:r>
        <w:t xml:space="preserve">The following steps are </w:t>
      </w:r>
      <w:r w:rsidR="003B6C61">
        <w:t xml:space="preserve">then </w:t>
      </w:r>
      <w:r>
        <w:t>to apply:</w:t>
      </w:r>
    </w:p>
    <w:p w14:paraId="4F551365" w14:textId="0E26A900" w:rsidR="00C50109" w:rsidRDefault="00C50109" w:rsidP="00DE30DA">
      <w:pPr>
        <w:pStyle w:val="Department"/>
        <w:numPr>
          <w:ilvl w:val="0"/>
          <w:numId w:val="6"/>
        </w:numPr>
        <w:ind w:left="1276" w:hanging="785"/>
      </w:pPr>
      <w:r>
        <w:t xml:space="preserve">Cabinet </w:t>
      </w:r>
      <w:r w:rsidR="003B6C61">
        <w:t xml:space="preserve">is </w:t>
      </w:r>
      <w:r>
        <w:t>notified</w:t>
      </w:r>
      <w:r w:rsidR="003B6C61">
        <w:t xml:space="preserve"> </w:t>
      </w:r>
      <w:r w:rsidR="00875AAA">
        <w:t xml:space="preserve">of the intention of the delegate to appoint </w:t>
      </w:r>
      <w:r w:rsidR="003B6C61">
        <w:t xml:space="preserve">– this notification comes from the employing agency. </w:t>
      </w:r>
    </w:p>
    <w:p w14:paraId="0B32DCE2" w14:textId="7F55218D" w:rsidR="00084AA1" w:rsidRDefault="00084AA1" w:rsidP="00DE30DA">
      <w:pPr>
        <w:pStyle w:val="Department"/>
        <w:numPr>
          <w:ilvl w:val="0"/>
          <w:numId w:val="6"/>
        </w:numPr>
        <w:ind w:left="1276" w:hanging="785"/>
      </w:pPr>
      <w:r>
        <w:t>Successful applicants must start of the base salary level unless otherwise approved by the</w:t>
      </w:r>
      <w:r w:rsidR="0030013C">
        <w:t xml:space="preserve"> HoSS</w:t>
      </w:r>
      <w:r>
        <w:t>. Requests for applicants to start above the base</w:t>
      </w:r>
      <w:r w:rsidR="009929EB">
        <w:t xml:space="preserve"> or to apply a </w:t>
      </w:r>
      <w:r w:rsidR="00C50109">
        <w:t>market allowance</w:t>
      </w:r>
      <w:r>
        <w:t xml:space="preserve"> </w:t>
      </w:r>
      <w:r w:rsidR="00C50109">
        <w:t xml:space="preserve">must be directed to the </w:t>
      </w:r>
      <w:r w:rsidR="009929EB">
        <w:t>HoSS</w:t>
      </w:r>
      <w:r w:rsidR="00C50109">
        <w:t xml:space="preserve"> via the SSMO.  </w:t>
      </w:r>
    </w:p>
    <w:p w14:paraId="4987C9BE" w14:textId="2C1859B7" w:rsidR="003B6C61" w:rsidRDefault="00C50109" w:rsidP="00DE30DA">
      <w:pPr>
        <w:pStyle w:val="Department"/>
        <w:numPr>
          <w:ilvl w:val="0"/>
          <w:numId w:val="6"/>
        </w:numPr>
        <w:ind w:left="1276" w:hanging="785"/>
      </w:pPr>
      <w:r>
        <w:t xml:space="preserve">The current </w:t>
      </w:r>
      <w:r w:rsidR="005A4BFF">
        <w:t xml:space="preserve">approved </w:t>
      </w:r>
      <w:r w:rsidR="003B6C61">
        <w:t>Instrument of A</w:t>
      </w:r>
      <w:r>
        <w:t>ppointment must be used</w:t>
      </w:r>
      <w:r w:rsidR="003B6C61">
        <w:t xml:space="preserve">, and for SES </w:t>
      </w:r>
      <w:r w:rsidR="003F1728">
        <w:t xml:space="preserve">level </w:t>
      </w:r>
      <w:r w:rsidR="003B6C61">
        <w:t xml:space="preserve">3 or </w:t>
      </w:r>
      <w:r w:rsidR="003F1728">
        <w:t>level </w:t>
      </w:r>
      <w:r w:rsidR="003B6C61">
        <w:t>4 appointments, the HoSS must sign on behalf of the Crown</w:t>
      </w:r>
      <w:r w:rsidR="009C67B5">
        <w:t xml:space="preserve"> as above</w:t>
      </w:r>
      <w:r w:rsidR="003B6C61">
        <w:t>.  Requests for signatu</w:t>
      </w:r>
      <w:r w:rsidR="00610934">
        <w:t xml:space="preserve">re should be forwarded via SSMO </w:t>
      </w:r>
      <w:r w:rsidR="00610934" w:rsidRPr="009929EB">
        <w:rPr>
          <w:color w:val="auto"/>
        </w:rPr>
        <w:t xml:space="preserve">and include </w:t>
      </w:r>
      <w:r w:rsidR="0030013C">
        <w:rPr>
          <w:color w:val="auto"/>
        </w:rPr>
        <w:t xml:space="preserve">the </w:t>
      </w:r>
      <w:r w:rsidR="00610934" w:rsidRPr="009929EB">
        <w:rPr>
          <w:color w:val="auto"/>
        </w:rPr>
        <w:t xml:space="preserve">date </w:t>
      </w:r>
      <w:r w:rsidR="0030013C">
        <w:rPr>
          <w:color w:val="auto"/>
        </w:rPr>
        <w:t xml:space="preserve">the appointment was noted by </w:t>
      </w:r>
      <w:r w:rsidR="00610934" w:rsidRPr="009929EB">
        <w:rPr>
          <w:color w:val="auto"/>
        </w:rPr>
        <w:t>Cabinet.</w:t>
      </w:r>
    </w:p>
    <w:p w14:paraId="74F44344" w14:textId="6226CC63" w:rsidR="00C50109" w:rsidRDefault="00C50109" w:rsidP="00DE30DA">
      <w:pPr>
        <w:pStyle w:val="Department"/>
        <w:numPr>
          <w:ilvl w:val="0"/>
          <w:numId w:val="6"/>
        </w:numPr>
        <w:ind w:left="1276" w:hanging="785"/>
      </w:pPr>
      <w:r>
        <w:t xml:space="preserve">Where an agency proposes a change to </w:t>
      </w:r>
      <w:r w:rsidR="003B6C61">
        <w:t>an I</w:t>
      </w:r>
      <w:r>
        <w:t>nstrument, this must be done through the Soli</w:t>
      </w:r>
      <w:r w:rsidR="003B6C61">
        <w:t>citor-General’s Office via SSMO and provide reasons for the proposed change.</w:t>
      </w:r>
    </w:p>
    <w:p w14:paraId="7090D5EE" w14:textId="570FD066" w:rsidR="009929EB" w:rsidRDefault="00084AA1" w:rsidP="00DE30DA">
      <w:pPr>
        <w:pStyle w:val="Department"/>
        <w:numPr>
          <w:ilvl w:val="0"/>
          <w:numId w:val="6"/>
        </w:numPr>
        <w:ind w:left="1276" w:hanging="785"/>
      </w:pPr>
      <w:r>
        <w:t>Appointments must be notified in the staff movements section of the Gazette</w:t>
      </w:r>
      <w:r w:rsidR="003B6C61">
        <w:t xml:space="preserve"> within </w:t>
      </w:r>
      <w:r w:rsidR="0030013C">
        <w:t>three</w:t>
      </w:r>
      <w:r w:rsidR="003F1728">
        <w:t> </w:t>
      </w:r>
      <w:r w:rsidR="003B6C61">
        <w:t>months of appointment.</w:t>
      </w:r>
    </w:p>
    <w:p w14:paraId="097EA9E2" w14:textId="77777777" w:rsidR="009929EB" w:rsidRDefault="009929EB">
      <w:pPr>
        <w:spacing w:before="0" w:after="0" w:line="240" w:lineRule="auto"/>
      </w:pPr>
      <w:r>
        <w:br w:type="page"/>
      </w:r>
    </w:p>
    <w:p w14:paraId="12ED47FD" w14:textId="77777777" w:rsidR="00084AA1" w:rsidRDefault="00084AA1" w:rsidP="00AA5E48">
      <w:pPr>
        <w:pStyle w:val="Department"/>
      </w:pPr>
    </w:p>
    <w:p w14:paraId="4D4FE3B9" w14:textId="136DE7AA" w:rsidR="00BF6715" w:rsidRPr="00D81B1D" w:rsidRDefault="00711854" w:rsidP="00610934">
      <w:pPr>
        <w:pStyle w:val="Department"/>
        <w:numPr>
          <w:ilvl w:val="0"/>
          <w:numId w:val="15"/>
        </w:numPr>
        <w:ind w:left="360"/>
        <w:rPr>
          <w:b/>
        </w:rPr>
      </w:pPr>
      <w:r>
        <w:rPr>
          <w:b/>
        </w:rPr>
        <w:t>CONSECUTIVE APPOINTMENTS</w:t>
      </w:r>
    </w:p>
    <w:p w14:paraId="0CE0185C" w14:textId="57F01F1E" w:rsidR="00BF6715" w:rsidRDefault="00BF6715" w:rsidP="00BF6715">
      <w:r>
        <w:t xml:space="preserve">The </w:t>
      </w:r>
      <w:proofErr w:type="spellStart"/>
      <w:r w:rsidR="009929EB">
        <w:t>HoA</w:t>
      </w:r>
      <w:proofErr w:type="spellEnd"/>
      <w:r>
        <w:t xml:space="preserve"> must consider ongoing arrangements for </w:t>
      </w:r>
      <w:r w:rsidR="009929EB">
        <w:t xml:space="preserve">an </w:t>
      </w:r>
      <w:r w:rsidR="008F3CD4">
        <w:t>o</w:t>
      </w:r>
      <w:r w:rsidR="009929EB">
        <w:t>ffice</w:t>
      </w:r>
      <w:r>
        <w:t xml:space="preserve"> and the appointed officer </w:t>
      </w:r>
      <w:r w:rsidR="002B3866" w:rsidRPr="003E79BC">
        <w:rPr>
          <w:i/>
        </w:rPr>
        <w:t>prior</w:t>
      </w:r>
      <w:r w:rsidR="002B3866">
        <w:t xml:space="preserve"> to the notification period for consecutive appointment. </w:t>
      </w:r>
      <w:r w:rsidR="005F621E">
        <w:t xml:space="preserve">These considerations should be around whether the </w:t>
      </w:r>
      <w:r w:rsidR="008F3CD4">
        <w:t>o</w:t>
      </w:r>
      <w:r w:rsidR="005F621E">
        <w:t xml:space="preserve">ffice is still required in its current form, whether changes around the </w:t>
      </w:r>
      <w:r w:rsidR="008F3CD4">
        <w:t>o</w:t>
      </w:r>
      <w:r w:rsidR="005F621E">
        <w:t>ffice mean it should most appropriately be reclassified and whether the officer would benefit from mobility</w:t>
      </w:r>
      <w:r w:rsidR="009929EB">
        <w:t>, taking performance into account</w:t>
      </w:r>
      <w:r w:rsidR="005F621E">
        <w:t>. The outcome of these deliberations would then inform whether or not an appointment will be offered</w:t>
      </w:r>
      <w:r w:rsidR="00EE4791">
        <w:t>,</w:t>
      </w:r>
      <w:r w:rsidR="005F621E">
        <w:t xml:space="preserve"> in the required timeframe (six to three months prior to the expiration of an Instrument of Appointment)</w:t>
      </w:r>
      <w:r w:rsidR="003F1728">
        <w:t>.</w:t>
      </w:r>
    </w:p>
    <w:p w14:paraId="0C134755" w14:textId="77777777" w:rsidR="00BF6715" w:rsidRDefault="00BF6715" w:rsidP="00BF6715">
      <w:r>
        <w:t>This should consist of (at a minimum):</w:t>
      </w:r>
    </w:p>
    <w:p w14:paraId="5AA44D69" w14:textId="680F5448" w:rsidR="00BF6715" w:rsidRDefault="00BF6715" w:rsidP="00DE30DA">
      <w:pPr>
        <w:pStyle w:val="Department"/>
        <w:numPr>
          <w:ilvl w:val="0"/>
          <w:numId w:val="6"/>
        </w:numPr>
        <w:ind w:left="1276" w:hanging="785"/>
      </w:pPr>
      <w:r>
        <w:t xml:space="preserve">Review the </w:t>
      </w:r>
      <w:r w:rsidR="0030013C">
        <w:t xml:space="preserve">SOD </w:t>
      </w:r>
      <w:r>
        <w:t xml:space="preserve">and incorporate any changes required, particularly where other </w:t>
      </w:r>
      <w:r w:rsidR="0030013C">
        <w:t>SES </w:t>
      </w:r>
      <w:r>
        <w:t xml:space="preserve">offices </w:t>
      </w:r>
      <w:r w:rsidR="00610934">
        <w:t xml:space="preserve">or senior positions </w:t>
      </w:r>
      <w:r>
        <w:t xml:space="preserve">that affect the work of the </w:t>
      </w:r>
      <w:r w:rsidR="003F1728">
        <w:t>O</w:t>
      </w:r>
      <w:r>
        <w:t>ffice may have been reclassified.</w:t>
      </w:r>
    </w:p>
    <w:p w14:paraId="6C3AA48F" w14:textId="2F214991" w:rsidR="00BF6715" w:rsidRDefault="00BF6715" w:rsidP="00DE30DA">
      <w:pPr>
        <w:pStyle w:val="Department"/>
        <w:numPr>
          <w:ilvl w:val="0"/>
          <w:numId w:val="6"/>
        </w:numPr>
        <w:ind w:left="1276" w:hanging="785"/>
      </w:pPr>
      <w:r>
        <w:t>If there are to be no changes to the S</w:t>
      </w:r>
      <w:r w:rsidR="003F1728">
        <w:t>O</w:t>
      </w:r>
      <w:r>
        <w:t>D, briefly document how this was confirmed (no changes in the structure, outcomes still current), with a Minute/File Note to be signed off by the</w:t>
      </w:r>
      <w:r w:rsidR="0030013C">
        <w:t xml:space="preserve"> </w:t>
      </w:r>
      <w:proofErr w:type="spellStart"/>
      <w:r w:rsidR="0030013C">
        <w:t>HoA</w:t>
      </w:r>
      <w:proofErr w:type="spellEnd"/>
      <w:r>
        <w:t>.</w:t>
      </w:r>
    </w:p>
    <w:p w14:paraId="20C805FA" w14:textId="433BF3E6" w:rsidR="00BF6715" w:rsidRDefault="00BF6715" w:rsidP="00DE30DA">
      <w:pPr>
        <w:pStyle w:val="Department"/>
        <w:numPr>
          <w:ilvl w:val="0"/>
          <w:numId w:val="6"/>
        </w:numPr>
        <w:ind w:left="1276" w:hanging="785"/>
      </w:pPr>
      <w:r>
        <w:t xml:space="preserve">Considering whether the officer would benefit from a mobility opportunity and raise where appropriate at the next Heads of Agency </w:t>
      </w:r>
      <w:r w:rsidR="0030013C">
        <w:t xml:space="preserve">Group </w:t>
      </w:r>
      <w:r>
        <w:t xml:space="preserve">meeting (or, for Authorities who do not attend that meeting, raise with the </w:t>
      </w:r>
      <w:r w:rsidR="009929EB">
        <w:t>HoSS</w:t>
      </w:r>
      <w:r>
        <w:t xml:space="preserve"> as soon as possible).</w:t>
      </w:r>
    </w:p>
    <w:p w14:paraId="3499FD65" w14:textId="2DE7CB02" w:rsidR="00BF6715" w:rsidRDefault="00BF6715" w:rsidP="00DE30DA">
      <w:pPr>
        <w:pStyle w:val="Department"/>
        <w:numPr>
          <w:ilvl w:val="0"/>
          <w:numId w:val="6"/>
        </w:numPr>
        <w:ind w:left="1276" w:hanging="785"/>
      </w:pPr>
      <w:r>
        <w:t>If there are changes to the S</w:t>
      </w:r>
      <w:r w:rsidR="0030013C">
        <w:t>O</w:t>
      </w:r>
      <w:r>
        <w:t xml:space="preserve">D, provide a </w:t>
      </w:r>
      <w:r w:rsidR="005A4BFF">
        <w:t xml:space="preserve">new </w:t>
      </w:r>
      <w:r>
        <w:t>Mercer</w:t>
      </w:r>
      <w:r w:rsidR="005A4BFF">
        <w:t xml:space="preserve"> </w:t>
      </w:r>
      <w:r w:rsidR="0030013C">
        <w:t>A</w:t>
      </w:r>
      <w:r w:rsidR="005A4BFF">
        <w:t>ssessment</w:t>
      </w:r>
      <w:r>
        <w:t xml:space="preserve">, organisational chart and other supporting information to SSMO so a classification can be determined </w:t>
      </w:r>
      <w:r w:rsidR="00610934">
        <w:t>before</w:t>
      </w:r>
      <w:r>
        <w:t xml:space="preserve"> the officer nee</w:t>
      </w:r>
      <w:r w:rsidR="00610934">
        <w:t>ds to be advised of the offer</w:t>
      </w:r>
      <w:r w:rsidR="009929EB">
        <w:t xml:space="preserve"> </w:t>
      </w:r>
      <w:r>
        <w:t>(or otherwise) of a consecutive appointment.</w:t>
      </w:r>
    </w:p>
    <w:p w14:paraId="129AE0AA" w14:textId="09E81815" w:rsidR="00BF6715" w:rsidRDefault="00BF6715" w:rsidP="00DE30DA">
      <w:pPr>
        <w:pStyle w:val="Department"/>
        <w:numPr>
          <w:ilvl w:val="0"/>
          <w:numId w:val="6"/>
        </w:numPr>
        <w:ind w:left="1276" w:hanging="785"/>
      </w:pPr>
      <w:r>
        <w:t xml:space="preserve">If SSMO determines there is no change to classification, the </w:t>
      </w:r>
      <w:r w:rsidR="002B3866">
        <w:t xml:space="preserve">relevant delegate may offer the officer </w:t>
      </w:r>
      <w:r>
        <w:t>a consecutive appointment under th</w:t>
      </w:r>
      <w:r w:rsidR="002B3866">
        <w:t>e terms of their Instrument and ED 17</w:t>
      </w:r>
      <w:r w:rsidR="009929EB">
        <w:t>.</w:t>
      </w:r>
    </w:p>
    <w:p w14:paraId="5AA98C7C" w14:textId="2B0FF95F" w:rsidR="00BF6715" w:rsidRDefault="00BF6715" w:rsidP="00DE30DA">
      <w:pPr>
        <w:pStyle w:val="Department"/>
        <w:numPr>
          <w:ilvl w:val="0"/>
          <w:numId w:val="6"/>
        </w:numPr>
        <w:ind w:left="1276" w:hanging="785"/>
      </w:pPr>
      <w:r>
        <w:t xml:space="preserve">If the </w:t>
      </w:r>
      <w:r w:rsidR="003F1728">
        <w:t>O</w:t>
      </w:r>
      <w:r>
        <w:t>ffice is reclassified (up or down the SES scale), the officer is to be made available for all possible mobility opportunities as a ‘surplus’ of</w:t>
      </w:r>
      <w:r w:rsidR="00610934">
        <w:t>ficer.</w:t>
      </w:r>
    </w:p>
    <w:p w14:paraId="6F3D9A13" w14:textId="6523489C" w:rsidR="00BF6715" w:rsidRPr="00AD5C87" w:rsidRDefault="00BF6715" w:rsidP="00610934">
      <w:pPr>
        <w:pStyle w:val="Department"/>
        <w:numPr>
          <w:ilvl w:val="0"/>
          <w:numId w:val="15"/>
        </w:numPr>
        <w:ind w:left="360"/>
        <w:rPr>
          <w:b/>
        </w:rPr>
      </w:pPr>
      <w:r w:rsidRPr="00AD5C87">
        <w:rPr>
          <w:b/>
        </w:rPr>
        <w:t>OFFICE RECLASSIFIED DURING OFFI</w:t>
      </w:r>
      <w:r w:rsidR="00610934">
        <w:rPr>
          <w:b/>
        </w:rPr>
        <w:t>CER’S INSTRUMENT OF APPOINTMENT</w:t>
      </w:r>
    </w:p>
    <w:p w14:paraId="294CBBBF" w14:textId="1EDE861C" w:rsidR="00BF6715" w:rsidRPr="00956A16" w:rsidRDefault="009C67B5" w:rsidP="009C67B5">
      <w:r>
        <w:t xml:space="preserve">There may be some circumstances where </w:t>
      </w:r>
      <w:r w:rsidR="009002D8" w:rsidRPr="00956A16">
        <w:t xml:space="preserve">an </w:t>
      </w:r>
      <w:r w:rsidR="008F3CD4">
        <w:t>o</w:t>
      </w:r>
      <w:r w:rsidR="009002D8" w:rsidRPr="00956A16">
        <w:t xml:space="preserve">ffice </w:t>
      </w:r>
      <w:r>
        <w:t>needs to be</w:t>
      </w:r>
      <w:r w:rsidR="009002D8" w:rsidRPr="00956A16">
        <w:t xml:space="preserve"> reclassified part way through an </w:t>
      </w:r>
      <w:r w:rsidR="009929EB">
        <w:t>o</w:t>
      </w:r>
      <w:r w:rsidR="009002D8" w:rsidRPr="00956A16">
        <w:t>fficer</w:t>
      </w:r>
      <w:r w:rsidR="00610934">
        <w:t>’</w:t>
      </w:r>
      <w:r w:rsidR="009002D8" w:rsidRPr="00956A16">
        <w:t xml:space="preserve">s Instrument of Appointment. </w:t>
      </w:r>
      <w:r w:rsidR="002B3866">
        <w:t>The request for change of classification will require a Mercer Assessment (</w:t>
      </w:r>
      <w:r w:rsidR="0030013C">
        <w:t xml:space="preserve">refer to </w:t>
      </w:r>
      <w:r w:rsidR="002B3866">
        <w:t xml:space="preserve">Attachment </w:t>
      </w:r>
      <w:r w:rsidR="0030013C">
        <w:t>1</w:t>
      </w:r>
      <w:r w:rsidR="002B3866">
        <w:t xml:space="preserve">) and be supported by a business case and documentation in accordance with Section 2 of these </w:t>
      </w:r>
      <w:r w:rsidR="0030013C">
        <w:t>G</w:t>
      </w:r>
      <w:r w:rsidR="002B3866">
        <w:t>uidelines.</w:t>
      </w:r>
      <w:r w:rsidRPr="009C67B5">
        <w:t xml:space="preserve"> </w:t>
      </w:r>
      <w:r>
        <w:t xml:space="preserve">If the </w:t>
      </w:r>
      <w:proofErr w:type="spellStart"/>
      <w:r w:rsidR="0030013C">
        <w:t>HoA</w:t>
      </w:r>
      <w:proofErr w:type="spellEnd"/>
      <w:r w:rsidR="0030013C">
        <w:t xml:space="preserve"> </w:t>
      </w:r>
      <w:r w:rsidR="009929EB">
        <w:t>intends for the appointed officer</w:t>
      </w:r>
      <w:r>
        <w:t xml:space="preserve"> to perform the higher classified duties, t</w:t>
      </w:r>
      <w:r w:rsidRPr="00956A16">
        <w:t xml:space="preserve">he </w:t>
      </w:r>
      <w:proofErr w:type="spellStart"/>
      <w:r w:rsidR="0030013C">
        <w:t>HoA</w:t>
      </w:r>
      <w:proofErr w:type="spellEnd"/>
      <w:r w:rsidR="0030013C">
        <w:t xml:space="preserve"> </w:t>
      </w:r>
      <w:r w:rsidRPr="00956A16">
        <w:t xml:space="preserve">must </w:t>
      </w:r>
      <w:r>
        <w:t>provide a documented</w:t>
      </w:r>
      <w:r w:rsidRPr="00956A16">
        <w:t xml:space="preserve"> rationale as to the benefit of having the appointed officer </w:t>
      </w:r>
      <w:r>
        <w:t>perform the reclassified duties</w:t>
      </w:r>
      <w:r w:rsidRPr="00956A16">
        <w:t xml:space="preserve"> for the remainder of their </w:t>
      </w:r>
      <w:r>
        <w:t>Instrument.</w:t>
      </w:r>
    </w:p>
    <w:p w14:paraId="7FCB5723" w14:textId="59CB966B" w:rsidR="00BF6715" w:rsidRDefault="00BF6715" w:rsidP="00BF6715">
      <w:r w:rsidRPr="00956A16">
        <w:t xml:space="preserve">Should this not be sufficiently compelling, the </w:t>
      </w:r>
      <w:r w:rsidR="0030013C">
        <w:t xml:space="preserve">HoSS </w:t>
      </w:r>
      <w:r w:rsidRPr="00956A16">
        <w:t xml:space="preserve">may direct the </w:t>
      </w:r>
      <w:proofErr w:type="spellStart"/>
      <w:r w:rsidRPr="00956A16">
        <w:t>H</w:t>
      </w:r>
      <w:r w:rsidR="0030013C">
        <w:t>oA</w:t>
      </w:r>
      <w:proofErr w:type="spellEnd"/>
      <w:r w:rsidR="0030013C">
        <w:t xml:space="preserve"> </w:t>
      </w:r>
      <w:r w:rsidRPr="00956A16">
        <w:t xml:space="preserve">to advertise the reclassified </w:t>
      </w:r>
      <w:r w:rsidR="008F3CD4">
        <w:t>o</w:t>
      </w:r>
      <w:r w:rsidRPr="00956A16">
        <w:t>ffice, either through EOI or the jobs website, a</w:t>
      </w:r>
      <w:r>
        <w:t>nd it would then be the agency’s responsibility to find other duties for the existing officer should they not be the recommended applicant.</w:t>
      </w:r>
    </w:p>
    <w:p w14:paraId="3CD0789B" w14:textId="7F262DD7" w:rsidR="001824D9" w:rsidRDefault="001824D9">
      <w:pPr>
        <w:spacing w:before="0" w:after="0" w:line="240" w:lineRule="auto"/>
      </w:pPr>
      <w:r>
        <w:br w:type="page"/>
      </w:r>
    </w:p>
    <w:p w14:paraId="1C615BFB" w14:textId="7629CACF" w:rsidR="001824D9" w:rsidRPr="00540494" w:rsidRDefault="001824D9" w:rsidP="00AA5E48">
      <w:pPr>
        <w:pStyle w:val="Department"/>
        <w:rPr>
          <w:rFonts w:cstheme="minorHAnsi"/>
          <w:b/>
          <w:sz w:val="40"/>
          <w:szCs w:val="40"/>
        </w:rPr>
      </w:pPr>
      <w:r w:rsidRPr="001824D9">
        <w:rPr>
          <w:rFonts w:cstheme="minorHAnsi"/>
          <w:b/>
          <w:sz w:val="40"/>
          <w:szCs w:val="40"/>
        </w:rPr>
        <w:lastRenderedPageBreak/>
        <w:t xml:space="preserve">Attachment </w:t>
      </w:r>
      <w:r w:rsidR="00C93F73">
        <w:rPr>
          <w:rFonts w:cstheme="minorHAnsi"/>
          <w:b/>
          <w:sz w:val="40"/>
          <w:szCs w:val="40"/>
        </w:rPr>
        <w:t>1</w:t>
      </w:r>
      <w:r w:rsidRPr="001824D9">
        <w:rPr>
          <w:rFonts w:cstheme="minorHAnsi"/>
          <w:b/>
          <w:sz w:val="40"/>
          <w:szCs w:val="40"/>
        </w:rPr>
        <w:t xml:space="preserve">:  </w:t>
      </w:r>
      <w:r w:rsidR="00616987" w:rsidRPr="00616987">
        <w:rPr>
          <w:rFonts w:ascii="Gill Sans MT" w:eastAsia="Batang" w:hAnsi="Gill Sans MT"/>
          <w:b/>
          <w:sz w:val="40"/>
          <w:szCs w:val="36"/>
        </w:rPr>
        <w:t>Job Evaluation Record</w:t>
      </w:r>
      <w:r w:rsidR="00616987" w:rsidRPr="00616987">
        <w:rPr>
          <w:rFonts w:cstheme="minorHAnsi"/>
          <w:b/>
          <w:sz w:val="40"/>
          <w:szCs w:val="40"/>
        </w:rPr>
        <w:t xml:space="preserve"> (</w:t>
      </w:r>
      <w:r w:rsidRPr="00616987">
        <w:rPr>
          <w:rFonts w:cstheme="minorHAnsi"/>
          <w:b/>
          <w:sz w:val="40"/>
          <w:szCs w:val="40"/>
        </w:rPr>
        <w:t>Mercer</w:t>
      </w:r>
      <w:r w:rsidR="00616987">
        <w:rPr>
          <w:rFonts w:cstheme="minorHAnsi"/>
          <w:b/>
          <w:sz w:val="40"/>
          <w:szCs w:val="40"/>
        </w:rPr>
        <w:t>)</w:t>
      </w:r>
      <w:r w:rsidRPr="001824D9">
        <w:rPr>
          <w:rFonts w:cstheme="minorHAnsi"/>
          <w:b/>
          <w:sz w:val="40"/>
          <w:szCs w:val="40"/>
        </w:rPr>
        <w:t xml:space="preserve">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"/>
        <w:gridCol w:w="1414"/>
        <w:gridCol w:w="158"/>
        <w:gridCol w:w="2774"/>
        <w:gridCol w:w="1782"/>
        <w:gridCol w:w="480"/>
        <w:gridCol w:w="2488"/>
      </w:tblGrid>
      <w:tr w:rsidR="00540494" w:rsidRPr="00952500" w14:paraId="42369C73" w14:textId="77777777" w:rsidTr="00540494">
        <w:tc>
          <w:tcPr>
            <w:tcW w:w="2383" w:type="dxa"/>
            <w:gridSpan w:val="2"/>
            <w:shd w:val="clear" w:color="auto" w:fill="E6E6E6"/>
          </w:tcPr>
          <w:p w14:paraId="083ECA28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Cs w:val="22"/>
              </w:rPr>
            </w:pPr>
            <w:r w:rsidRPr="00952500">
              <w:rPr>
                <w:rFonts w:ascii="Gill Sans MT" w:eastAsia="Batang" w:hAnsi="Gill Sans MT"/>
                <w:szCs w:val="22"/>
              </w:rPr>
              <w:t>Position</w:t>
            </w:r>
          </w:p>
        </w:tc>
        <w:tc>
          <w:tcPr>
            <w:tcW w:w="7682" w:type="dxa"/>
            <w:gridSpan w:val="5"/>
          </w:tcPr>
          <w:p w14:paraId="6BDE1774" w14:textId="39A232D2" w:rsidR="00540494" w:rsidRPr="00952500" w:rsidRDefault="00540494" w:rsidP="00875AAA">
            <w:pPr>
              <w:tabs>
                <w:tab w:val="left" w:pos="5475"/>
              </w:tabs>
              <w:spacing w:after="120"/>
              <w:rPr>
                <w:rFonts w:ascii="Gill Sans MT" w:eastAsia="Batang" w:hAnsi="Gill Sans MT"/>
                <w:sz w:val="32"/>
                <w:szCs w:val="32"/>
              </w:rPr>
            </w:pPr>
          </w:p>
        </w:tc>
      </w:tr>
      <w:tr w:rsidR="00540494" w:rsidRPr="00952500" w14:paraId="6CD6254D" w14:textId="77777777" w:rsidTr="00540494">
        <w:tc>
          <w:tcPr>
            <w:tcW w:w="2383" w:type="dxa"/>
            <w:gridSpan w:val="2"/>
            <w:shd w:val="clear" w:color="auto" w:fill="E6E6E6"/>
          </w:tcPr>
          <w:p w14:paraId="441CC36A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Cs w:val="22"/>
              </w:rPr>
            </w:pPr>
            <w:r w:rsidRPr="00952500">
              <w:rPr>
                <w:rFonts w:ascii="Gill Sans MT" w:eastAsia="Batang" w:hAnsi="Gill Sans MT"/>
                <w:szCs w:val="22"/>
              </w:rPr>
              <w:t>Group / Business Unit</w:t>
            </w:r>
          </w:p>
        </w:tc>
        <w:tc>
          <w:tcPr>
            <w:tcW w:w="7682" w:type="dxa"/>
            <w:gridSpan w:val="5"/>
          </w:tcPr>
          <w:p w14:paraId="1E8198F8" w14:textId="16DCE6FC" w:rsidR="00540494" w:rsidRPr="00952500" w:rsidRDefault="00540494" w:rsidP="00875AAA">
            <w:pPr>
              <w:rPr>
                <w:rFonts w:ascii="Gill Sans MT" w:eastAsia="Batang" w:hAnsi="Gill Sans MT"/>
                <w:sz w:val="32"/>
                <w:szCs w:val="32"/>
              </w:rPr>
            </w:pPr>
          </w:p>
        </w:tc>
      </w:tr>
      <w:tr w:rsidR="00540494" w:rsidRPr="00952500" w14:paraId="0B25821C" w14:textId="77777777" w:rsidTr="00540494">
        <w:tc>
          <w:tcPr>
            <w:tcW w:w="2383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E61F88D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Cs w:val="22"/>
              </w:rPr>
            </w:pPr>
            <w:r w:rsidRPr="00952500">
              <w:rPr>
                <w:rFonts w:ascii="Gill Sans MT" w:eastAsia="Batang" w:hAnsi="Gill Sans MT"/>
                <w:szCs w:val="22"/>
              </w:rPr>
              <w:t>Organisation</w:t>
            </w:r>
          </w:p>
        </w:tc>
        <w:tc>
          <w:tcPr>
            <w:tcW w:w="7682" w:type="dxa"/>
            <w:gridSpan w:val="5"/>
            <w:tcBorders>
              <w:bottom w:val="single" w:sz="4" w:space="0" w:color="auto"/>
            </w:tcBorders>
          </w:tcPr>
          <w:p w14:paraId="3F89238C" w14:textId="3395FEF4" w:rsidR="00540494" w:rsidRPr="00952500" w:rsidRDefault="00540494" w:rsidP="00875AAA">
            <w:pPr>
              <w:spacing w:after="120"/>
              <w:rPr>
                <w:rFonts w:ascii="Gill Sans MT" w:eastAsia="Batang" w:hAnsi="Gill Sans MT"/>
                <w:sz w:val="32"/>
                <w:szCs w:val="32"/>
              </w:rPr>
            </w:pPr>
          </w:p>
        </w:tc>
      </w:tr>
      <w:tr w:rsidR="00540494" w:rsidRPr="00952500" w14:paraId="456DB424" w14:textId="77777777" w:rsidTr="00540494">
        <w:tc>
          <w:tcPr>
            <w:tcW w:w="7577" w:type="dxa"/>
            <w:gridSpan w:val="6"/>
            <w:shd w:val="clear" w:color="auto" w:fill="E6E6E6"/>
          </w:tcPr>
          <w:p w14:paraId="38FD3441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Cs w:val="22"/>
              </w:rPr>
            </w:pPr>
            <w:r w:rsidRPr="00952500">
              <w:rPr>
                <w:rFonts w:ascii="Gill Sans MT" w:eastAsia="Batang" w:hAnsi="Gill Sans MT"/>
                <w:szCs w:val="22"/>
              </w:rPr>
              <w:t>Commentary on Basis for Evaluation</w:t>
            </w:r>
          </w:p>
        </w:tc>
        <w:tc>
          <w:tcPr>
            <w:tcW w:w="2488" w:type="dxa"/>
            <w:shd w:val="clear" w:color="auto" w:fill="E6E6E6"/>
          </w:tcPr>
          <w:p w14:paraId="64CA7169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Cs w:val="22"/>
              </w:rPr>
            </w:pPr>
            <w:r w:rsidRPr="00952500">
              <w:rPr>
                <w:rFonts w:ascii="Gill Sans MT" w:eastAsia="Batang" w:hAnsi="Gill Sans MT"/>
                <w:szCs w:val="22"/>
              </w:rPr>
              <w:t>Evaluation</w:t>
            </w:r>
          </w:p>
        </w:tc>
      </w:tr>
      <w:tr w:rsidR="00540494" w:rsidRPr="00952500" w14:paraId="51D2B990" w14:textId="77777777" w:rsidTr="00540494">
        <w:tc>
          <w:tcPr>
            <w:tcW w:w="969" w:type="dxa"/>
            <w:vMerge w:val="restart"/>
            <w:shd w:val="clear" w:color="auto" w:fill="E6E6E6"/>
            <w:textDirection w:val="btLr"/>
          </w:tcPr>
          <w:p w14:paraId="1CA4B19B" w14:textId="77777777" w:rsidR="00540494" w:rsidRPr="00952500" w:rsidRDefault="00540494" w:rsidP="00875AAA">
            <w:pPr>
              <w:ind w:left="113" w:right="113"/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  <w:r w:rsidRPr="00952500">
              <w:rPr>
                <w:rFonts w:ascii="Gill Sans MT" w:eastAsia="Batang" w:hAnsi="Gill Sans MT"/>
                <w:sz w:val="20"/>
                <w:szCs w:val="20"/>
              </w:rPr>
              <w:t>EXPERTISE</w:t>
            </w:r>
          </w:p>
        </w:tc>
        <w:tc>
          <w:tcPr>
            <w:tcW w:w="1572" w:type="dxa"/>
            <w:gridSpan w:val="2"/>
          </w:tcPr>
          <w:p w14:paraId="753E49B1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  <w:r w:rsidRPr="00952500">
              <w:rPr>
                <w:rFonts w:ascii="Gill Sans MT" w:eastAsia="Batang" w:hAnsi="Gill Sans MT"/>
                <w:sz w:val="20"/>
                <w:szCs w:val="20"/>
              </w:rPr>
              <w:t>Knowledge &amp; Experience</w:t>
            </w:r>
          </w:p>
          <w:p w14:paraId="719E08F4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</w:p>
        </w:tc>
        <w:tc>
          <w:tcPr>
            <w:tcW w:w="5036" w:type="dxa"/>
            <w:gridSpan w:val="3"/>
          </w:tcPr>
          <w:p w14:paraId="2E51A1D3" w14:textId="5F6080CA" w:rsidR="00540494" w:rsidRPr="002468DE" w:rsidRDefault="00540494" w:rsidP="00DE30DA">
            <w:pPr>
              <w:numPr>
                <w:ilvl w:val="0"/>
                <w:numId w:val="10"/>
              </w:numPr>
              <w:tabs>
                <w:tab w:val="clear" w:pos="720"/>
                <w:tab w:val="num" w:pos="300"/>
              </w:tabs>
              <w:spacing w:before="0" w:after="0" w:line="240" w:lineRule="auto"/>
              <w:ind w:left="300" w:hanging="300"/>
              <w:jc w:val="both"/>
              <w:rPr>
                <w:rFonts w:ascii="Gill Sans MT" w:eastAsia="Batang" w:hAnsi="Gill Sans MT"/>
                <w:sz w:val="20"/>
                <w:szCs w:val="20"/>
              </w:rPr>
            </w:pPr>
          </w:p>
        </w:tc>
        <w:tc>
          <w:tcPr>
            <w:tcW w:w="2488" w:type="dxa"/>
          </w:tcPr>
          <w:p w14:paraId="0CB9DFFE" w14:textId="19E0B234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</w:tr>
      <w:tr w:rsidR="00540494" w:rsidRPr="00952500" w14:paraId="697536A4" w14:textId="77777777" w:rsidTr="00540494">
        <w:tc>
          <w:tcPr>
            <w:tcW w:w="969" w:type="dxa"/>
            <w:vMerge/>
            <w:shd w:val="clear" w:color="auto" w:fill="E6E6E6"/>
          </w:tcPr>
          <w:p w14:paraId="1C259C30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  <w:tc>
          <w:tcPr>
            <w:tcW w:w="1572" w:type="dxa"/>
            <w:gridSpan w:val="2"/>
          </w:tcPr>
          <w:p w14:paraId="69E58CDD" w14:textId="10D4CF0C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  <w:r w:rsidRPr="00952500">
              <w:rPr>
                <w:rFonts w:ascii="Gill Sans MT" w:eastAsia="Batang" w:hAnsi="Gill Sans MT"/>
                <w:sz w:val="20"/>
                <w:szCs w:val="20"/>
              </w:rPr>
              <w:t>Breadth</w:t>
            </w:r>
            <w:r w:rsidR="004F1F34">
              <w:rPr>
                <w:rFonts w:ascii="Gill Sans MT" w:eastAsia="Batang" w:hAnsi="Gill Sans MT"/>
                <w:sz w:val="20"/>
                <w:szCs w:val="20"/>
              </w:rPr>
              <w:br/>
            </w:r>
            <w:r w:rsidR="004F1F34" w:rsidRPr="004F1F34">
              <w:rPr>
                <w:rFonts w:ascii="Gill Sans MT" w:eastAsia="Batang" w:hAnsi="Gill Sans MT"/>
                <w:i/>
                <w:sz w:val="20"/>
                <w:szCs w:val="20"/>
              </w:rPr>
              <w:t>(Hierarchy rule)</w:t>
            </w:r>
          </w:p>
          <w:p w14:paraId="64CBC081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</w:p>
        </w:tc>
        <w:tc>
          <w:tcPr>
            <w:tcW w:w="5036" w:type="dxa"/>
            <w:gridSpan w:val="3"/>
          </w:tcPr>
          <w:p w14:paraId="20C8D8C4" w14:textId="1649FCAA" w:rsidR="00540494" w:rsidRPr="00952500" w:rsidRDefault="00540494" w:rsidP="00DE30DA">
            <w:pPr>
              <w:numPr>
                <w:ilvl w:val="0"/>
                <w:numId w:val="11"/>
              </w:numPr>
              <w:tabs>
                <w:tab w:val="clear" w:pos="720"/>
                <w:tab w:val="num" w:pos="300"/>
              </w:tabs>
              <w:spacing w:before="0" w:after="0" w:line="240" w:lineRule="auto"/>
              <w:ind w:left="300" w:hanging="300"/>
              <w:jc w:val="both"/>
              <w:rPr>
                <w:rFonts w:ascii="Gill Sans MT" w:eastAsia="Batang" w:hAnsi="Gill Sans MT"/>
                <w:sz w:val="20"/>
                <w:szCs w:val="20"/>
              </w:rPr>
            </w:pPr>
          </w:p>
        </w:tc>
        <w:tc>
          <w:tcPr>
            <w:tcW w:w="2488" w:type="dxa"/>
          </w:tcPr>
          <w:p w14:paraId="5430A6A0" w14:textId="4E93A061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</w:tr>
      <w:tr w:rsidR="00540494" w:rsidRPr="00952500" w14:paraId="1D6D9E72" w14:textId="77777777" w:rsidTr="00540494">
        <w:tc>
          <w:tcPr>
            <w:tcW w:w="969" w:type="dxa"/>
            <w:vMerge/>
            <w:shd w:val="clear" w:color="auto" w:fill="E6E6E6"/>
          </w:tcPr>
          <w:p w14:paraId="50BE2EB5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  <w:tc>
          <w:tcPr>
            <w:tcW w:w="1572" w:type="dxa"/>
            <w:gridSpan w:val="2"/>
          </w:tcPr>
          <w:p w14:paraId="2B12BCA2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  <w:r w:rsidRPr="00952500">
              <w:rPr>
                <w:rFonts w:ascii="Gill Sans MT" w:eastAsia="Batang" w:hAnsi="Gill Sans MT"/>
                <w:sz w:val="20"/>
                <w:szCs w:val="20"/>
              </w:rPr>
              <w:t>Interpersonal Skills</w:t>
            </w:r>
          </w:p>
          <w:p w14:paraId="08DB5564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</w:p>
        </w:tc>
        <w:tc>
          <w:tcPr>
            <w:tcW w:w="5036" w:type="dxa"/>
            <w:gridSpan w:val="3"/>
          </w:tcPr>
          <w:p w14:paraId="5EDFECD9" w14:textId="6DAD2C76" w:rsidR="00540494" w:rsidRPr="00952500" w:rsidRDefault="00540494" w:rsidP="00DE30DA">
            <w:pPr>
              <w:numPr>
                <w:ilvl w:val="0"/>
                <w:numId w:val="12"/>
              </w:numPr>
              <w:tabs>
                <w:tab w:val="clear" w:pos="720"/>
                <w:tab w:val="num" w:pos="300"/>
              </w:tabs>
              <w:spacing w:before="0" w:after="0" w:line="240" w:lineRule="auto"/>
              <w:ind w:left="300" w:hanging="300"/>
              <w:jc w:val="both"/>
              <w:rPr>
                <w:rFonts w:ascii="Gill Sans MT" w:eastAsia="Batang" w:hAnsi="Gill Sans MT"/>
                <w:sz w:val="20"/>
                <w:szCs w:val="20"/>
              </w:rPr>
            </w:pPr>
          </w:p>
        </w:tc>
        <w:tc>
          <w:tcPr>
            <w:tcW w:w="2488" w:type="dxa"/>
          </w:tcPr>
          <w:p w14:paraId="4F8E33FF" w14:textId="68CBF34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</w:tr>
      <w:tr w:rsidR="00540494" w:rsidRPr="00952500" w14:paraId="59768F72" w14:textId="77777777" w:rsidTr="00540494">
        <w:tc>
          <w:tcPr>
            <w:tcW w:w="969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116448F8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  <w:tc>
          <w:tcPr>
            <w:tcW w:w="6608" w:type="dxa"/>
            <w:gridSpan w:val="5"/>
          </w:tcPr>
          <w:p w14:paraId="4F50057E" w14:textId="77777777" w:rsidR="00540494" w:rsidRPr="00952500" w:rsidRDefault="00540494" w:rsidP="00875AAA">
            <w:pPr>
              <w:jc w:val="right"/>
              <w:rPr>
                <w:rFonts w:ascii="Gill Sans MT" w:eastAsia="Batang" w:hAnsi="Gill Sans MT"/>
                <w:b/>
                <w:sz w:val="20"/>
                <w:szCs w:val="20"/>
              </w:rPr>
            </w:pPr>
            <w:r w:rsidRPr="00952500">
              <w:rPr>
                <w:rFonts w:ascii="Gill Sans MT" w:eastAsia="Batang" w:hAnsi="Gill Sans MT"/>
                <w:b/>
                <w:sz w:val="20"/>
                <w:szCs w:val="20"/>
              </w:rPr>
              <w:t>EXPERTISE POINTS</w:t>
            </w:r>
          </w:p>
          <w:p w14:paraId="4BEFA3D7" w14:textId="77777777" w:rsidR="00540494" w:rsidRPr="00952500" w:rsidRDefault="00540494" w:rsidP="00875AAA">
            <w:pPr>
              <w:jc w:val="right"/>
              <w:rPr>
                <w:rFonts w:ascii="Gill Sans MT" w:eastAsia="Batang" w:hAnsi="Gill Sans MT"/>
                <w:b/>
                <w:sz w:val="20"/>
                <w:szCs w:val="20"/>
              </w:rPr>
            </w:pPr>
          </w:p>
          <w:p w14:paraId="436D4C9E" w14:textId="77777777" w:rsidR="00540494" w:rsidRPr="00952500" w:rsidRDefault="00540494" w:rsidP="00875AAA">
            <w:pPr>
              <w:jc w:val="right"/>
              <w:rPr>
                <w:rFonts w:ascii="Gill Sans MT" w:eastAsia="Batang" w:hAnsi="Gill Sans MT"/>
                <w:b/>
                <w:sz w:val="20"/>
                <w:szCs w:val="20"/>
              </w:rPr>
            </w:pPr>
          </w:p>
        </w:tc>
        <w:tc>
          <w:tcPr>
            <w:tcW w:w="248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16"/>
              <w:gridCol w:w="518"/>
              <w:gridCol w:w="558"/>
            </w:tblGrid>
            <w:tr w:rsidR="00540494" w:rsidRPr="00952500" w14:paraId="30EF735A" w14:textId="77777777" w:rsidTr="00875AAA">
              <w:tc>
                <w:tcPr>
                  <w:tcW w:w="447" w:type="dxa"/>
                </w:tcPr>
                <w:p w14:paraId="53211740" w14:textId="77777777" w:rsidR="00540494" w:rsidRPr="00952500" w:rsidRDefault="00540494" w:rsidP="00875AAA">
                  <w:pPr>
                    <w:jc w:val="center"/>
                    <w:rPr>
                      <w:rFonts w:ascii="Gill Sans MT" w:eastAsia="Batang" w:hAnsi="Gill Sans MT"/>
                      <w:sz w:val="20"/>
                      <w:szCs w:val="20"/>
                    </w:rPr>
                  </w:pPr>
                  <w:r w:rsidRPr="00952500">
                    <w:rPr>
                      <w:rFonts w:ascii="Gill Sans MT" w:eastAsia="Batang" w:hAnsi="Gill Sans MT"/>
                      <w:sz w:val="20"/>
                      <w:szCs w:val="20"/>
                    </w:rPr>
                    <w:t>Min</w:t>
                  </w:r>
                </w:p>
              </w:tc>
              <w:tc>
                <w:tcPr>
                  <w:tcW w:w="448" w:type="dxa"/>
                </w:tcPr>
                <w:p w14:paraId="3785C186" w14:textId="77777777" w:rsidR="00540494" w:rsidRPr="00B758A7" w:rsidRDefault="00540494" w:rsidP="00875AAA">
                  <w:pPr>
                    <w:jc w:val="center"/>
                    <w:rPr>
                      <w:rFonts w:ascii="Gill Sans MT" w:eastAsia="Batang" w:hAnsi="Gill Sans MT"/>
                      <w:sz w:val="20"/>
                      <w:szCs w:val="20"/>
                    </w:rPr>
                  </w:pPr>
                  <w:r w:rsidRPr="00B758A7">
                    <w:rPr>
                      <w:rFonts w:ascii="Gill Sans MT" w:eastAsia="Batang" w:hAnsi="Gill Sans MT"/>
                      <w:sz w:val="20"/>
                      <w:szCs w:val="20"/>
                    </w:rPr>
                    <w:t>Mid</w:t>
                  </w:r>
                </w:p>
              </w:tc>
              <w:tc>
                <w:tcPr>
                  <w:tcW w:w="448" w:type="dxa"/>
                </w:tcPr>
                <w:p w14:paraId="215E1244" w14:textId="77777777" w:rsidR="00540494" w:rsidRPr="007B1042" w:rsidRDefault="00540494" w:rsidP="00875AAA">
                  <w:pPr>
                    <w:jc w:val="center"/>
                    <w:rPr>
                      <w:rFonts w:ascii="Gill Sans MT" w:eastAsia="Batang" w:hAnsi="Gill Sans MT"/>
                      <w:sz w:val="20"/>
                      <w:szCs w:val="20"/>
                    </w:rPr>
                  </w:pPr>
                  <w:r w:rsidRPr="00540494">
                    <w:rPr>
                      <w:rFonts w:ascii="Gill Sans MT" w:eastAsia="Batang" w:hAnsi="Gill Sans MT"/>
                      <w:sz w:val="20"/>
                      <w:szCs w:val="20"/>
                    </w:rPr>
                    <w:t>Max</w:t>
                  </w:r>
                </w:p>
              </w:tc>
            </w:tr>
          </w:tbl>
          <w:p w14:paraId="6D290375" w14:textId="3B5C3DFF" w:rsidR="00540494" w:rsidRPr="004059A3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  <w:r>
              <w:rPr>
                <w:rFonts w:ascii="Gill Sans MT" w:eastAsia="Batang" w:hAnsi="Gill Sans MT"/>
                <w:sz w:val="36"/>
                <w:szCs w:val="36"/>
              </w:rPr>
              <w:t>TOTAL</w:t>
            </w:r>
          </w:p>
        </w:tc>
      </w:tr>
      <w:tr w:rsidR="00540494" w:rsidRPr="00952500" w14:paraId="28B93CB8" w14:textId="77777777" w:rsidTr="00540494">
        <w:tc>
          <w:tcPr>
            <w:tcW w:w="969" w:type="dxa"/>
            <w:vMerge w:val="restart"/>
            <w:shd w:val="clear" w:color="auto" w:fill="E6E6E6"/>
            <w:textDirection w:val="btLr"/>
          </w:tcPr>
          <w:p w14:paraId="3469F0A4" w14:textId="77777777" w:rsidR="00540494" w:rsidRPr="00952500" w:rsidRDefault="00540494" w:rsidP="00875AAA">
            <w:pPr>
              <w:ind w:left="113" w:right="113"/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  <w:r w:rsidRPr="00952500">
              <w:rPr>
                <w:rFonts w:ascii="Gill Sans MT" w:eastAsia="Batang" w:hAnsi="Gill Sans MT"/>
                <w:sz w:val="20"/>
                <w:szCs w:val="20"/>
              </w:rPr>
              <w:t>JUDGEMENT</w:t>
            </w:r>
          </w:p>
        </w:tc>
        <w:tc>
          <w:tcPr>
            <w:tcW w:w="1572" w:type="dxa"/>
            <w:gridSpan w:val="2"/>
          </w:tcPr>
          <w:p w14:paraId="5F419074" w14:textId="61F7FD21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  <w:r w:rsidRPr="00952500">
              <w:rPr>
                <w:rFonts w:ascii="Gill Sans MT" w:eastAsia="Batang" w:hAnsi="Gill Sans MT"/>
                <w:sz w:val="20"/>
                <w:szCs w:val="20"/>
              </w:rPr>
              <w:t>Job Environment</w:t>
            </w:r>
            <w:r w:rsidR="004F1F34">
              <w:rPr>
                <w:rFonts w:ascii="Gill Sans MT" w:eastAsia="Batang" w:hAnsi="Gill Sans MT"/>
                <w:sz w:val="20"/>
                <w:szCs w:val="20"/>
              </w:rPr>
              <w:br/>
            </w:r>
            <w:r w:rsidR="004F1F34" w:rsidRPr="004F1F34">
              <w:rPr>
                <w:rFonts w:ascii="Gill Sans MT" w:eastAsia="Batang" w:hAnsi="Gill Sans MT"/>
                <w:i/>
                <w:sz w:val="20"/>
                <w:szCs w:val="20"/>
              </w:rPr>
              <w:t>(Hierarchy rule)</w:t>
            </w:r>
          </w:p>
          <w:p w14:paraId="714F99EA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</w:p>
        </w:tc>
        <w:tc>
          <w:tcPr>
            <w:tcW w:w="5036" w:type="dxa"/>
            <w:gridSpan w:val="3"/>
          </w:tcPr>
          <w:p w14:paraId="3B6A5538" w14:textId="4CA77C32" w:rsidR="00540494" w:rsidRPr="00952500" w:rsidRDefault="00540494" w:rsidP="00DE30DA">
            <w:pPr>
              <w:numPr>
                <w:ilvl w:val="0"/>
                <w:numId w:val="12"/>
              </w:numPr>
              <w:tabs>
                <w:tab w:val="clear" w:pos="720"/>
                <w:tab w:val="num" w:pos="300"/>
              </w:tabs>
              <w:spacing w:before="0" w:after="0" w:line="240" w:lineRule="auto"/>
              <w:ind w:left="300" w:hanging="300"/>
              <w:jc w:val="both"/>
              <w:rPr>
                <w:rFonts w:ascii="Gill Sans MT" w:eastAsia="Batang" w:hAnsi="Gill Sans MT"/>
                <w:sz w:val="20"/>
                <w:szCs w:val="20"/>
              </w:rPr>
            </w:pPr>
          </w:p>
        </w:tc>
        <w:tc>
          <w:tcPr>
            <w:tcW w:w="2488" w:type="dxa"/>
          </w:tcPr>
          <w:p w14:paraId="79540E65" w14:textId="624E3B36" w:rsidR="00540494" w:rsidRPr="00284F32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</w:tr>
      <w:tr w:rsidR="00540494" w:rsidRPr="00952500" w14:paraId="4FB40D8D" w14:textId="77777777" w:rsidTr="00540494">
        <w:tc>
          <w:tcPr>
            <w:tcW w:w="969" w:type="dxa"/>
            <w:vMerge/>
            <w:shd w:val="clear" w:color="auto" w:fill="E6E6E6"/>
          </w:tcPr>
          <w:p w14:paraId="655B146A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  <w:tc>
          <w:tcPr>
            <w:tcW w:w="1572" w:type="dxa"/>
            <w:gridSpan w:val="2"/>
          </w:tcPr>
          <w:p w14:paraId="722B21D6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  <w:r w:rsidRPr="00952500">
              <w:rPr>
                <w:rFonts w:ascii="Gill Sans MT" w:eastAsia="Batang" w:hAnsi="Gill Sans MT"/>
                <w:sz w:val="20"/>
                <w:szCs w:val="20"/>
              </w:rPr>
              <w:t>Reasoning</w:t>
            </w:r>
          </w:p>
          <w:p w14:paraId="45336CF4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</w:p>
        </w:tc>
        <w:tc>
          <w:tcPr>
            <w:tcW w:w="5036" w:type="dxa"/>
            <w:gridSpan w:val="3"/>
          </w:tcPr>
          <w:p w14:paraId="3354BE10" w14:textId="77777777" w:rsidR="00540494" w:rsidRPr="00952500" w:rsidRDefault="00540494" w:rsidP="00DE30DA">
            <w:pPr>
              <w:numPr>
                <w:ilvl w:val="0"/>
                <w:numId w:val="12"/>
              </w:numPr>
              <w:tabs>
                <w:tab w:val="clear" w:pos="720"/>
                <w:tab w:val="num" w:pos="300"/>
              </w:tabs>
              <w:spacing w:before="0" w:after="0" w:line="240" w:lineRule="auto"/>
              <w:ind w:left="300" w:hanging="300"/>
              <w:jc w:val="both"/>
              <w:rPr>
                <w:rFonts w:ascii="Gill Sans MT" w:eastAsia="Batang" w:hAnsi="Gill Sans MT"/>
                <w:sz w:val="20"/>
                <w:szCs w:val="20"/>
              </w:rPr>
            </w:pPr>
          </w:p>
        </w:tc>
        <w:tc>
          <w:tcPr>
            <w:tcW w:w="2488" w:type="dxa"/>
          </w:tcPr>
          <w:p w14:paraId="550C30AC" w14:textId="7B7B69D7" w:rsidR="00540494" w:rsidRPr="00284F32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</w:tr>
      <w:tr w:rsidR="00540494" w:rsidRPr="00952500" w14:paraId="2B87E6CF" w14:textId="77777777" w:rsidTr="00540494">
        <w:tc>
          <w:tcPr>
            <w:tcW w:w="969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4978B69C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  <w:tc>
          <w:tcPr>
            <w:tcW w:w="6608" w:type="dxa"/>
            <w:gridSpan w:val="5"/>
          </w:tcPr>
          <w:p w14:paraId="37025717" w14:textId="77777777" w:rsidR="00540494" w:rsidRPr="00952500" w:rsidRDefault="00540494" w:rsidP="00875AAA">
            <w:pPr>
              <w:jc w:val="right"/>
              <w:rPr>
                <w:rFonts w:ascii="Gill Sans MT" w:eastAsia="Batang" w:hAnsi="Gill Sans MT"/>
                <w:b/>
                <w:sz w:val="20"/>
                <w:szCs w:val="20"/>
              </w:rPr>
            </w:pPr>
            <w:r w:rsidRPr="00952500">
              <w:rPr>
                <w:rFonts w:ascii="Gill Sans MT" w:eastAsia="Batang" w:hAnsi="Gill Sans MT"/>
                <w:b/>
                <w:sz w:val="20"/>
                <w:szCs w:val="20"/>
              </w:rPr>
              <w:t>JUDGEMENT POINTS</w:t>
            </w:r>
          </w:p>
        </w:tc>
        <w:tc>
          <w:tcPr>
            <w:tcW w:w="2488" w:type="dxa"/>
          </w:tcPr>
          <w:p w14:paraId="6FD3CDB7" w14:textId="1E707B1D" w:rsidR="00540494" w:rsidRPr="0033633B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  <w:r>
              <w:rPr>
                <w:rFonts w:ascii="Gill Sans MT" w:eastAsia="Batang" w:hAnsi="Gill Sans MT"/>
                <w:sz w:val="36"/>
                <w:szCs w:val="36"/>
              </w:rPr>
              <w:t>TOTAL</w:t>
            </w:r>
          </w:p>
        </w:tc>
      </w:tr>
      <w:tr w:rsidR="00540494" w:rsidRPr="00952500" w14:paraId="65A56E77" w14:textId="77777777" w:rsidTr="00540494">
        <w:trPr>
          <w:trHeight w:val="676"/>
        </w:trPr>
        <w:tc>
          <w:tcPr>
            <w:tcW w:w="969" w:type="dxa"/>
            <w:vMerge w:val="restart"/>
            <w:shd w:val="clear" w:color="auto" w:fill="E6E6E6"/>
            <w:textDirection w:val="btLr"/>
          </w:tcPr>
          <w:p w14:paraId="17AE5A75" w14:textId="77777777" w:rsidR="00540494" w:rsidRPr="00952500" w:rsidRDefault="00540494" w:rsidP="00875AAA">
            <w:pPr>
              <w:ind w:left="113" w:right="113"/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  <w:r w:rsidRPr="00952500">
              <w:rPr>
                <w:rFonts w:ascii="Gill Sans MT" w:eastAsia="Batang" w:hAnsi="Gill Sans MT"/>
                <w:sz w:val="20"/>
                <w:szCs w:val="20"/>
              </w:rPr>
              <w:lastRenderedPageBreak/>
              <w:t>ACCOUNTABILITY</w:t>
            </w:r>
          </w:p>
        </w:tc>
        <w:tc>
          <w:tcPr>
            <w:tcW w:w="1572" w:type="dxa"/>
            <w:gridSpan w:val="2"/>
          </w:tcPr>
          <w:p w14:paraId="16D10A61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  <w:r w:rsidRPr="00952500">
              <w:rPr>
                <w:rFonts w:ascii="Gill Sans MT" w:eastAsia="Batang" w:hAnsi="Gill Sans MT"/>
                <w:sz w:val="20"/>
                <w:szCs w:val="20"/>
              </w:rPr>
              <w:t>Independence &amp; Influence</w:t>
            </w:r>
          </w:p>
        </w:tc>
        <w:tc>
          <w:tcPr>
            <w:tcW w:w="5036" w:type="dxa"/>
            <w:gridSpan w:val="3"/>
          </w:tcPr>
          <w:p w14:paraId="37157A83" w14:textId="77777777" w:rsidR="00540494" w:rsidRPr="00952500" w:rsidRDefault="00540494" w:rsidP="00DE30DA">
            <w:pPr>
              <w:numPr>
                <w:ilvl w:val="0"/>
                <w:numId w:val="12"/>
              </w:numPr>
              <w:tabs>
                <w:tab w:val="clear" w:pos="720"/>
                <w:tab w:val="num" w:pos="300"/>
              </w:tabs>
              <w:spacing w:before="0" w:after="0" w:line="240" w:lineRule="auto"/>
              <w:ind w:left="300" w:hanging="300"/>
              <w:jc w:val="both"/>
              <w:rPr>
                <w:rFonts w:ascii="Gill Sans MT" w:eastAsia="Batang" w:hAnsi="Gill Sans MT"/>
                <w:sz w:val="20"/>
                <w:szCs w:val="20"/>
              </w:rPr>
            </w:pPr>
          </w:p>
        </w:tc>
        <w:tc>
          <w:tcPr>
            <w:tcW w:w="2488" w:type="dxa"/>
          </w:tcPr>
          <w:p w14:paraId="4E09B65A" w14:textId="57FEAA7A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</w:tr>
      <w:tr w:rsidR="00540494" w:rsidRPr="00952500" w14:paraId="2E8B87BB" w14:textId="77777777" w:rsidTr="00540494">
        <w:tc>
          <w:tcPr>
            <w:tcW w:w="969" w:type="dxa"/>
            <w:vMerge/>
            <w:shd w:val="clear" w:color="auto" w:fill="E6E6E6"/>
          </w:tcPr>
          <w:p w14:paraId="168BA7EB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  <w:tc>
          <w:tcPr>
            <w:tcW w:w="1572" w:type="dxa"/>
            <w:gridSpan w:val="2"/>
            <w:vMerge w:val="restart"/>
          </w:tcPr>
          <w:p w14:paraId="06B5B04D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</w:p>
          <w:p w14:paraId="033929DB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</w:p>
          <w:p w14:paraId="43076CA8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</w:p>
          <w:p w14:paraId="0EE0486C" w14:textId="3C1C1696" w:rsidR="004F1F34" w:rsidRPr="00952500" w:rsidRDefault="00540494" w:rsidP="004F1F34">
            <w:pPr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  <w:r w:rsidRPr="00952500">
              <w:rPr>
                <w:rFonts w:ascii="Gill Sans MT" w:eastAsia="Batang" w:hAnsi="Gill Sans MT"/>
                <w:sz w:val="20"/>
                <w:szCs w:val="20"/>
              </w:rPr>
              <w:t>Impact</w:t>
            </w:r>
            <w:r w:rsidR="004F1F34">
              <w:rPr>
                <w:rFonts w:ascii="Gill Sans MT" w:eastAsia="Batang" w:hAnsi="Gill Sans MT"/>
                <w:sz w:val="20"/>
                <w:szCs w:val="20"/>
              </w:rPr>
              <w:br/>
            </w:r>
            <w:r w:rsidR="004F1F34" w:rsidRPr="004F1F34">
              <w:rPr>
                <w:rFonts w:ascii="Gill Sans MT" w:eastAsia="Batang" w:hAnsi="Gill Sans MT"/>
                <w:i/>
                <w:sz w:val="20"/>
                <w:szCs w:val="20"/>
              </w:rPr>
              <w:t>(Hierarchy rule</w:t>
            </w:r>
            <w:r w:rsidR="004F1F34">
              <w:rPr>
                <w:rFonts w:ascii="Gill Sans MT" w:eastAsia="Batang" w:hAnsi="Gill Sans MT"/>
                <w:i/>
                <w:sz w:val="20"/>
                <w:szCs w:val="20"/>
              </w:rPr>
              <w:t xml:space="preserve"> if same type</w:t>
            </w:r>
            <w:r w:rsidR="004F1F34" w:rsidRPr="004F1F34">
              <w:rPr>
                <w:rFonts w:ascii="Gill Sans MT" w:eastAsia="Batang" w:hAnsi="Gill Sans MT"/>
                <w:i/>
                <w:sz w:val="20"/>
                <w:szCs w:val="20"/>
              </w:rPr>
              <w:t>)</w:t>
            </w:r>
          </w:p>
        </w:tc>
        <w:tc>
          <w:tcPr>
            <w:tcW w:w="2774" w:type="dxa"/>
          </w:tcPr>
          <w:p w14:paraId="4D47041E" w14:textId="77777777" w:rsidR="00540494" w:rsidRPr="00071F09" w:rsidRDefault="00540494" w:rsidP="00DE30DA">
            <w:pPr>
              <w:numPr>
                <w:ilvl w:val="0"/>
                <w:numId w:val="9"/>
              </w:numPr>
              <w:tabs>
                <w:tab w:val="clear" w:pos="720"/>
                <w:tab w:val="num" w:pos="480"/>
              </w:tabs>
              <w:spacing w:before="0" w:after="0" w:line="240" w:lineRule="auto"/>
              <w:ind w:hanging="600"/>
              <w:rPr>
                <w:rFonts w:ascii="Gill Sans MT" w:eastAsia="Batang" w:hAnsi="Gill Sans MT"/>
                <w:sz w:val="20"/>
                <w:szCs w:val="20"/>
              </w:rPr>
            </w:pPr>
            <w:r w:rsidRPr="00071F09">
              <w:rPr>
                <w:rFonts w:ascii="Gill Sans MT" w:eastAsia="Batang" w:hAnsi="Gill Sans MT"/>
                <w:sz w:val="20"/>
                <w:szCs w:val="20"/>
              </w:rPr>
              <w:t>Direct</w:t>
            </w:r>
          </w:p>
          <w:p w14:paraId="3875C52C" w14:textId="77777777" w:rsidR="00540494" w:rsidRPr="00952500" w:rsidRDefault="00540494" w:rsidP="00875AAA">
            <w:pPr>
              <w:ind w:left="120"/>
              <w:rPr>
                <w:rFonts w:ascii="Gill Sans MT" w:eastAsia="Batang" w:hAnsi="Gill Sans MT"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shd w:val="clear" w:color="auto" w:fill="E6E6E6"/>
          </w:tcPr>
          <w:p w14:paraId="1919ED66" w14:textId="77777777" w:rsidR="00540494" w:rsidRPr="00952500" w:rsidRDefault="00540494" w:rsidP="00875AAA">
            <w:pPr>
              <w:rPr>
                <w:rFonts w:ascii="Gill Sans MT" w:eastAsia="Batang" w:hAnsi="Gill Sans MT"/>
                <w:sz w:val="20"/>
                <w:szCs w:val="20"/>
              </w:rPr>
            </w:pPr>
            <w:r w:rsidRPr="00952500">
              <w:rPr>
                <w:rFonts w:ascii="Gill Sans MT" w:eastAsia="Batang" w:hAnsi="Gill Sans MT"/>
                <w:sz w:val="20"/>
                <w:szCs w:val="20"/>
              </w:rPr>
              <w:t xml:space="preserve">Value   </w:t>
            </w:r>
          </w:p>
        </w:tc>
        <w:tc>
          <w:tcPr>
            <w:tcW w:w="2488" w:type="dxa"/>
            <w:vMerge w:val="restart"/>
          </w:tcPr>
          <w:p w14:paraId="47193ED0" w14:textId="0320E0F4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</w:tr>
      <w:tr w:rsidR="00540494" w:rsidRPr="00952500" w14:paraId="0FE74CA0" w14:textId="77777777" w:rsidTr="00540494">
        <w:trPr>
          <w:trHeight w:val="415"/>
        </w:trPr>
        <w:tc>
          <w:tcPr>
            <w:tcW w:w="969" w:type="dxa"/>
            <w:vMerge/>
            <w:shd w:val="clear" w:color="auto" w:fill="E6E6E6"/>
          </w:tcPr>
          <w:p w14:paraId="39E2E66D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  <w:tc>
          <w:tcPr>
            <w:tcW w:w="1572" w:type="dxa"/>
            <w:gridSpan w:val="2"/>
            <w:vMerge/>
          </w:tcPr>
          <w:p w14:paraId="50AEC71A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  <w:tc>
          <w:tcPr>
            <w:tcW w:w="2774" w:type="dxa"/>
          </w:tcPr>
          <w:p w14:paraId="5C1912AD" w14:textId="77777777" w:rsidR="00540494" w:rsidRPr="00071F09" w:rsidRDefault="00540494" w:rsidP="00DE30DA">
            <w:pPr>
              <w:numPr>
                <w:ilvl w:val="0"/>
                <w:numId w:val="9"/>
              </w:numPr>
              <w:tabs>
                <w:tab w:val="clear" w:pos="720"/>
                <w:tab w:val="num" w:pos="480"/>
              </w:tabs>
              <w:spacing w:before="0" w:after="0" w:line="240" w:lineRule="auto"/>
              <w:ind w:hanging="600"/>
              <w:rPr>
                <w:rFonts w:ascii="Gill Sans MT" w:eastAsia="Batang" w:hAnsi="Gill Sans MT"/>
                <w:sz w:val="20"/>
                <w:szCs w:val="20"/>
              </w:rPr>
            </w:pPr>
            <w:r w:rsidRPr="00071F09">
              <w:rPr>
                <w:rFonts w:ascii="Gill Sans MT" w:eastAsia="Batang" w:hAnsi="Gill Sans MT"/>
                <w:sz w:val="20"/>
                <w:szCs w:val="20"/>
              </w:rPr>
              <w:t>Indirect</w:t>
            </w:r>
          </w:p>
          <w:p w14:paraId="48EE55B5" w14:textId="77777777" w:rsidR="00540494" w:rsidRPr="00952500" w:rsidRDefault="00540494" w:rsidP="00875AAA">
            <w:pPr>
              <w:ind w:left="120"/>
              <w:rPr>
                <w:rFonts w:ascii="Gill Sans MT" w:eastAsia="Batang" w:hAnsi="Gill Sans MT"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shd w:val="clear" w:color="auto" w:fill="E6E6E6"/>
          </w:tcPr>
          <w:p w14:paraId="7A5AD8F1" w14:textId="77777777" w:rsidR="00540494" w:rsidRPr="00952500" w:rsidRDefault="00540494" w:rsidP="00875AAA">
            <w:pPr>
              <w:rPr>
                <w:rFonts w:ascii="Gill Sans MT" w:eastAsia="Batang" w:hAnsi="Gill Sans MT"/>
                <w:sz w:val="20"/>
                <w:szCs w:val="20"/>
              </w:rPr>
            </w:pPr>
            <w:r w:rsidRPr="00952500">
              <w:rPr>
                <w:rFonts w:ascii="Gill Sans MT" w:eastAsia="Batang" w:hAnsi="Gill Sans MT"/>
                <w:sz w:val="20"/>
                <w:szCs w:val="20"/>
              </w:rPr>
              <w:t xml:space="preserve">Type  </w:t>
            </w:r>
          </w:p>
        </w:tc>
        <w:tc>
          <w:tcPr>
            <w:tcW w:w="2488" w:type="dxa"/>
            <w:vMerge/>
          </w:tcPr>
          <w:p w14:paraId="0A418DBD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</w:tr>
      <w:tr w:rsidR="00540494" w:rsidRPr="00952500" w14:paraId="77E9BE6F" w14:textId="77777777" w:rsidTr="00540494">
        <w:tc>
          <w:tcPr>
            <w:tcW w:w="969" w:type="dxa"/>
            <w:vMerge/>
            <w:shd w:val="clear" w:color="auto" w:fill="E6E6E6"/>
          </w:tcPr>
          <w:p w14:paraId="37735C1C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  <w:tc>
          <w:tcPr>
            <w:tcW w:w="1572" w:type="dxa"/>
            <w:gridSpan w:val="2"/>
            <w:vMerge/>
          </w:tcPr>
          <w:p w14:paraId="5FA16AAC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  <w:tc>
          <w:tcPr>
            <w:tcW w:w="5036" w:type="dxa"/>
            <w:gridSpan w:val="3"/>
          </w:tcPr>
          <w:p w14:paraId="4E8633C8" w14:textId="77777777" w:rsidR="00540494" w:rsidRPr="00540494" w:rsidRDefault="00540494" w:rsidP="00DE30DA">
            <w:pPr>
              <w:numPr>
                <w:ilvl w:val="0"/>
                <w:numId w:val="9"/>
              </w:numPr>
              <w:tabs>
                <w:tab w:val="clear" w:pos="720"/>
                <w:tab w:val="num" w:pos="480"/>
              </w:tabs>
              <w:spacing w:before="0" w:after="0" w:line="240" w:lineRule="auto"/>
              <w:ind w:hanging="600"/>
              <w:rPr>
                <w:rFonts w:ascii="Gill Sans MT" w:eastAsia="Batang" w:hAnsi="Gill Sans MT"/>
                <w:sz w:val="20"/>
                <w:szCs w:val="20"/>
              </w:rPr>
            </w:pPr>
            <w:r w:rsidRPr="00540494">
              <w:rPr>
                <w:rFonts w:ascii="Gill Sans MT" w:eastAsia="Batang" w:hAnsi="Gill Sans MT"/>
                <w:sz w:val="20"/>
                <w:szCs w:val="20"/>
              </w:rPr>
              <w:t>Advice</w:t>
            </w:r>
          </w:p>
          <w:p w14:paraId="0E60C67F" w14:textId="77777777" w:rsidR="00540494" w:rsidRDefault="00540494" w:rsidP="00875AAA">
            <w:pPr>
              <w:ind w:left="120"/>
              <w:rPr>
                <w:rFonts w:ascii="Gill Sans MT" w:eastAsia="Batang" w:hAnsi="Gill Sans MT"/>
                <w:sz w:val="20"/>
                <w:szCs w:val="20"/>
              </w:rPr>
            </w:pPr>
          </w:p>
          <w:p w14:paraId="1D802792" w14:textId="4E9D94C2" w:rsidR="00540494" w:rsidRPr="00952500" w:rsidRDefault="00540494" w:rsidP="00875AAA">
            <w:pPr>
              <w:ind w:left="120"/>
              <w:rPr>
                <w:rFonts w:ascii="Gill Sans MT" w:eastAsia="Batang" w:hAnsi="Gill Sans MT"/>
                <w:sz w:val="20"/>
                <w:szCs w:val="20"/>
              </w:rPr>
            </w:pPr>
          </w:p>
        </w:tc>
        <w:tc>
          <w:tcPr>
            <w:tcW w:w="2488" w:type="dxa"/>
            <w:vMerge/>
          </w:tcPr>
          <w:p w14:paraId="587ABE77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</w:tr>
      <w:tr w:rsidR="00540494" w:rsidRPr="00952500" w14:paraId="4EE3E18D" w14:textId="77777777" w:rsidTr="00540494">
        <w:tc>
          <w:tcPr>
            <w:tcW w:w="969" w:type="dxa"/>
            <w:vMerge/>
            <w:shd w:val="clear" w:color="auto" w:fill="E6E6E6"/>
          </w:tcPr>
          <w:p w14:paraId="5D3B950B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  <w:tc>
          <w:tcPr>
            <w:tcW w:w="1572" w:type="dxa"/>
            <w:gridSpan w:val="2"/>
            <w:vMerge/>
          </w:tcPr>
          <w:p w14:paraId="51D1B66A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  <w:tc>
          <w:tcPr>
            <w:tcW w:w="5036" w:type="dxa"/>
            <w:gridSpan w:val="3"/>
          </w:tcPr>
          <w:p w14:paraId="754FDE2A" w14:textId="77777777" w:rsidR="00540494" w:rsidRPr="00071F09" w:rsidRDefault="00540494" w:rsidP="00DE30DA">
            <w:pPr>
              <w:numPr>
                <w:ilvl w:val="0"/>
                <w:numId w:val="14"/>
              </w:numPr>
              <w:spacing w:before="0" w:after="0" w:line="240" w:lineRule="auto"/>
              <w:ind w:left="523" w:hanging="425"/>
              <w:rPr>
                <w:rFonts w:ascii="Gill Sans MT" w:eastAsia="Batang" w:hAnsi="Gill Sans MT"/>
                <w:sz w:val="20"/>
                <w:szCs w:val="20"/>
              </w:rPr>
            </w:pPr>
            <w:r w:rsidRPr="00071F09">
              <w:rPr>
                <w:rFonts w:ascii="Gill Sans MT" w:eastAsia="Batang" w:hAnsi="Gill Sans MT"/>
                <w:sz w:val="20"/>
                <w:szCs w:val="20"/>
              </w:rPr>
              <w:t>Service</w:t>
            </w:r>
          </w:p>
          <w:p w14:paraId="140AF369" w14:textId="77777777" w:rsidR="00540494" w:rsidRPr="00952500" w:rsidRDefault="00540494" w:rsidP="00875AAA">
            <w:pPr>
              <w:ind w:left="120"/>
              <w:rPr>
                <w:rFonts w:ascii="Gill Sans MT" w:eastAsia="Batang" w:hAnsi="Gill Sans MT"/>
                <w:sz w:val="20"/>
                <w:szCs w:val="20"/>
              </w:rPr>
            </w:pPr>
          </w:p>
        </w:tc>
        <w:tc>
          <w:tcPr>
            <w:tcW w:w="2488" w:type="dxa"/>
            <w:vMerge/>
          </w:tcPr>
          <w:p w14:paraId="0328CA41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</w:tr>
      <w:tr w:rsidR="00540494" w:rsidRPr="00952500" w14:paraId="6CA4EC7D" w14:textId="77777777" w:rsidTr="00540494">
        <w:tc>
          <w:tcPr>
            <w:tcW w:w="969" w:type="dxa"/>
            <w:vMerge/>
            <w:shd w:val="clear" w:color="auto" w:fill="E6E6E6"/>
          </w:tcPr>
          <w:p w14:paraId="1750B213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  <w:tc>
          <w:tcPr>
            <w:tcW w:w="1572" w:type="dxa"/>
            <w:gridSpan w:val="2"/>
          </w:tcPr>
          <w:p w14:paraId="0DCC30D6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  <w:r w:rsidRPr="00952500">
              <w:rPr>
                <w:rFonts w:ascii="Gill Sans MT" w:eastAsia="Batang" w:hAnsi="Gill Sans MT"/>
                <w:sz w:val="20"/>
                <w:szCs w:val="20"/>
              </w:rPr>
              <w:t>Involvement</w:t>
            </w:r>
          </w:p>
          <w:p w14:paraId="6D7A427A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</w:p>
          <w:p w14:paraId="06554021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</w:p>
        </w:tc>
        <w:tc>
          <w:tcPr>
            <w:tcW w:w="5036" w:type="dxa"/>
            <w:gridSpan w:val="3"/>
          </w:tcPr>
          <w:p w14:paraId="0F89E491" w14:textId="3C9C167E" w:rsidR="00540494" w:rsidRPr="00952500" w:rsidRDefault="00540494" w:rsidP="00DE30DA">
            <w:pPr>
              <w:numPr>
                <w:ilvl w:val="0"/>
                <w:numId w:val="13"/>
              </w:numPr>
              <w:spacing w:before="0" w:after="0" w:line="240" w:lineRule="auto"/>
              <w:ind w:left="381" w:hanging="381"/>
              <w:rPr>
                <w:rFonts w:ascii="Gill Sans MT" w:eastAsia="Batang" w:hAnsi="Gill Sans MT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2FE9B9F" w14:textId="77777777" w:rsidR="00540494" w:rsidRPr="00952500" w:rsidRDefault="00540494" w:rsidP="00540494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</w:p>
        </w:tc>
      </w:tr>
      <w:tr w:rsidR="00540494" w:rsidRPr="00952500" w14:paraId="646040B0" w14:textId="77777777" w:rsidTr="00540494">
        <w:trPr>
          <w:trHeight w:val="600"/>
        </w:trPr>
        <w:tc>
          <w:tcPr>
            <w:tcW w:w="7577" w:type="dxa"/>
            <w:gridSpan w:val="6"/>
            <w:tcBorders>
              <w:bottom w:val="single" w:sz="4" w:space="0" w:color="auto"/>
            </w:tcBorders>
          </w:tcPr>
          <w:p w14:paraId="0E116D6D" w14:textId="77777777" w:rsidR="00540494" w:rsidRPr="00952500" w:rsidRDefault="00540494" w:rsidP="00875AAA">
            <w:pPr>
              <w:jc w:val="right"/>
              <w:rPr>
                <w:rFonts w:ascii="Gill Sans MT" w:eastAsia="Batang" w:hAnsi="Gill Sans MT"/>
                <w:sz w:val="20"/>
                <w:szCs w:val="20"/>
              </w:rPr>
            </w:pPr>
            <w:r w:rsidRPr="00952500">
              <w:rPr>
                <w:rFonts w:ascii="Gill Sans MT" w:eastAsia="Batang" w:hAnsi="Gill Sans MT"/>
                <w:b/>
                <w:sz w:val="20"/>
                <w:szCs w:val="20"/>
              </w:rPr>
              <w:t>ACCOUNTABILITY POINTS</w:t>
            </w:r>
          </w:p>
        </w:tc>
        <w:tc>
          <w:tcPr>
            <w:tcW w:w="2488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67"/>
              <w:gridCol w:w="568"/>
              <w:gridCol w:w="625"/>
            </w:tblGrid>
            <w:tr w:rsidR="00540494" w:rsidRPr="00952500" w14:paraId="1BB106E6" w14:textId="77777777" w:rsidTr="00875AAA">
              <w:tc>
                <w:tcPr>
                  <w:tcW w:w="567" w:type="dxa"/>
                </w:tcPr>
                <w:p w14:paraId="4D9FA55F" w14:textId="77777777" w:rsidR="00540494" w:rsidRPr="007B1042" w:rsidRDefault="00540494" w:rsidP="00875AAA">
                  <w:pPr>
                    <w:jc w:val="center"/>
                    <w:rPr>
                      <w:rFonts w:ascii="Gill Sans MT" w:eastAsia="Batang" w:hAnsi="Gill Sans MT"/>
                      <w:sz w:val="20"/>
                      <w:szCs w:val="20"/>
                    </w:rPr>
                  </w:pPr>
                  <w:r w:rsidRPr="007B1042">
                    <w:rPr>
                      <w:rFonts w:ascii="Gill Sans MT" w:eastAsia="Batang" w:hAnsi="Gill Sans MT"/>
                      <w:sz w:val="20"/>
                      <w:szCs w:val="20"/>
                    </w:rPr>
                    <w:t>Min</w:t>
                  </w:r>
                </w:p>
              </w:tc>
              <w:tc>
                <w:tcPr>
                  <w:tcW w:w="568" w:type="dxa"/>
                </w:tcPr>
                <w:p w14:paraId="0097FEE3" w14:textId="77777777" w:rsidR="00540494" w:rsidRPr="00540494" w:rsidRDefault="00540494" w:rsidP="00875AAA">
                  <w:pPr>
                    <w:jc w:val="center"/>
                    <w:rPr>
                      <w:rFonts w:ascii="Gill Sans MT" w:eastAsia="Batang" w:hAnsi="Gill Sans MT"/>
                      <w:sz w:val="20"/>
                      <w:szCs w:val="20"/>
                    </w:rPr>
                  </w:pPr>
                  <w:r w:rsidRPr="00540494">
                    <w:rPr>
                      <w:rFonts w:ascii="Gill Sans MT" w:eastAsia="Batang" w:hAnsi="Gill Sans MT"/>
                      <w:sz w:val="20"/>
                      <w:szCs w:val="20"/>
                    </w:rPr>
                    <w:t>Mid</w:t>
                  </w:r>
                </w:p>
              </w:tc>
              <w:tc>
                <w:tcPr>
                  <w:tcW w:w="625" w:type="dxa"/>
                </w:tcPr>
                <w:p w14:paraId="621A07FB" w14:textId="77777777" w:rsidR="00540494" w:rsidRPr="00540494" w:rsidRDefault="00540494" w:rsidP="00875AAA">
                  <w:pPr>
                    <w:jc w:val="center"/>
                    <w:rPr>
                      <w:rFonts w:ascii="Gill Sans MT" w:eastAsia="Batang" w:hAnsi="Gill Sans MT"/>
                      <w:sz w:val="20"/>
                      <w:szCs w:val="20"/>
                    </w:rPr>
                  </w:pPr>
                  <w:r w:rsidRPr="00540494">
                    <w:rPr>
                      <w:rFonts w:ascii="Gill Sans MT" w:eastAsia="Batang" w:hAnsi="Gill Sans MT"/>
                      <w:sz w:val="20"/>
                      <w:szCs w:val="20"/>
                    </w:rPr>
                    <w:t>Max</w:t>
                  </w:r>
                </w:p>
              </w:tc>
            </w:tr>
          </w:tbl>
          <w:p w14:paraId="716254E8" w14:textId="171FDE88" w:rsidR="00540494" w:rsidRPr="00655ED2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  <w:r>
              <w:rPr>
                <w:rFonts w:ascii="Gill Sans MT" w:eastAsia="Batang" w:hAnsi="Gill Sans MT"/>
                <w:sz w:val="36"/>
                <w:szCs w:val="36"/>
              </w:rPr>
              <w:t>TOTAL</w:t>
            </w:r>
          </w:p>
        </w:tc>
      </w:tr>
      <w:tr w:rsidR="00540494" w:rsidRPr="00952500" w14:paraId="2A295AD4" w14:textId="77777777" w:rsidTr="00540494">
        <w:tc>
          <w:tcPr>
            <w:tcW w:w="7577" w:type="dxa"/>
            <w:gridSpan w:val="6"/>
            <w:shd w:val="clear" w:color="auto" w:fill="E6E6E6"/>
          </w:tcPr>
          <w:p w14:paraId="5B9E9C3E" w14:textId="77777777" w:rsidR="00540494" w:rsidRPr="00952500" w:rsidRDefault="00540494" w:rsidP="00875AAA">
            <w:pPr>
              <w:jc w:val="right"/>
              <w:rPr>
                <w:rFonts w:ascii="Gill Sans MT" w:eastAsia="Batang" w:hAnsi="Gill Sans MT"/>
                <w:b/>
                <w:sz w:val="20"/>
                <w:szCs w:val="20"/>
              </w:rPr>
            </w:pPr>
            <w:r w:rsidRPr="00952500">
              <w:rPr>
                <w:rFonts w:ascii="Gill Sans MT" w:eastAsia="Batang" w:hAnsi="Gill Sans MT"/>
                <w:b/>
                <w:sz w:val="20"/>
                <w:szCs w:val="20"/>
              </w:rPr>
              <w:t>TOTAL POINTS</w:t>
            </w:r>
          </w:p>
        </w:tc>
        <w:tc>
          <w:tcPr>
            <w:tcW w:w="2488" w:type="dxa"/>
            <w:shd w:val="clear" w:color="auto" w:fill="E6E6E6"/>
          </w:tcPr>
          <w:p w14:paraId="6EDCDD79" w14:textId="79119BB4" w:rsidR="00540494" w:rsidRPr="00E504E1" w:rsidRDefault="00540494" w:rsidP="00875AAA">
            <w:pPr>
              <w:jc w:val="center"/>
              <w:rPr>
                <w:rFonts w:ascii="Gill Sans MT" w:eastAsia="Batang" w:hAnsi="Gill Sans MT"/>
                <w:sz w:val="36"/>
                <w:szCs w:val="36"/>
              </w:rPr>
            </w:pPr>
            <w:r>
              <w:rPr>
                <w:rFonts w:ascii="Gill Sans MT" w:eastAsia="Batang" w:hAnsi="Gill Sans MT"/>
                <w:sz w:val="36"/>
                <w:szCs w:val="36"/>
              </w:rPr>
              <w:t>TOTAL</w:t>
            </w:r>
          </w:p>
        </w:tc>
      </w:tr>
      <w:tr w:rsidR="00540494" w:rsidRPr="00952500" w14:paraId="5D1AA8C5" w14:textId="77777777" w:rsidTr="00540494">
        <w:tc>
          <w:tcPr>
            <w:tcW w:w="10065" w:type="dxa"/>
            <w:gridSpan w:val="7"/>
          </w:tcPr>
          <w:p w14:paraId="0F8E31D6" w14:textId="426B72F7" w:rsidR="00540494" w:rsidRPr="00952500" w:rsidRDefault="00540494" w:rsidP="00190651">
            <w:pPr>
              <w:ind w:left="360"/>
              <w:rPr>
                <w:rFonts w:ascii="Gill Sans MT" w:eastAsia="Batang" w:hAnsi="Gill Sans MT"/>
                <w:sz w:val="20"/>
                <w:szCs w:val="20"/>
              </w:rPr>
            </w:pPr>
            <w:r w:rsidRPr="00952500">
              <w:rPr>
                <w:rFonts w:ascii="Gill Sans MT" w:eastAsia="Batang" w:hAnsi="Gill Sans MT"/>
                <w:sz w:val="20"/>
                <w:szCs w:val="20"/>
              </w:rPr>
              <w:t xml:space="preserve">Feasibility Check      </w:t>
            </w:r>
            <w:r w:rsidR="00190651">
              <w:rPr>
                <w:rFonts w:ascii="Gill Sans MT" w:eastAsia="Batang" w:hAnsi="Gill Sans MT"/>
                <w:sz w:val="20"/>
                <w:szCs w:val="20"/>
              </w:rPr>
              <w:t>__</w:t>
            </w:r>
            <w:r w:rsidRPr="00952500">
              <w:rPr>
                <w:rFonts w:ascii="Gill Sans MT" w:eastAsia="Batang" w:hAnsi="Gill Sans MT"/>
                <w:sz w:val="20"/>
                <w:szCs w:val="20"/>
              </w:rPr>
              <w:t xml:space="preserve">            System Check     </w:t>
            </w:r>
            <w:r w:rsidR="00190651">
              <w:rPr>
                <w:rFonts w:ascii="Gill Sans MT" w:eastAsia="Batang" w:hAnsi="Gill Sans MT"/>
                <w:sz w:val="20"/>
                <w:szCs w:val="20"/>
              </w:rPr>
              <w:t>__</w:t>
            </w:r>
            <w:r w:rsidRPr="00952500">
              <w:rPr>
                <w:rFonts w:ascii="Gill Sans MT" w:eastAsia="Batang" w:hAnsi="Gill Sans MT"/>
                <w:sz w:val="20"/>
                <w:szCs w:val="20"/>
              </w:rPr>
              <w:t xml:space="preserve">        Organisational Consistency   </w:t>
            </w:r>
            <w:r w:rsidR="00190651">
              <w:rPr>
                <w:rFonts w:ascii="Gill Sans MT" w:eastAsia="Batang" w:hAnsi="Gill Sans MT"/>
                <w:sz w:val="20"/>
                <w:szCs w:val="20"/>
              </w:rPr>
              <w:t>__</w:t>
            </w:r>
          </w:p>
        </w:tc>
      </w:tr>
      <w:tr w:rsidR="00540494" w:rsidRPr="00952500" w14:paraId="6ED023B9" w14:textId="77777777" w:rsidTr="00540494">
        <w:tc>
          <w:tcPr>
            <w:tcW w:w="2541" w:type="dxa"/>
            <w:gridSpan w:val="3"/>
            <w:shd w:val="clear" w:color="auto" w:fill="E6E6E6"/>
          </w:tcPr>
          <w:p w14:paraId="62C97916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  <w:r w:rsidRPr="00952500">
              <w:rPr>
                <w:rFonts w:ascii="Gill Sans MT" w:eastAsia="Batang" w:hAnsi="Gill Sans MT"/>
                <w:sz w:val="20"/>
                <w:szCs w:val="20"/>
              </w:rPr>
              <w:t>Classification/Grade</w:t>
            </w:r>
          </w:p>
        </w:tc>
        <w:tc>
          <w:tcPr>
            <w:tcW w:w="7524" w:type="dxa"/>
            <w:gridSpan w:val="4"/>
          </w:tcPr>
          <w:p w14:paraId="663733EE" w14:textId="23593188" w:rsidR="00540494" w:rsidRPr="00952500" w:rsidRDefault="00540494" w:rsidP="00190651">
            <w:pPr>
              <w:rPr>
                <w:rFonts w:ascii="Gill Sans MT" w:eastAsia="Batang" w:hAnsi="Gill Sans MT"/>
                <w:sz w:val="36"/>
                <w:szCs w:val="36"/>
              </w:rPr>
            </w:pPr>
            <w:r>
              <w:rPr>
                <w:rFonts w:ascii="Gill Sans MT" w:eastAsia="Batang" w:hAnsi="Gill Sans MT"/>
                <w:sz w:val="36"/>
                <w:szCs w:val="36"/>
              </w:rPr>
              <w:t xml:space="preserve">Consistent with SES level </w:t>
            </w:r>
            <w:r w:rsidRPr="00952500">
              <w:rPr>
                <w:rFonts w:ascii="Gill Sans MT" w:eastAsia="Batang" w:hAnsi="Gill Sans MT"/>
                <w:sz w:val="36"/>
                <w:szCs w:val="36"/>
              </w:rPr>
              <w:t xml:space="preserve"> </w:t>
            </w:r>
            <w:r w:rsidR="00190651">
              <w:rPr>
                <w:rFonts w:ascii="Gill Sans MT" w:eastAsia="Batang" w:hAnsi="Gill Sans MT"/>
                <w:sz w:val="36"/>
                <w:szCs w:val="36"/>
              </w:rPr>
              <w:t>__</w:t>
            </w:r>
          </w:p>
        </w:tc>
      </w:tr>
      <w:tr w:rsidR="00540494" w:rsidRPr="00952500" w14:paraId="7EC0651D" w14:textId="77777777" w:rsidTr="00540494">
        <w:tc>
          <w:tcPr>
            <w:tcW w:w="2541" w:type="dxa"/>
            <w:gridSpan w:val="3"/>
            <w:shd w:val="clear" w:color="auto" w:fill="E6E6E6"/>
          </w:tcPr>
          <w:p w14:paraId="41F7707C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  <w:r w:rsidRPr="00952500">
              <w:rPr>
                <w:rFonts w:ascii="Gill Sans MT" w:eastAsia="Batang" w:hAnsi="Gill Sans MT"/>
                <w:sz w:val="20"/>
                <w:szCs w:val="20"/>
              </w:rPr>
              <w:t>Evaluator</w:t>
            </w:r>
          </w:p>
          <w:p w14:paraId="4CA31DB0" w14:textId="77777777" w:rsidR="00540494" w:rsidRPr="00952500" w:rsidRDefault="00540494" w:rsidP="00875AAA">
            <w:pPr>
              <w:jc w:val="center"/>
              <w:rPr>
                <w:rFonts w:ascii="Gill Sans MT" w:eastAsia="Batang" w:hAnsi="Gill Sans MT"/>
                <w:sz w:val="20"/>
                <w:szCs w:val="20"/>
              </w:rPr>
            </w:pPr>
          </w:p>
        </w:tc>
        <w:tc>
          <w:tcPr>
            <w:tcW w:w="4556" w:type="dxa"/>
            <w:gridSpan w:val="2"/>
          </w:tcPr>
          <w:p w14:paraId="05ABC5DC" w14:textId="79C37465" w:rsidR="00540494" w:rsidRPr="00952500" w:rsidRDefault="00540494" w:rsidP="00875AAA">
            <w:pPr>
              <w:rPr>
                <w:rFonts w:ascii="Gill Sans MT" w:eastAsia="Batang" w:hAnsi="Gill Sans MT"/>
                <w:sz w:val="20"/>
                <w:szCs w:val="20"/>
              </w:rPr>
            </w:pPr>
          </w:p>
        </w:tc>
        <w:tc>
          <w:tcPr>
            <w:tcW w:w="2968" w:type="dxa"/>
            <w:gridSpan w:val="2"/>
          </w:tcPr>
          <w:p w14:paraId="29D22ACB" w14:textId="234D8A98" w:rsidR="00540494" w:rsidRPr="00952500" w:rsidRDefault="00540494" w:rsidP="00540494">
            <w:pPr>
              <w:rPr>
                <w:rFonts w:ascii="Gill Sans MT" w:eastAsia="Batang" w:hAnsi="Gill Sans MT"/>
                <w:sz w:val="20"/>
                <w:szCs w:val="20"/>
              </w:rPr>
            </w:pPr>
            <w:r w:rsidRPr="00952500">
              <w:rPr>
                <w:rFonts w:ascii="Gill Sans MT" w:eastAsia="Batang" w:hAnsi="Gill Sans MT"/>
                <w:sz w:val="20"/>
                <w:szCs w:val="20"/>
              </w:rPr>
              <w:t xml:space="preserve">Date: </w:t>
            </w:r>
            <w:r>
              <w:rPr>
                <w:rFonts w:ascii="Gill Sans MT" w:eastAsia="Batang" w:hAnsi="Gill Sans MT"/>
                <w:sz w:val="20"/>
                <w:szCs w:val="20"/>
              </w:rPr>
              <w:t xml:space="preserve"> </w:t>
            </w:r>
          </w:p>
        </w:tc>
      </w:tr>
    </w:tbl>
    <w:p w14:paraId="0502FEFB" w14:textId="77777777" w:rsidR="00540494" w:rsidRDefault="00540494" w:rsidP="004B741F">
      <w:pPr>
        <w:pStyle w:val="Department"/>
      </w:pPr>
    </w:p>
    <w:sectPr w:rsidR="00540494" w:rsidSect="007E604F">
      <w:footerReference w:type="default" r:id="rId10"/>
      <w:headerReference w:type="first" r:id="rId11"/>
      <w:footerReference w:type="first" r:id="rId12"/>
      <w:pgSz w:w="11900" w:h="16840"/>
      <w:pgMar w:top="1499" w:right="851" w:bottom="993" w:left="851" w:header="709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C408B" w14:textId="77777777" w:rsidR="00E12574" w:rsidRDefault="00E12574" w:rsidP="004C35B3">
      <w:r>
        <w:separator/>
      </w:r>
    </w:p>
  </w:endnote>
  <w:endnote w:type="continuationSeparator" w:id="0">
    <w:p w14:paraId="1A0F3889" w14:textId="77777777" w:rsidR="00E12574" w:rsidRDefault="00E12574" w:rsidP="004C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A9BB2" w14:textId="53975B64" w:rsidR="009929EB" w:rsidRPr="00730C4A" w:rsidRDefault="009929EB" w:rsidP="00396A17">
    <w:pPr>
      <w:pStyle w:val="Footer"/>
      <w:framePr w:w="455" w:wrap="around" w:vAnchor="text" w:hAnchor="page" w:x="11011" w:y="147"/>
      <w:tabs>
        <w:tab w:val="clear" w:pos="4320"/>
        <w:tab w:val="clear" w:pos="8640"/>
        <w:tab w:val="right" w:pos="10206"/>
      </w:tabs>
      <w:jc w:val="center"/>
      <w:rPr>
        <w:rStyle w:val="PageNumber"/>
      </w:rPr>
    </w:pPr>
    <w:r w:rsidRPr="00730C4A">
      <w:rPr>
        <w:rStyle w:val="PageNumber"/>
        <w:rFonts w:ascii="Arial" w:hAnsi="Arial" w:cs="Arial"/>
        <w:b/>
        <w:szCs w:val="18"/>
      </w:rPr>
      <w:fldChar w:fldCharType="begin"/>
    </w:r>
    <w:r w:rsidRPr="00730C4A">
      <w:rPr>
        <w:rStyle w:val="PageNumber"/>
        <w:rFonts w:ascii="Arial" w:hAnsi="Arial" w:cs="Arial"/>
        <w:b/>
        <w:szCs w:val="18"/>
      </w:rPr>
      <w:instrText xml:space="preserve">PAGE  </w:instrText>
    </w:r>
    <w:r w:rsidRPr="00730C4A">
      <w:rPr>
        <w:rStyle w:val="PageNumber"/>
        <w:rFonts w:ascii="Arial" w:hAnsi="Arial" w:cs="Arial"/>
        <w:b/>
        <w:szCs w:val="18"/>
      </w:rPr>
      <w:fldChar w:fldCharType="separate"/>
    </w:r>
    <w:r w:rsidR="00956CD2">
      <w:rPr>
        <w:rStyle w:val="PageNumber"/>
        <w:rFonts w:ascii="Arial" w:hAnsi="Arial" w:cs="Arial"/>
        <w:b/>
        <w:noProof/>
        <w:szCs w:val="18"/>
      </w:rPr>
      <w:t>2</w:t>
    </w:r>
    <w:r w:rsidRPr="00730C4A">
      <w:rPr>
        <w:rStyle w:val="PageNumber"/>
        <w:rFonts w:ascii="Arial" w:hAnsi="Arial" w:cs="Arial"/>
        <w:b/>
        <w:szCs w:val="18"/>
      </w:rPr>
      <w:fldChar w:fldCharType="end"/>
    </w:r>
  </w:p>
  <w:p w14:paraId="65C3DAAC" w14:textId="77777777" w:rsidR="009929EB" w:rsidRPr="0035282B" w:rsidRDefault="009929EB" w:rsidP="00396A17">
    <w:pPr>
      <w:pStyle w:val="Footer"/>
      <w:rPr>
        <w:b/>
        <w:color w:val="808080" w:themeColor="background1" w:themeShade="80"/>
      </w:rPr>
    </w:pPr>
    <w:r w:rsidRPr="0035282B">
      <w:rPr>
        <w:b/>
        <w:color w:val="808080" w:themeColor="background1" w:themeShade="80"/>
      </w:rPr>
      <w:t>STATE SERVICE MANAGEMENT OFFICE</w:t>
    </w:r>
  </w:p>
  <w:p w14:paraId="25A8F59E" w14:textId="244611CB" w:rsidR="009929EB" w:rsidRPr="000C7255" w:rsidRDefault="009929EB" w:rsidP="000C7255">
    <w:pPr>
      <w:pStyle w:val="Footer"/>
    </w:pPr>
    <w:r>
      <w:rPr>
        <w:szCs w:val="18"/>
      </w:rPr>
      <w:t>Guide</w:t>
    </w:r>
    <w:r w:rsidR="005A5167">
      <w:rPr>
        <w:szCs w:val="18"/>
      </w:rPr>
      <w:t>lines</w:t>
    </w:r>
    <w:r>
      <w:rPr>
        <w:szCs w:val="18"/>
      </w:rPr>
      <w:t xml:space="preserve"> for Senior Recruitment – </w:t>
    </w:r>
    <w:r w:rsidRPr="00D77086">
      <w:rPr>
        <w:noProof/>
        <w:szCs w:val="18"/>
        <w:lang w:eastAsia="en-AU"/>
      </w:rPr>
      <w:drawing>
        <wp:anchor distT="0" distB="0" distL="114300" distR="114300" simplePos="0" relativeHeight="251651584" behindDoc="1" locked="1" layoutInCell="1" allowOverlap="1" wp14:anchorId="68651312" wp14:editId="089986A3">
          <wp:simplePos x="0" y="0"/>
          <wp:positionH relativeFrom="page">
            <wp:posOffset>6572885</wp:posOffset>
          </wp:positionH>
          <wp:positionV relativeFrom="page">
            <wp:posOffset>9681210</wp:posOffset>
          </wp:positionV>
          <wp:extent cx="1078865" cy="107886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O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10788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anchor>
      </w:drawing>
    </w:r>
    <w:r w:rsidR="005A5167">
      <w:rPr>
        <w:szCs w:val="18"/>
      </w:rPr>
      <w:t>June</w:t>
    </w:r>
    <w:r>
      <w:rPr>
        <w:szCs w:val="18"/>
      </w:rPr>
      <w:t xml:space="preserve"> 2018</w:t>
    </w:r>
    <w:r w:rsidR="00183BD6">
      <w:rPr>
        <w:szCs w:val="18"/>
      </w:rPr>
      <w:t xml:space="preserve"> – 18/1005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18F0E" w14:textId="706A04DB" w:rsidR="005A5167" w:rsidRPr="007E50A7" w:rsidRDefault="00A63434">
    <w:pPr>
      <w:pStyle w:val="Footer"/>
      <w:rPr>
        <w:rFonts w:ascii="GillSans Light" w:hAnsi="GillSans Light"/>
      </w:rPr>
    </w:pPr>
    <w:r>
      <w:rPr>
        <w:rFonts w:ascii="GillSans Light" w:hAnsi="GillSans Light"/>
      </w:rPr>
      <w:t>21/67112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4D4D0" w14:textId="77777777" w:rsidR="00E12574" w:rsidRDefault="00E12574" w:rsidP="004C35B3">
      <w:r>
        <w:separator/>
      </w:r>
    </w:p>
  </w:footnote>
  <w:footnote w:type="continuationSeparator" w:id="0">
    <w:p w14:paraId="6D0744AE" w14:textId="77777777" w:rsidR="00E12574" w:rsidRDefault="00E12574" w:rsidP="004C3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036D0" w14:textId="130B6A39" w:rsidR="009929EB" w:rsidRDefault="009929EB" w:rsidP="00756E35">
    <w:pPr>
      <w:pStyle w:val="Header"/>
      <w:spacing w:before="0" w:after="0" w:line="240" w:lineRule="auto"/>
      <w:jc w:val="right"/>
      <w:rPr>
        <w:rFonts w:asciiTheme="majorHAnsi" w:hAnsiTheme="majorHAnsi" w:cstheme="majorHAnsi"/>
        <w:sz w:val="36"/>
        <w:szCs w:val="36"/>
      </w:rPr>
    </w:pPr>
  </w:p>
  <w:p w14:paraId="16B396AB" w14:textId="77777777" w:rsidR="009929EB" w:rsidRDefault="009929EB" w:rsidP="00756E35">
    <w:pPr>
      <w:pStyle w:val="Header"/>
      <w:spacing w:before="0" w:after="0" w:line="240" w:lineRule="auto"/>
      <w:jc w:val="right"/>
      <w:rPr>
        <w:rFonts w:asciiTheme="majorHAnsi" w:hAnsiTheme="majorHAnsi" w:cstheme="majorHAnsi"/>
        <w:sz w:val="36"/>
        <w:szCs w:val="36"/>
      </w:rPr>
    </w:pPr>
  </w:p>
  <w:p w14:paraId="02A7CE14" w14:textId="77777777" w:rsidR="009929EB" w:rsidRDefault="009929EB" w:rsidP="00756E35">
    <w:pPr>
      <w:pStyle w:val="Header"/>
      <w:spacing w:before="0" w:after="0" w:line="240" w:lineRule="auto"/>
      <w:jc w:val="right"/>
      <w:rPr>
        <w:rFonts w:asciiTheme="majorHAnsi" w:hAnsiTheme="majorHAnsi" w:cstheme="majorHAnsi"/>
        <w:sz w:val="36"/>
        <w:szCs w:val="36"/>
      </w:rPr>
    </w:pPr>
  </w:p>
  <w:p w14:paraId="7A999254" w14:textId="31182C99" w:rsidR="009929EB" w:rsidRDefault="004A0DFF" w:rsidP="004A0DFF">
    <w:pPr>
      <w:pStyle w:val="Header"/>
      <w:tabs>
        <w:tab w:val="left" w:pos="9180"/>
      </w:tabs>
      <w:spacing w:before="0" w:after="0" w:line="240" w:lineRule="auto"/>
      <w:rPr>
        <w:rFonts w:asciiTheme="majorHAnsi" w:hAnsiTheme="majorHAnsi" w:cstheme="majorHAnsi"/>
        <w:sz w:val="36"/>
        <w:szCs w:val="36"/>
      </w:rPr>
    </w:pPr>
    <w:r>
      <w:rPr>
        <w:rFonts w:asciiTheme="majorHAnsi" w:hAnsiTheme="majorHAnsi" w:cstheme="majorHAnsi"/>
        <w:sz w:val="36"/>
        <w:szCs w:val="36"/>
      </w:rPr>
      <w:tab/>
    </w:r>
    <w:r>
      <w:rPr>
        <w:rFonts w:asciiTheme="majorHAnsi" w:hAnsiTheme="majorHAnsi" w:cstheme="majorHAnsi"/>
        <w:sz w:val="36"/>
        <w:szCs w:val="36"/>
      </w:rPr>
      <w:tab/>
    </w:r>
    <w:r>
      <w:rPr>
        <w:rFonts w:asciiTheme="majorHAnsi" w:hAnsiTheme="majorHAnsi" w:cstheme="majorHAnsi"/>
        <w:sz w:val="36"/>
        <w:szCs w:val="36"/>
      </w:rPr>
      <w:tab/>
    </w:r>
  </w:p>
  <w:p w14:paraId="708FA224" w14:textId="77777777" w:rsidR="009929EB" w:rsidRDefault="009929EB" w:rsidP="00756E35">
    <w:pPr>
      <w:pStyle w:val="Header"/>
      <w:spacing w:before="0" w:after="0" w:line="240" w:lineRule="auto"/>
      <w:jc w:val="right"/>
      <w:rPr>
        <w:rFonts w:asciiTheme="majorHAnsi" w:hAnsiTheme="majorHAnsi" w:cstheme="majorHAnsi"/>
        <w:sz w:val="36"/>
        <w:szCs w:val="36"/>
      </w:rPr>
    </w:pPr>
  </w:p>
  <w:p w14:paraId="514C3923" w14:textId="77777777" w:rsidR="009929EB" w:rsidRDefault="009929EB" w:rsidP="00756E35">
    <w:pPr>
      <w:pStyle w:val="Header"/>
      <w:spacing w:before="0" w:after="0" w:line="240" w:lineRule="auto"/>
      <w:jc w:val="right"/>
      <w:rPr>
        <w:rFonts w:asciiTheme="majorHAnsi" w:hAnsiTheme="majorHAnsi" w:cstheme="majorHAnsi"/>
        <w:sz w:val="36"/>
        <w:szCs w:val="36"/>
      </w:rPr>
    </w:pPr>
  </w:p>
  <w:p w14:paraId="7438C981" w14:textId="77777777" w:rsidR="009929EB" w:rsidRDefault="009929EB" w:rsidP="00756E35">
    <w:pPr>
      <w:pStyle w:val="Header"/>
      <w:spacing w:before="0" w:after="0" w:line="240" w:lineRule="auto"/>
      <w:jc w:val="right"/>
      <w:rPr>
        <w:rFonts w:asciiTheme="majorHAnsi" w:hAnsiTheme="majorHAnsi" w:cstheme="majorHAnsi"/>
        <w:sz w:val="36"/>
        <w:szCs w:val="36"/>
      </w:rPr>
    </w:pPr>
  </w:p>
  <w:p w14:paraId="4197593E" w14:textId="77777777" w:rsidR="009929EB" w:rsidRPr="0057427C" w:rsidRDefault="009929EB" w:rsidP="00756E35">
    <w:pPr>
      <w:pStyle w:val="Header"/>
      <w:spacing w:before="0" w:after="0" w:line="240" w:lineRule="auto"/>
      <w:jc w:val="right"/>
      <w:rPr>
        <w:rFonts w:asciiTheme="majorHAnsi" w:hAnsiTheme="majorHAnsi" w:cstheme="majorHAnsi"/>
        <w:color w:val="80A5BF" w:themeColor="background2" w:themeTint="99"/>
        <w:sz w:val="36"/>
        <w:szCs w:val="36"/>
      </w:rPr>
    </w:pPr>
  </w:p>
  <w:p w14:paraId="45B96FAC" w14:textId="1CFBE9E5" w:rsidR="0057427C" w:rsidRPr="0057427C" w:rsidRDefault="0057427C" w:rsidP="0057427C">
    <w:pPr>
      <w:pStyle w:val="Subtitle2"/>
      <w:numPr>
        <w:ilvl w:val="0"/>
        <w:numId w:val="0"/>
      </w:numPr>
      <w:jc w:val="right"/>
      <w:rPr>
        <w:rFonts w:ascii="Arial" w:hAnsi="Arial" w:cs="Arial"/>
        <w:color w:val="618BB0" w:themeColor="text2" w:themeTint="99"/>
      </w:rPr>
    </w:pPr>
    <w:r w:rsidRPr="0057427C">
      <w:rPr>
        <w:rFonts w:cstheme="majorHAnsi"/>
        <w:b w:val="0"/>
        <w:color w:val="80A5BF" w:themeColor="background2" w:themeTint="99"/>
        <w:szCs w:val="28"/>
      </w:rPr>
      <w:t xml:space="preserve"> </w:t>
    </w:r>
    <w:r w:rsidRPr="0057427C">
      <w:rPr>
        <w:rFonts w:ascii="Arial" w:hAnsi="Arial" w:cs="Arial"/>
        <w:color w:val="618BB0" w:themeColor="text2" w:themeTint="99"/>
      </w:rPr>
      <w:t>GUIDELINES</w:t>
    </w:r>
  </w:p>
  <w:p w14:paraId="4E2CA06D" w14:textId="62DED024" w:rsidR="009929EB" w:rsidRPr="0057427C" w:rsidRDefault="009929EB" w:rsidP="0057427C">
    <w:pPr>
      <w:pStyle w:val="Subtitle2"/>
      <w:numPr>
        <w:ilvl w:val="0"/>
        <w:numId w:val="0"/>
      </w:numPr>
      <w:jc w:val="right"/>
      <w:rPr>
        <w:rFonts w:ascii="Arial" w:hAnsi="Arial" w:cs="Arial"/>
        <w:color w:val="auto"/>
      </w:rPr>
    </w:pPr>
    <w:r w:rsidRPr="0057427C">
      <w:rPr>
        <w:rFonts w:ascii="Arial" w:hAnsi="Arial" w:cs="Arial"/>
        <w:noProof/>
        <w:color w:val="auto"/>
        <w:lang w:eastAsia="en-AU"/>
      </w:rPr>
      <w:drawing>
        <wp:anchor distT="0" distB="0" distL="114300" distR="114300" simplePos="0" relativeHeight="251661312" behindDoc="1" locked="1" layoutInCell="1" allowOverlap="1" wp14:anchorId="06455061" wp14:editId="3A4C9A1C">
          <wp:simplePos x="0" y="0"/>
          <wp:positionH relativeFrom="page">
            <wp:posOffset>166370</wp:posOffset>
          </wp:positionH>
          <wp:positionV relativeFrom="page">
            <wp:posOffset>52070</wp:posOffset>
          </wp:positionV>
          <wp:extent cx="7559675" cy="10693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427C" w:rsidRPr="0057427C">
      <w:rPr>
        <w:rFonts w:ascii="Arial" w:hAnsi="Arial" w:cs="Arial"/>
        <w:color w:val="auto"/>
      </w:rPr>
      <w:t xml:space="preserve">SENIOR </w:t>
    </w:r>
    <w:r w:rsidR="0057427C">
      <w:rPr>
        <w:rFonts w:ascii="Arial" w:hAnsi="Arial" w:cs="Arial"/>
        <w:color w:val="auto"/>
      </w:rPr>
      <w:t xml:space="preserve">EXECUTIVE </w:t>
    </w:r>
    <w:r w:rsidR="0057427C" w:rsidRPr="0057427C">
      <w:rPr>
        <w:rFonts w:ascii="Arial" w:hAnsi="Arial" w:cs="Arial"/>
        <w:color w:val="auto"/>
      </w:rPr>
      <w:t>RECRUITMENT</w:t>
    </w:r>
  </w:p>
  <w:p w14:paraId="6F6A009C" w14:textId="19CAA9C2" w:rsidR="0057427C" w:rsidRPr="0057427C" w:rsidRDefault="007259FA" w:rsidP="0057427C">
    <w:pPr>
      <w:pStyle w:val="Subtitle2"/>
      <w:numPr>
        <w:ilvl w:val="0"/>
        <w:numId w:val="0"/>
      </w:numPr>
      <w:jc w:val="right"/>
      <w:rPr>
        <w:rFonts w:ascii="Arial" w:hAnsi="Arial" w:cs="Arial"/>
        <w:color w:val="auto"/>
      </w:rPr>
    </w:pPr>
    <w:r>
      <w:rPr>
        <w:rFonts w:ascii="Arial" w:hAnsi="Arial" w:cs="Arial"/>
        <w:color w:val="auto"/>
      </w:rPr>
      <w:t>OCTOBER</w:t>
    </w:r>
    <w:r w:rsidR="004A0DFF" w:rsidRPr="0057427C">
      <w:rPr>
        <w:rFonts w:ascii="Arial" w:hAnsi="Arial" w:cs="Arial"/>
        <w:color w:val="auto"/>
      </w:rPr>
      <w:t xml:space="preserve"> 20</w:t>
    </w:r>
    <w:r w:rsidR="004A0DFF">
      <w:rPr>
        <w:rFonts w:ascii="Arial" w:hAnsi="Arial" w:cs="Arial"/>
        <w:color w:val="auto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E8C2AE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Theme="minorHAnsi" w:hAnsiTheme="minorHAnsi" w:hint="default"/>
      </w:rPr>
    </w:lvl>
  </w:abstractNum>
  <w:abstractNum w:abstractNumId="1" w15:restartNumberingAfterBreak="0">
    <w:nsid w:val="FFFFFF83"/>
    <w:multiLevelType w:val="singleLevel"/>
    <w:tmpl w:val="9CA28162"/>
    <w:lvl w:ilvl="0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2" w15:restartNumberingAfterBreak="0">
    <w:nsid w:val="FFFFFF89"/>
    <w:multiLevelType w:val="singleLevel"/>
    <w:tmpl w:val="8856DA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DA7B25"/>
    <w:multiLevelType w:val="hybridMultilevel"/>
    <w:tmpl w:val="35880194"/>
    <w:lvl w:ilvl="0" w:tplc="B9C08660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CB3AEED8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  <w:sz w:val="36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003F7"/>
    <w:multiLevelType w:val="hybridMultilevel"/>
    <w:tmpl w:val="B91619BA"/>
    <w:lvl w:ilvl="0" w:tplc="74E4D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5052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8B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0C4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5A8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32B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84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D6E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3E0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287C45"/>
    <w:multiLevelType w:val="hybridMultilevel"/>
    <w:tmpl w:val="83E68A08"/>
    <w:lvl w:ilvl="0" w:tplc="214480E4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-21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-14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-7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-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</w:abstractNum>
  <w:abstractNum w:abstractNumId="6" w15:restartNumberingAfterBreak="0">
    <w:nsid w:val="34665F03"/>
    <w:multiLevelType w:val="hybridMultilevel"/>
    <w:tmpl w:val="3C10B2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B2A2C"/>
    <w:multiLevelType w:val="hybridMultilevel"/>
    <w:tmpl w:val="18FE18EE"/>
    <w:lvl w:ilvl="0" w:tplc="214480E4">
      <w:numFmt w:val="bullet"/>
      <w:lvlText w:val=""/>
      <w:lvlJc w:val="left"/>
      <w:pPr>
        <w:ind w:left="4695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8" w15:restartNumberingAfterBreak="0">
    <w:nsid w:val="43D3286A"/>
    <w:multiLevelType w:val="hybridMultilevel"/>
    <w:tmpl w:val="C24C8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A49B8"/>
    <w:multiLevelType w:val="hybridMultilevel"/>
    <w:tmpl w:val="CC682B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F0797"/>
    <w:multiLevelType w:val="hybridMultilevel"/>
    <w:tmpl w:val="2D30D0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346E7"/>
    <w:multiLevelType w:val="hybridMultilevel"/>
    <w:tmpl w:val="B6D83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01654"/>
    <w:multiLevelType w:val="hybridMultilevel"/>
    <w:tmpl w:val="AAC86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A3CF3"/>
    <w:multiLevelType w:val="hybridMultilevel"/>
    <w:tmpl w:val="CDDCF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6127C"/>
    <w:multiLevelType w:val="multilevel"/>
    <w:tmpl w:val="0409001F"/>
    <w:numStyleLink w:val="111111"/>
  </w:abstractNum>
  <w:abstractNum w:abstractNumId="15" w15:restartNumberingAfterBreak="0">
    <w:nsid w:val="62175E37"/>
    <w:multiLevelType w:val="hybridMultilevel"/>
    <w:tmpl w:val="3DFECE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44261"/>
    <w:multiLevelType w:val="multilevel"/>
    <w:tmpl w:val="0409001F"/>
    <w:styleLink w:val="111111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C53415B"/>
    <w:multiLevelType w:val="hybridMultilevel"/>
    <w:tmpl w:val="54F4A4AC"/>
    <w:lvl w:ilvl="0" w:tplc="E60E31B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A73ED"/>
    <w:multiLevelType w:val="hybridMultilevel"/>
    <w:tmpl w:val="13063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6"/>
  </w:num>
  <w:num w:numId="5">
    <w:abstractNumId w:val="14"/>
  </w:num>
  <w:num w:numId="6">
    <w:abstractNumId w:val="3"/>
  </w:num>
  <w:num w:numId="7">
    <w:abstractNumId w:val="17"/>
  </w:num>
  <w:num w:numId="8">
    <w:abstractNumId w:val="8"/>
  </w:num>
  <w:num w:numId="9">
    <w:abstractNumId w:val="10"/>
  </w:num>
  <w:num w:numId="10">
    <w:abstractNumId w:val="13"/>
  </w:num>
  <w:num w:numId="11">
    <w:abstractNumId w:val="15"/>
  </w:num>
  <w:num w:numId="12">
    <w:abstractNumId w:val="18"/>
  </w:num>
  <w:num w:numId="13">
    <w:abstractNumId w:val="12"/>
  </w:num>
  <w:num w:numId="14">
    <w:abstractNumId w:val="9"/>
  </w:num>
  <w:num w:numId="15">
    <w:abstractNumId w:val="6"/>
  </w:num>
  <w:num w:numId="16">
    <w:abstractNumId w:val="7"/>
  </w:num>
  <w:num w:numId="17">
    <w:abstractNumId w:val="5"/>
  </w:num>
  <w:num w:numId="18">
    <w:abstractNumId w:val="11"/>
  </w:num>
  <w:num w:numId="1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B3"/>
    <w:rsid w:val="00001ED8"/>
    <w:rsid w:val="000102AC"/>
    <w:rsid w:val="00025BD1"/>
    <w:rsid w:val="00035B5D"/>
    <w:rsid w:val="00036736"/>
    <w:rsid w:val="00045C08"/>
    <w:rsid w:val="00046E2D"/>
    <w:rsid w:val="000525B4"/>
    <w:rsid w:val="00056E59"/>
    <w:rsid w:val="00066405"/>
    <w:rsid w:val="00084AA1"/>
    <w:rsid w:val="0008508D"/>
    <w:rsid w:val="000942B3"/>
    <w:rsid w:val="000A0088"/>
    <w:rsid w:val="000A6C11"/>
    <w:rsid w:val="000B68A5"/>
    <w:rsid w:val="000B7389"/>
    <w:rsid w:val="000C6B64"/>
    <w:rsid w:val="000C7255"/>
    <w:rsid w:val="000D50A1"/>
    <w:rsid w:val="00101204"/>
    <w:rsid w:val="001300B6"/>
    <w:rsid w:val="0013129C"/>
    <w:rsid w:val="00131489"/>
    <w:rsid w:val="001318E2"/>
    <w:rsid w:val="00132277"/>
    <w:rsid w:val="00134276"/>
    <w:rsid w:val="001358B4"/>
    <w:rsid w:val="0013779E"/>
    <w:rsid w:val="001414CC"/>
    <w:rsid w:val="00146DE3"/>
    <w:rsid w:val="00150BBB"/>
    <w:rsid w:val="0015619E"/>
    <w:rsid w:val="001630BF"/>
    <w:rsid w:val="0017237F"/>
    <w:rsid w:val="00172C93"/>
    <w:rsid w:val="001824D9"/>
    <w:rsid w:val="00183BD6"/>
    <w:rsid w:val="0018572C"/>
    <w:rsid w:val="00185C05"/>
    <w:rsid w:val="00190651"/>
    <w:rsid w:val="00191328"/>
    <w:rsid w:val="00191C17"/>
    <w:rsid w:val="0019575C"/>
    <w:rsid w:val="001A203A"/>
    <w:rsid w:val="001A52A6"/>
    <w:rsid w:val="001C44DB"/>
    <w:rsid w:val="001D3D1F"/>
    <w:rsid w:val="001D5789"/>
    <w:rsid w:val="001D75E0"/>
    <w:rsid w:val="001E0ACA"/>
    <w:rsid w:val="001E7C88"/>
    <w:rsid w:val="00204A4C"/>
    <w:rsid w:val="00215478"/>
    <w:rsid w:val="00221F55"/>
    <w:rsid w:val="00227C22"/>
    <w:rsid w:val="00232D85"/>
    <w:rsid w:val="00244051"/>
    <w:rsid w:val="00245EDC"/>
    <w:rsid w:val="00265188"/>
    <w:rsid w:val="00265652"/>
    <w:rsid w:val="00266819"/>
    <w:rsid w:val="00267817"/>
    <w:rsid w:val="00270123"/>
    <w:rsid w:val="00287239"/>
    <w:rsid w:val="00297EE4"/>
    <w:rsid w:val="002B09B8"/>
    <w:rsid w:val="002B3866"/>
    <w:rsid w:val="002C0038"/>
    <w:rsid w:val="002E201C"/>
    <w:rsid w:val="002E5815"/>
    <w:rsid w:val="002E5A37"/>
    <w:rsid w:val="002F0269"/>
    <w:rsid w:val="002F5A2D"/>
    <w:rsid w:val="0030013C"/>
    <w:rsid w:val="0030746A"/>
    <w:rsid w:val="0032437F"/>
    <w:rsid w:val="00337E67"/>
    <w:rsid w:val="0034256F"/>
    <w:rsid w:val="0035282B"/>
    <w:rsid w:val="0035316C"/>
    <w:rsid w:val="00356894"/>
    <w:rsid w:val="00362778"/>
    <w:rsid w:val="00363482"/>
    <w:rsid w:val="00366951"/>
    <w:rsid w:val="00366A56"/>
    <w:rsid w:val="00367663"/>
    <w:rsid w:val="0037217D"/>
    <w:rsid w:val="0038060B"/>
    <w:rsid w:val="003823D9"/>
    <w:rsid w:val="00386660"/>
    <w:rsid w:val="00394CE5"/>
    <w:rsid w:val="00396A17"/>
    <w:rsid w:val="003A06E7"/>
    <w:rsid w:val="003B6C61"/>
    <w:rsid w:val="003E57BB"/>
    <w:rsid w:val="003E79BC"/>
    <w:rsid w:val="003F1728"/>
    <w:rsid w:val="003F185B"/>
    <w:rsid w:val="00405FD5"/>
    <w:rsid w:val="004074F7"/>
    <w:rsid w:val="00407AC1"/>
    <w:rsid w:val="00407E9B"/>
    <w:rsid w:val="004153CD"/>
    <w:rsid w:val="00415E0E"/>
    <w:rsid w:val="00422F09"/>
    <w:rsid w:val="004355B1"/>
    <w:rsid w:val="00435AED"/>
    <w:rsid w:val="00447F02"/>
    <w:rsid w:val="004556C3"/>
    <w:rsid w:val="004604F5"/>
    <w:rsid w:val="0046170F"/>
    <w:rsid w:val="00463DA7"/>
    <w:rsid w:val="004A0DFF"/>
    <w:rsid w:val="004A1283"/>
    <w:rsid w:val="004A30D7"/>
    <w:rsid w:val="004A37BC"/>
    <w:rsid w:val="004B256A"/>
    <w:rsid w:val="004B5DE0"/>
    <w:rsid w:val="004B69B8"/>
    <w:rsid w:val="004B741F"/>
    <w:rsid w:val="004C35B3"/>
    <w:rsid w:val="004D27E5"/>
    <w:rsid w:val="004D5E95"/>
    <w:rsid w:val="004E333F"/>
    <w:rsid w:val="004F069A"/>
    <w:rsid w:val="004F1F34"/>
    <w:rsid w:val="004F3900"/>
    <w:rsid w:val="004F6A4E"/>
    <w:rsid w:val="00500A07"/>
    <w:rsid w:val="005162C2"/>
    <w:rsid w:val="00540494"/>
    <w:rsid w:val="005543E6"/>
    <w:rsid w:val="005579B3"/>
    <w:rsid w:val="00562081"/>
    <w:rsid w:val="00573652"/>
    <w:rsid w:val="0057427C"/>
    <w:rsid w:val="0058021B"/>
    <w:rsid w:val="0058051C"/>
    <w:rsid w:val="005875B9"/>
    <w:rsid w:val="00595642"/>
    <w:rsid w:val="005A4BFF"/>
    <w:rsid w:val="005A5167"/>
    <w:rsid w:val="005B3476"/>
    <w:rsid w:val="005B59D5"/>
    <w:rsid w:val="005B749C"/>
    <w:rsid w:val="005C0372"/>
    <w:rsid w:val="005D42EF"/>
    <w:rsid w:val="005D6AB4"/>
    <w:rsid w:val="005E2CF3"/>
    <w:rsid w:val="005F1B3A"/>
    <w:rsid w:val="005F3775"/>
    <w:rsid w:val="005F621E"/>
    <w:rsid w:val="00602692"/>
    <w:rsid w:val="006029A5"/>
    <w:rsid w:val="00610934"/>
    <w:rsid w:val="00612634"/>
    <w:rsid w:val="00616987"/>
    <w:rsid w:val="00623682"/>
    <w:rsid w:val="00627B1F"/>
    <w:rsid w:val="006353B9"/>
    <w:rsid w:val="00644CD5"/>
    <w:rsid w:val="00644F58"/>
    <w:rsid w:val="00661350"/>
    <w:rsid w:val="0066157A"/>
    <w:rsid w:val="00667886"/>
    <w:rsid w:val="00691DA4"/>
    <w:rsid w:val="00697CA8"/>
    <w:rsid w:val="006A5DEA"/>
    <w:rsid w:val="006C3785"/>
    <w:rsid w:val="006C4673"/>
    <w:rsid w:val="006C6131"/>
    <w:rsid w:val="006C6F43"/>
    <w:rsid w:val="006E152B"/>
    <w:rsid w:val="006E5FD8"/>
    <w:rsid w:val="006F4DA2"/>
    <w:rsid w:val="007112A0"/>
    <w:rsid w:val="00711854"/>
    <w:rsid w:val="00716FC2"/>
    <w:rsid w:val="007259FA"/>
    <w:rsid w:val="00731C8E"/>
    <w:rsid w:val="00743136"/>
    <w:rsid w:val="00747D10"/>
    <w:rsid w:val="00756E35"/>
    <w:rsid w:val="00760CD6"/>
    <w:rsid w:val="00781401"/>
    <w:rsid w:val="00783AC6"/>
    <w:rsid w:val="007A07B3"/>
    <w:rsid w:val="007A1013"/>
    <w:rsid w:val="007A584C"/>
    <w:rsid w:val="007A7735"/>
    <w:rsid w:val="007C759C"/>
    <w:rsid w:val="007D06CE"/>
    <w:rsid w:val="007D0BB7"/>
    <w:rsid w:val="007E50A7"/>
    <w:rsid w:val="007E604F"/>
    <w:rsid w:val="007F0E43"/>
    <w:rsid w:val="0081498F"/>
    <w:rsid w:val="008159FB"/>
    <w:rsid w:val="00827527"/>
    <w:rsid w:val="00844F8B"/>
    <w:rsid w:val="0085386C"/>
    <w:rsid w:val="008742EF"/>
    <w:rsid w:val="00875AAA"/>
    <w:rsid w:val="0089048D"/>
    <w:rsid w:val="008A1266"/>
    <w:rsid w:val="008B065D"/>
    <w:rsid w:val="008C1A8E"/>
    <w:rsid w:val="008C3EF4"/>
    <w:rsid w:val="008F1C02"/>
    <w:rsid w:val="008F32F3"/>
    <w:rsid w:val="008F3CD4"/>
    <w:rsid w:val="008F45F3"/>
    <w:rsid w:val="008F4B04"/>
    <w:rsid w:val="009002D8"/>
    <w:rsid w:val="009033F3"/>
    <w:rsid w:val="00905EE7"/>
    <w:rsid w:val="00922ADD"/>
    <w:rsid w:val="00934390"/>
    <w:rsid w:val="009368F2"/>
    <w:rsid w:val="009447AB"/>
    <w:rsid w:val="00946D42"/>
    <w:rsid w:val="00955401"/>
    <w:rsid w:val="00956A16"/>
    <w:rsid w:val="00956CD2"/>
    <w:rsid w:val="00965DBB"/>
    <w:rsid w:val="009664EC"/>
    <w:rsid w:val="00973E8D"/>
    <w:rsid w:val="00975D09"/>
    <w:rsid w:val="00977E16"/>
    <w:rsid w:val="00982363"/>
    <w:rsid w:val="0098397E"/>
    <w:rsid w:val="009929EB"/>
    <w:rsid w:val="009A0020"/>
    <w:rsid w:val="009A0F5A"/>
    <w:rsid w:val="009A1923"/>
    <w:rsid w:val="009A2C92"/>
    <w:rsid w:val="009C67B5"/>
    <w:rsid w:val="009D7D52"/>
    <w:rsid w:val="009E4366"/>
    <w:rsid w:val="009E574D"/>
    <w:rsid w:val="009F2F1F"/>
    <w:rsid w:val="00A07EF2"/>
    <w:rsid w:val="00A1005F"/>
    <w:rsid w:val="00A364CC"/>
    <w:rsid w:val="00A37236"/>
    <w:rsid w:val="00A47FC9"/>
    <w:rsid w:val="00A61261"/>
    <w:rsid w:val="00A63434"/>
    <w:rsid w:val="00A8786F"/>
    <w:rsid w:val="00A903BA"/>
    <w:rsid w:val="00AA1551"/>
    <w:rsid w:val="00AA5E48"/>
    <w:rsid w:val="00AB414F"/>
    <w:rsid w:val="00AC7EA0"/>
    <w:rsid w:val="00AD032E"/>
    <w:rsid w:val="00AD07A8"/>
    <w:rsid w:val="00AE3E97"/>
    <w:rsid w:val="00AF07A3"/>
    <w:rsid w:val="00AF3A7F"/>
    <w:rsid w:val="00B2149E"/>
    <w:rsid w:val="00B30A3B"/>
    <w:rsid w:val="00B34D47"/>
    <w:rsid w:val="00B375AB"/>
    <w:rsid w:val="00B46D7B"/>
    <w:rsid w:val="00B502A0"/>
    <w:rsid w:val="00B5511B"/>
    <w:rsid w:val="00B86CE8"/>
    <w:rsid w:val="00B87FF7"/>
    <w:rsid w:val="00B94F74"/>
    <w:rsid w:val="00BA59BB"/>
    <w:rsid w:val="00BB0515"/>
    <w:rsid w:val="00BB15DE"/>
    <w:rsid w:val="00BB74D2"/>
    <w:rsid w:val="00BD5835"/>
    <w:rsid w:val="00BD5CC0"/>
    <w:rsid w:val="00BF6715"/>
    <w:rsid w:val="00BF6736"/>
    <w:rsid w:val="00C1458B"/>
    <w:rsid w:val="00C16EDD"/>
    <w:rsid w:val="00C274DD"/>
    <w:rsid w:val="00C30E14"/>
    <w:rsid w:val="00C344D7"/>
    <w:rsid w:val="00C35684"/>
    <w:rsid w:val="00C37DFB"/>
    <w:rsid w:val="00C406AB"/>
    <w:rsid w:val="00C4157B"/>
    <w:rsid w:val="00C50109"/>
    <w:rsid w:val="00C50FF6"/>
    <w:rsid w:val="00C53C07"/>
    <w:rsid w:val="00C57FD1"/>
    <w:rsid w:val="00C61233"/>
    <w:rsid w:val="00C71E34"/>
    <w:rsid w:val="00C739AE"/>
    <w:rsid w:val="00C93F73"/>
    <w:rsid w:val="00C95BFB"/>
    <w:rsid w:val="00CA41ED"/>
    <w:rsid w:val="00CB3193"/>
    <w:rsid w:val="00CC14C9"/>
    <w:rsid w:val="00CC1A54"/>
    <w:rsid w:val="00CC2E72"/>
    <w:rsid w:val="00CC4802"/>
    <w:rsid w:val="00CF412E"/>
    <w:rsid w:val="00D0057E"/>
    <w:rsid w:val="00D0401D"/>
    <w:rsid w:val="00D107BF"/>
    <w:rsid w:val="00D11E85"/>
    <w:rsid w:val="00D22265"/>
    <w:rsid w:val="00D319B3"/>
    <w:rsid w:val="00D31E81"/>
    <w:rsid w:val="00D47928"/>
    <w:rsid w:val="00D67CA2"/>
    <w:rsid w:val="00D77086"/>
    <w:rsid w:val="00D91900"/>
    <w:rsid w:val="00D947F7"/>
    <w:rsid w:val="00DA02CC"/>
    <w:rsid w:val="00DB6FAF"/>
    <w:rsid w:val="00DD22F7"/>
    <w:rsid w:val="00DD7255"/>
    <w:rsid w:val="00DE30DA"/>
    <w:rsid w:val="00DE3B63"/>
    <w:rsid w:val="00DE3C06"/>
    <w:rsid w:val="00E067D9"/>
    <w:rsid w:val="00E12574"/>
    <w:rsid w:val="00E156E7"/>
    <w:rsid w:val="00E16697"/>
    <w:rsid w:val="00E24B38"/>
    <w:rsid w:val="00E25B8E"/>
    <w:rsid w:val="00E27280"/>
    <w:rsid w:val="00E31BA3"/>
    <w:rsid w:val="00E5262B"/>
    <w:rsid w:val="00E5265B"/>
    <w:rsid w:val="00E61911"/>
    <w:rsid w:val="00E61ACB"/>
    <w:rsid w:val="00E84095"/>
    <w:rsid w:val="00E85A7F"/>
    <w:rsid w:val="00E9727B"/>
    <w:rsid w:val="00EB3E75"/>
    <w:rsid w:val="00EC49E4"/>
    <w:rsid w:val="00EC53C8"/>
    <w:rsid w:val="00ED1553"/>
    <w:rsid w:val="00ED561B"/>
    <w:rsid w:val="00ED741C"/>
    <w:rsid w:val="00EE088D"/>
    <w:rsid w:val="00EE3EE0"/>
    <w:rsid w:val="00EE43C1"/>
    <w:rsid w:val="00EE4791"/>
    <w:rsid w:val="00EE50AD"/>
    <w:rsid w:val="00EF0EC5"/>
    <w:rsid w:val="00F003CA"/>
    <w:rsid w:val="00F02676"/>
    <w:rsid w:val="00F035C6"/>
    <w:rsid w:val="00F1053C"/>
    <w:rsid w:val="00F111C2"/>
    <w:rsid w:val="00F15122"/>
    <w:rsid w:val="00F16A58"/>
    <w:rsid w:val="00F21EA0"/>
    <w:rsid w:val="00F30002"/>
    <w:rsid w:val="00F316DB"/>
    <w:rsid w:val="00F34EE1"/>
    <w:rsid w:val="00F36CE1"/>
    <w:rsid w:val="00F4497C"/>
    <w:rsid w:val="00F46002"/>
    <w:rsid w:val="00F523A5"/>
    <w:rsid w:val="00F62D60"/>
    <w:rsid w:val="00F65205"/>
    <w:rsid w:val="00F71493"/>
    <w:rsid w:val="00F7704D"/>
    <w:rsid w:val="00F834A7"/>
    <w:rsid w:val="00F861B7"/>
    <w:rsid w:val="00F919D5"/>
    <w:rsid w:val="00FA56CD"/>
    <w:rsid w:val="00FA668A"/>
    <w:rsid w:val="00FB260E"/>
    <w:rsid w:val="00FB6B3B"/>
    <w:rsid w:val="00FB75D3"/>
    <w:rsid w:val="00FC583D"/>
    <w:rsid w:val="00FC5AB8"/>
    <w:rsid w:val="00FD0F0B"/>
    <w:rsid w:val="00FD5473"/>
    <w:rsid w:val="00FE5780"/>
    <w:rsid w:val="00FE7861"/>
    <w:rsid w:val="00FF6D14"/>
    <w:rsid w:val="00FF6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E0EF0"/>
  <w15:docId w15:val="{D7FAFC0D-DAB5-4E69-B69A-9152E6AB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E0E"/>
    <w:pPr>
      <w:spacing w:before="240" w:after="240" w:line="276" w:lineRule="auto"/>
    </w:pPr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277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73C4E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778"/>
    <w:pPr>
      <w:keepNext/>
      <w:keepLines/>
      <w:numPr>
        <w:ilvl w:val="1"/>
        <w:numId w:val="5"/>
      </w:numPr>
      <w:outlineLvl w:val="1"/>
    </w:pPr>
    <w:rPr>
      <w:rFonts w:asciiTheme="majorHAnsi" w:eastAsiaTheme="majorEastAsia" w:hAnsiTheme="majorHAnsi" w:cstheme="majorBidi"/>
      <w:b/>
      <w:bCs/>
      <w:color w:val="273C4E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277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273C4E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50A1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57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7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16680" w:themeColor="background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4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3E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5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5B3"/>
  </w:style>
  <w:style w:type="paragraph" w:styleId="Footer">
    <w:name w:val="footer"/>
    <w:basedOn w:val="Normal"/>
    <w:link w:val="FooterChar"/>
    <w:uiPriority w:val="99"/>
    <w:unhideWhenUsed/>
    <w:rsid w:val="0035282B"/>
    <w:pPr>
      <w:tabs>
        <w:tab w:val="center" w:pos="4320"/>
        <w:tab w:val="right" w:pos="864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5282B"/>
    <w:rPr>
      <w:color w:val="000000" w:themeColor="text1"/>
      <w:sz w:val="18"/>
    </w:rPr>
  </w:style>
  <w:style w:type="paragraph" w:customStyle="1" w:styleId="BasicParagraph">
    <w:name w:val="[Basic Paragraph]"/>
    <w:basedOn w:val="Normal"/>
    <w:uiPriority w:val="99"/>
    <w:rsid w:val="00F035C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B256A"/>
  </w:style>
  <w:style w:type="paragraph" w:customStyle="1" w:styleId="footertextA4V">
    <w:name w:val="footer text (A4 V)"/>
    <w:basedOn w:val="Normal"/>
    <w:uiPriority w:val="99"/>
    <w:rsid w:val="004B256A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Department">
    <w:name w:val="Department"/>
    <w:basedOn w:val="Normal"/>
    <w:qFormat/>
    <w:rsid w:val="00AA5E48"/>
    <w:pPr>
      <w:spacing w:before="120" w:after="120"/>
    </w:pPr>
  </w:style>
  <w:style w:type="paragraph" w:styleId="Title">
    <w:name w:val="Title"/>
    <w:basedOn w:val="Normal"/>
    <w:next w:val="Normal"/>
    <w:link w:val="TitleChar"/>
    <w:qFormat/>
    <w:rsid w:val="00EC53C8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53C8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EA0"/>
    <w:pPr>
      <w:numPr>
        <w:ilvl w:val="1"/>
      </w:numPr>
      <w:spacing w:after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AC7EA0"/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Caption">
    <w:name w:val="caption"/>
    <w:basedOn w:val="Normal"/>
    <w:next w:val="Normal"/>
    <w:uiPriority w:val="35"/>
    <w:unhideWhenUsed/>
    <w:qFormat/>
    <w:rsid w:val="006C6F43"/>
    <w:pPr>
      <w:spacing w:after="200"/>
      <w:jc w:val="right"/>
    </w:pPr>
    <w:rPr>
      <w:b/>
      <w:bCs/>
      <w:i/>
      <w:color w:val="808080" w:themeColor="background1" w:themeShade="80"/>
      <w:sz w:val="18"/>
      <w:szCs w:val="18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002"/>
    <w:pPr>
      <w:spacing w:before="200" w:after="280" w:line="240" w:lineRule="auto"/>
    </w:pPr>
    <w:rPr>
      <w:bCs/>
      <w:iCs/>
      <w:color w:val="FFFFFF" w:themeColor="background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002"/>
    <w:rPr>
      <w:bCs/>
      <w:iCs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362778"/>
    <w:rPr>
      <w:rFonts w:asciiTheme="majorHAnsi" w:eastAsiaTheme="majorEastAsia" w:hAnsiTheme="majorHAnsi" w:cstheme="majorBidi"/>
      <w:b/>
      <w:bCs/>
      <w:color w:val="273C4E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2778"/>
    <w:rPr>
      <w:rFonts w:asciiTheme="majorHAnsi" w:eastAsiaTheme="majorEastAsia" w:hAnsiTheme="majorHAnsi" w:cstheme="majorBidi"/>
      <w:b/>
      <w:bCs/>
      <w:color w:val="273C4E" w:themeColor="tex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2778"/>
    <w:rPr>
      <w:rFonts w:asciiTheme="majorHAnsi" w:eastAsiaTheme="majorEastAsia" w:hAnsiTheme="majorHAnsi" w:cstheme="majorBidi"/>
      <w:b/>
      <w:bCs/>
      <w:color w:val="273C4E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D50A1"/>
    <w:rPr>
      <w:rFonts w:asciiTheme="majorHAnsi" w:eastAsiaTheme="majorEastAsia" w:hAnsiTheme="majorHAnsi" w:cstheme="majorBidi"/>
      <w:b/>
      <w:bCs/>
      <w:iCs/>
      <w:color w:val="000000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E57BB"/>
    <w:rPr>
      <w:rFonts w:asciiTheme="majorHAnsi" w:eastAsiaTheme="majorEastAsia" w:hAnsiTheme="majorHAnsi" w:cstheme="majorBidi"/>
      <w:b/>
      <w:i/>
      <w:color w:val="000000" w:themeColor="text1"/>
      <w:sz w:val="22"/>
    </w:rPr>
  </w:style>
  <w:style w:type="character" w:styleId="IntenseEmphasis">
    <w:name w:val="Intense Emphasis"/>
    <w:basedOn w:val="DefaultParagraphFont"/>
    <w:uiPriority w:val="21"/>
    <w:qFormat/>
    <w:rsid w:val="003E57BB"/>
    <w:rPr>
      <w:b/>
      <w:bCs/>
      <w:i/>
      <w:iCs/>
      <w:color w:val="273C4E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7BB"/>
    <w:rPr>
      <w:rFonts w:asciiTheme="majorHAnsi" w:eastAsiaTheme="majorEastAsia" w:hAnsiTheme="majorHAnsi" w:cstheme="majorBidi"/>
      <w:i/>
      <w:iCs/>
      <w:color w:val="416680" w:themeColor="background2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F34EE1"/>
    <w:pPr>
      <w:numPr>
        <w:numId w:val="0"/>
      </w:numPr>
      <w:outlineLvl w:val="9"/>
    </w:pPr>
  </w:style>
  <w:style w:type="paragraph" w:styleId="ListBullet2">
    <w:name w:val="List Bullet 2"/>
    <w:basedOn w:val="Normal"/>
    <w:uiPriority w:val="99"/>
    <w:semiHidden/>
    <w:unhideWhenUsed/>
    <w:rsid w:val="00F34EE1"/>
    <w:pPr>
      <w:numPr>
        <w:numId w:val="2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3E57BB"/>
    <w:pPr>
      <w:numPr>
        <w:numId w:val="4"/>
      </w:numPr>
    </w:pPr>
  </w:style>
  <w:style w:type="paragraph" w:styleId="ListBullet3">
    <w:name w:val="List Bullet 3"/>
    <w:basedOn w:val="Normal"/>
    <w:uiPriority w:val="99"/>
    <w:semiHidden/>
    <w:unhideWhenUsed/>
    <w:rsid w:val="00F34EE1"/>
    <w:pPr>
      <w:numPr>
        <w:numId w:val="3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F34EE1"/>
    <w:pPr>
      <w:numPr>
        <w:numId w:val="1"/>
      </w:numPr>
      <w:contextualSpacing/>
    </w:pPr>
  </w:style>
  <w:style w:type="paragraph" w:customStyle="1" w:styleId="Subtitle2">
    <w:name w:val="Subtitle 2"/>
    <w:basedOn w:val="Subtitle"/>
    <w:qFormat/>
    <w:rsid w:val="00E24B38"/>
    <w:pPr>
      <w:spacing w:before="0"/>
    </w:pPr>
    <w:rPr>
      <w:sz w:val="28"/>
    </w:rPr>
  </w:style>
  <w:style w:type="paragraph" w:customStyle="1" w:styleId="HeadingL1A4V">
    <w:name w:val="Heading L1 (A4 V)"/>
    <w:basedOn w:val="Normal"/>
    <w:uiPriority w:val="99"/>
    <w:rsid w:val="002C0038"/>
    <w:pPr>
      <w:widowControl w:val="0"/>
      <w:suppressAutoHyphens/>
      <w:autoSpaceDE w:val="0"/>
      <w:autoSpaceDN w:val="0"/>
      <w:adjustRightInd w:val="0"/>
      <w:spacing w:before="57" w:after="113" w:line="288" w:lineRule="auto"/>
      <w:textAlignment w:val="center"/>
    </w:pPr>
    <w:rPr>
      <w:rFonts w:ascii="Arial-BoldMT" w:hAnsi="Arial-BoldMT" w:cs="Arial-BoldMT"/>
      <w:b/>
      <w:bCs/>
      <w:color w:val="000019"/>
      <w:sz w:val="48"/>
      <w:szCs w:val="48"/>
      <w:lang w:val="en-GB"/>
    </w:rPr>
  </w:style>
  <w:style w:type="paragraph" w:customStyle="1" w:styleId="HeadingL2A4V">
    <w:name w:val="Heading L2 (A4 V)"/>
    <w:basedOn w:val="HeadingL1A4V"/>
    <w:uiPriority w:val="99"/>
    <w:rsid w:val="002C0038"/>
    <w:rPr>
      <w:sz w:val="36"/>
      <w:szCs w:val="36"/>
    </w:rPr>
  </w:style>
  <w:style w:type="paragraph" w:customStyle="1" w:styleId="BodytextA4V">
    <w:name w:val="Body text (A4 V)"/>
    <w:basedOn w:val="Normal"/>
    <w:uiPriority w:val="99"/>
    <w:rsid w:val="00415E0E"/>
    <w:pPr>
      <w:widowControl w:val="0"/>
      <w:suppressAutoHyphens/>
      <w:autoSpaceDE w:val="0"/>
      <w:autoSpaceDN w:val="0"/>
      <w:adjustRightInd w:val="0"/>
      <w:spacing w:after="170" w:line="300" w:lineRule="atLeast"/>
      <w:textAlignment w:val="center"/>
    </w:pPr>
    <w:rPr>
      <w:rFonts w:ascii="ArialMT" w:hAnsi="ArialMT" w:cs="ArialMT"/>
      <w:color w:val="000000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BB15DE"/>
    <w:pPr>
      <w:ind w:left="720"/>
      <w:contextualSpacing/>
    </w:pPr>
  </w:style>
  <w:style w:type="paragraph" w:customStyle="1" w:styleId="bodybulletsL1A4V">
    <w:name w:val="body bullets L1 (A4 V)"/>
    <w:basedOn w:val="BodytextA4V"/>
    <w:uiPriority w:val="99"/>
    <w:rsid w:val="00415E0E"/>
    <w:pPr>
      <w:tabs>
        <w:tab w:val="left" w:pos="283"/>
      </w:tabs>
    </w:pPr>
  </w:style>
  <w:style w:type="character" w:styleId="FollowedHyperlink">
    <w:name w:val="FollowedHyperlink"/>
    <w:basedOn w:val="DefaultParagraphFont"/>
    <w:uiPriority w:val="99"/>
    <w:unhideWhenUsed/>
    <w:rsid w:val="0035282B"/>
    <w:rPr>
      <w:color w:val="55437E" w:themeColor="followedHyperlink"/>
      <w:u w:val="single"/>
    </w:rPr>
  </w:style>
  <w:style w:type="paragraph" w:styleId="EnvelopeReturn">
    <w:name w:val="envelope return"/>
    <w:basedOn w:val="Normal"/>
    <w:uiPriority w:val="99"/>
    <w:unhideWhenUsed/>
    <w:rsid w:val="0035282B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6C3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6C3"/>
    <w:rPr>
      <w:rFonts w:ascii="Lucida Grande" w:hAnsi="Lucida Grande" w:cs="Lucida Grande"/>
      <w:color w:val="000000" w:themeColor="text1"/>
      <w:sz w:val="18"/>
      <w:szCs w:val="18"/>
    </w:rPr>
  </w:style>
  <w:style w:type="paragraph" w:customStyle="1" w:styleId="HeadingL3A4V">
    <w:name w:val="Heading L3 (A4 V)"/>
    <w:basedOn w:val="HeadingL2A4V"/>
    <w:uiPriority w:val="99"/>
    <w:rsid w:val="004556C3"/>
    <w:pPr>
      <w:spacing w:before="340"/>
    </w:pPr>
    <w:rPr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414CC"/>
    <w:pPr>
      <w:spacing w:before="120" w:after="0"/>
    </w:pPr>
    <w:rPr>
      <w:rFonts w:cstheme="minorHAnsi"/>
      <w:b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827527"/>
    <w:pPr>
      <w:spacing w:before="0" w:after="0"/>
      <w:ind w:left="220"/>
    </w:pPr>
    <w:rPr>
      <w:rFonts w:cstheme="minorHAnsi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414CC"/>
    <w:pPr>
      <w:spacing w:before="0" w:after="0"/>
      <w:ind w:left="440"/>
    </w:pPr>
    <w:rPr>
      <w:rFonts w:cstheme="minorHAnsi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414CC"/>
    <w:pPr>
      <w:spacing w:before="0"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414CC"/>
    <w:pPr>
      <w:spacing w:before="0"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414CC"/>
    <w:pPr>
      <w:spacing w:before="0"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414CC"/>
    <w:pPr>
      <w:spacing w:before="0"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414CC"/>
    <w:pPr>
      <w:spacing w:before="0"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414CC"/>
    <w:pPr>
      <w:spacing w:before="0" w:after="0"/>
      <w:ind w:left="1760"/>
    </w:pPr>
    <w:rPr>
      <w:rFonts w:cstheme="minorHAnsi"/>
      <w:sz w:val="20"/>
      <w:szCs w:val="20"/>
    </w:rPr>
  </w:style>
  <w:style w:type="paragraph" w:customStyle="1" w:styleId="bodybulletsL2A4V">
    <w:name w:val="body bullets L2 (A4 V)"/>
    <w:basedOn w:val="BodytextA4V"/>
    <w:uiPriority w:val="99"/>
    <w:rsid w:val="00EC53C8"/>
    <w:pPr>
      <w:tabs>
        <w:tab w:val="left" w:pos="567"/>
      </w:tabs>
      <w:spacing w:before="0"/>
      <w:ind w:left="283"/>
    </w:pPr>
  </w:style>
  <w:style w:type="paragraph" w:customStyle="1" w:styleId="HeadingL4A4V">
    <w:name w:val="Heading L4 (A4 V)"/>
    <w:basedOn w:val="HeadingL3A4V"/>
    <w:uiPriority w:val="99"/>
    <w:rsid w:val="00EC53C8"/>
    <w:pPr>
      <w:spacing w:after="0"/>
    </w:pPr>
    <w:rPr>
      <w:color w:val="000000"/>
      <w:sz w:val="22"/>
      <w:szCs w:val="22"/>
    </w:rPr>
  </w:style>
  <w:style w:type="paragraph" w:customStyle="1" w:styleId="pulloutA4V">
    <w:name w:val="pullout (A4 V)"/>
    <w:basedOn w:val="BodytextA4V"/>
    <w:uiPriority w:val="99"/>
    <w:rsid w:val="00F30002"/>
    <w:pPr>
      <w:spacing w:before="0" w:line="340" w:lineRule="atLeast"/>
    </w:pPr>
    <w:rPr>
      <w:color w:val="FFFFFF"/>
      <w:sz w:val="24"/>
      <w:szCs w:val="24"/>
    </w:rPr>
  </w:style>
  <w:style w:type="paragraph" w:customStyle="1" w:styleId="bodynumbersL1A4V">
    <w:name w:val="body numbers L1 (A4 V)"/>
    <w:basedOn w:val="bodybulletsL1A4V"/>
    <w:uiPriority w:val="99"/>
    <w:rsid w:val="003A06E7"/>
    <w:pPr>
      <w:tabs>
        <w:tab w:val="clear" w:pos="283"/>
        <w:tab w:val="left" w:pos="567"/>
      </w:tabs>
      <w:spacing w:before="0"/>
    </w:pPr>
  </w:style>
  <w:style w:type="paragraph" w:customStyle="1" w:styleId="bodynumbersL2A4V">
    <w:name w:val="body numbers L2 (A4 V)"/>
    <w:basedOn w:val="bodynumbersL1A4V"/>
    <w:uiPriority w:val="99"/>
    <w:rsid w:val="003A06E7"/>
    <w:pPr>
      <w:tabs>
        <w:tab w:val="clear" w:pos="567"/>
        <w:tab w:val="left" w:pos="1134"/>
      </w:tabs>
      <w:ind w:left="567"/>
    </w:pPr>
  </w:style>
  <w:style w:type="table" w:styleId="TableGrid">
    <w:name w:val="Table Grid"/>
    <w:basedOn w:val="TableNormal"/>
    <w:uiPriority w:val="59"/>
    <w:rsid w:val="00C3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5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9FB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9FB"/>
    <w:rPr>
      <w:b/>
      <w:bCs/>
      <w:color w:val="000000" w:themeColor="text1"/>
      <w:sz w:val="20"/>
      <w:szCs w:val="20"/>
    </w:rPr>
  </w:style>
  <w:style w:type="paragraph" w:customStyle="1" w:styleId="BackgroundBullets">
    <w:name w:val="Background Bullets"/>
    <w:basedOn w:val="Normal"/>
    <w:rsid w:val="009E574D"/>
    <w:pPr>
      <w:overflowPunct w:val="0"/>
      <w:autoSpaceDE w:val="0"/>
      <w:autoSpaceDN w:val="0"/>
      <w:adjustRightInd w:val="0"/>
      <w:spacing w:before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color w:val="auto"/>
      <w:sz w:val="26"/>
      <w:szCs w:val="20"/>
    </w:rPr>
  </w:style>
  <w:style w:type="paragraph" w:styleId="NoSpacing">
    <w:name w:val="No Spacing"/>
    <w:uiPriority w:val="1"/>
    <w:qFormat/>
    <w:rsid w:val="00AA5E48"/>
    <w:rPr>
      <w:color w:val="000000" w:themeColor="text1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494"/>
    <w:rPr>
      <w:rFonts w:asciiTheme="majorHAnsi" w:eastAsiaTheme="majorEastAsia" w:hAnsiTheme="majorHAnsi" w:cstheme="majorBidi"/>
      <w:i/>
      <w:iCs/>
      <w:color w:val="843E06" w:themeColor="accent1" w:themeShade="7F"/>
      <w:sz w:val="22"/>
    </w:rPr>
  </w:style>
  <w:style w:type="paragraph" w:customStyle="1" w:styleId="Default">
    <w:name w:val="Default"/>
    <w:rsid w:val="00540494"/>
    <w:pPr>
      <w:autoSpaceDE w:val="0"/>
      <w:autoSpaceDN w:val="0"/>
      <w:adjustRightInd w:val="0"/>
    </w:pPr>
    <w:rPr>
      <w:rFonts w:ascii="GillSans Light" w:eastAsia="Times New Roman" w:hAnsi="GillSans Light" w:cs="GillSans Light"/>
      <w:color w:val="000000"/>
      <w:lang w:eastAsia="en-AU"/>
    </w:rPr>
  </w:style>
  <w:style w:type="character" w:styleId="Hyperlink">
    <w:name w:val="Hyperlink"/>
    <w:basedOn w:val="DefaultParagraphFont"/>
    <w:uiPriority w:val="99"/>
    <w:unhideWhenUsed/>
    <w:rsid w:val="003B6C61"/>
    <w:rPr>
      <w:color w:val="0076BE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7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216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s.tas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jobs.tas.gov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SMO">
  <a:themeElements>
    <a:clrScheme name="SSMO">
      <a:dk1>
        <a:sysClr val="windowText" lastClr="000000"/>
      </a:dk1>
      <a:lt1>
        <a:sysClr val="window" lastClr="FFFFFF"/>
      </a:lt1>
      <a:dk2>
        <a:srgbClr val="273C4E"/>
      </a:dk2>
      <a:lt2>
        <a:srgbClr val="416680"/>
      </a:lt2>
      <a:accent1>
        <a:srgbClr val="F58021"/>
      </a:accent1>
      <a:accent2>
        <a:srgbClr val="CE3725"/>
      </a:accent2>
      <a:accent3>
        <a:srgbClr val="65BD41"/>
      </a:accent3>
      <a:accent4>
        <a:srgbClr val="789531"/>
      </a:accent4>
      <a:accent5>
        <a:srgbClr val="00BCDA"/>
      </a:accent5>
      <a:accent6>
        <a:srgbClr val="005A96"/>
      </a:accent6>
      <a:hlink>
        <a:srgbClr val="0076BE"/>
      </a:hlink>
      <a:folHlink>
        <a:srgbClr val="55437E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65CB9D-11A3-4168-80C7-9736AF46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2685</Words>
  <Characters>15307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Digital Ink</Company>
  <LinksUpToDate>false</LinksUpToDate>
  <CharactersWithSpaces>17957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Brennan Wilson</dc:creator>
  <cp:lastModifiedBy>Philpott, Kerri</cp:lastModifiedBy>
  <cp:revision>4</cp:revision>
  <cp:lastPrinted>2021-09-13T01:14:00Z</cp:lastPrinted>
  <dcterms:created xsi:type="dcterms:W3CDTF">2021-10-18T00:43:00Z</dcterms:created>
  <dcterms:modified xsi:type="dcterms:W3CDTF">2021-10-18T01:56:00Z</dcterms:modified>
</cp:coreProperties>
</file>