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1B73" w14:textId="77777777" w:rsidR="00643093" w:rsidRPr="00F822F7" w:rsidRDefault="00643093" w:rsidP="001B3D6B">
      <w:pPr>
        <w:pStyle w:val="Subtitle"/>
        <w:spacing w:before="4200"/>
        <w:jc w:val="left"/>
        <w:rPr>
          <w:rFonts w:eastAsiaTheme="majorEastAsia" w:cs="Arial"/>
          <w:b/>
          <w:bCs/>
          <w:spacing w:val="-10"/>
          <w:kern w:val="28"/>
          <w:sz w:val="70"/>
          <w:szCs w:val="70"/>
          <w:lang w:val="en-AU"/>
        </w:rPr>
      </w:pPr>
      <w:bookmarkStart w:id="0" w:name="_Hlk48822754"/>
      <w:bookmarkEnd w:id="0"/>
      <w:r w:rsidRPr="00F822F7">
        <w:rPr>
          <w:rFonts w:eastAsiaTheme="majorEastAsia" w:cs="Arial"/>
          <w:b/>
          <w:bCs/>
          <w:spacing w:val="-10"/>
          <w:kern w:val="28"/>
          <w:sz w:val="70"/>
          <w:szCs w:val="70"/>
          <w:lang w:val="en-AU"/>
        </w:rPr>
        <w:t>Annual Report</w:t>
      </w:r>
    </w:p>
    <w:p w14:paraId="3BB963B6" w14:textId="5763FA55" w:rsidR="001C18F2" w:rsidRPr="00BA47FF" w:rsidRDefault="002A22A1" w:rsidP="00E17076">
      <w:pPr>
        <w:rPr>
          <w:rFonts w:eastAsiaTheme="minorEastAsia" w:cs="Arial"/>
          <w:color w:val="000000" w:themeColor="text1"/>
          <w:spacing w:val="15"/>
          <w:sz w:val="36"/>
          <w:szCs w:val="22"/>
        </w:rPr>
      </w:pPr>
      <w:r w:rsidRPr="00F822F7">
        <w:rPr>
          <w:rFonts w:eastAsiaTheme="minorEastAsia" w:cs="Arial"/>
          <w:b/>
          <w:bCs/>
          <w:color w:val="000000" w:themeColor="text1"/>
          <w:spacing w:val="15"/>
          <w:sz w:val="36"/>
          <w:szCs w:val="22"/>
          <w:lang w:val="en-AU"/>
        </w:rPr>
        <w:t>July 202</w:t>
      </w:r>
      <w:r w:rsidR="00314F4D" w:rsidRPr="00F822F7">
        <w:rPr>
          <w:rFonts w:eastAsiaTheme="minorEastAsia" w:cs="Arial"/>
          <w:b/>
          <w:bCs/>
          <w:color w:val="000000" w:themeColor="text1"/>
          <w:spacing w:val="15"/>
          <w:sz w:val="36"/>
          <w:szCs w:val="22"/>
          <w:lang w:val="en-AU"/>
        </w:rPr>
        <w:t>3</w:t>
      </w:r>
      <w:r w:rsidRPr="00F822F7">
        <w:rPr>
          <w:rFonts w:eastAsiaTheme="minorEastAsia" w:cs="Arial"/>
          <w:b/>
          <w:bCs/>
          <w:color w:val="000000" w:themeColor="text1"/>
          <w:spacing w:val="15"/>
          <w:sz w:val="36"/>
          <w:szCs w:val="22"/>
          <w:lang w:val="en-AU"/>
        </w:rPr>
        <w:t xml:space="preserve"> to June 202</w:t>
      </w:r>
      <w:r w:rsidR="00314F4D" w:rsidRPr="00F822F7">
        <w:rPr>
          <w:rFonts w:eastAsiaTheme="minorEastAsia" w:cs="Arial"/>
          <w:b/>
          <w:bCs/>
          <w:color w:val="000000" w:themeColor="text1"/>
          <w:spacing w:val="15"/>
          <w:sz w:val="36"/>
          <w:szCs w:val="22"/>
          <w:lang w:val="en-AU"/>
        </w:rPr>
        <w:t>4</w:t>
      </w:r>
      <w:r w:rsidR="001C18F2" w:rsidRPr="00BA47FF">
        <w:rPr>
          <w:rFonts w:cs="Arial"/>
        </w:rPr>
        <w:br w:type="page"/>
      </w:r>
    </w:p>
    <w:p w14:paraId="52330353" w14:textId="77777777" w:rsidR="00BE56F0" w:rsidRPr="00BA47FF" w:rsidRDefault="00BE56F0" w:rsidP="00BE56F0">
      <w:pPr>
        <w:spacing w:before="1320"/>
        <w:rPr>
          <w:rFonts w:cs="Arial"/>
        </w:rPr>
      </w:pPr>
    </w:p>
    <w:p w14:paraId="0A136890" w14:textId="09716B9E" w:rsidR="001C18F2" w:rsidRPr="00BA47FF" w:rsidRDefault="001C18F2" w:rsidP="00BE56F0">
      <w:pPr>
        <w:spacing w:before="9480"/>
        <w:rPr>
          <w:rFonts w:cs="Arial"/>
        </w:rPr>
      </w:pPr>
      <w:r w:rsidRPr="00BA47FF">
        <w:rPr>
          <w:rFonts w:cs="Arial"/>
        </w:rPr>
        <w:t>Author:</w:t>
      </w:r>
      <w:r w:rsidR="00345745">
        <w:rPr>
          <w:rFonts w:cs="Arial"/>
        </w:rPr>
        <w:t xml:space="preserve"> </w:t>
      </w:r>
      <w:r w:rsidR="00D734A4" w:rsidRPr="00BA47FF">
        <w:rPr>
          <w:rFonts w:cs="Arial"/>
        </w:rPr>
        <w:t>Senior Practitioner</w:t>
      </w:r>
      <w:r w:rsidRPr="00BA47FF">
        <w:rPr>
          <w:rFonts w:cs="Arial"/>
        </w:rPr>
        <w:t xml:space="preserve"> </w:t>
      </w:r>
    </w:p>
    <w:p w14:paraId="259F14E3" w14:textId="57802BAE" w:rsidR="001C18F2" w:rsidRPr="00BA47FF" w:rsidRDefault="001C18F2" w:rsidP="001C18F2">
      <w:pPr>
        <w:rPr>
          <w:rFonts w:cs="Arial"/>
        </w:rPr>
      </w:pPr>
      <w:r w:rsidRPr="00BA47FF">
        <w:rPr>
          <w:rFonts w:cs="Arial"/>
        </w:rPr>
        <w:t>Publisher:</w:t>
      </w:r>
      <w:r w:rsidR="00345745">
        <w:rPr>
          <w:rFonts w:cs="Arial"/>
        </w:rPr>
        <w:t xml:space="preserve"> </w:t>
      </w:r>
      <w:r w:rsidR="001165D4" w:rsidRPr="00BA47FF">
        <w:rPr>
          <w:rFonts w:cs="Arial"/>
        </w:rPr>
        <w:t>Department of Premier and Cabinet</w:t>
      </w:r>
    </w:p>
    <w:p w14:paraId="73BC67E1" w14:textId="77777777" w:rsidR="00F3171D" w:rsidRDefault="004001F3" w:rsidP="00F3171D">
      <w:pPr>
        <w:rPr>
          <w:rFonts w:cs="Arial"/>
        </w:rPr>
      </w:pPr>
      <w:r w:rsidRPr="00BA47FF">
        <w:rPr>
          <w:rFonts w:cs="Arial"/>
        </w:rPr>
        <w:t>ISBN:</w:t>
      </w:r>
      <w:r w:rsidR="00345745">
        <w:rPr>
          <w:rFonts w:cs="Arial"/>
        </w:rPr>
        <w:t xml:space="preserve"> </w:t>
      </w:r>
      <w:r w:rsidR="00F3171D">
        <w:rPr>
          <w:rFonts w:cs="Arial"/>
        </w:rPr>
        <w:t>978-1-925906-51-6</w:t>
      </w:r>
    </w:p>
    <w:p w14:paraId="52CA350A" w14:textId="40C7D8CE" w:rsidR="001C18F2" w:rsidRPr="00BA47FF" w:rsidRDefault="001C18F2" w:rsidP="001C18F2">
      <w:pPr>
        <w:rPr>
          <w:rFonts w:cs="Arial"/>
        </w:rPr>
      </w:pPr>
      <w:r w:rsidRPr="00BA47FF">
        <w:rPr>
          <w:rFonts w:cs="Arial"/>
        </w:rPr>
        <w:t>Date:</w:t>
      </w:r>
      <w:r w:rsidR="00345745">
        <w:rPr>
          <w:rFonts w:cs="Arial"/>
        </w:rPr>
        <w:t xml:space="preserve">  December</w:t>
      </w:r>
      <w:r w:rsidR="001165D4" w:rsidRPr="00BA47FF">
        <w:rPr>
          <w:rFonts w:cs="Arial"/>
        </w:rPr>
        <w:t xml:space="preserve"> 202</w:t>
      </w:r>
      <w:r w:rsidR="00314F4D" w:rsidRPr="00BA47FF">
        <w:rPr>
          <w:rFonts w:cs="Arial"/>
        </w:rPr>
        <w:t>4</w:t>
      </w:r>
    </w:p>
    <w:p w14:paraId="3261A856" w14:textId="5413898D" w:rsidR="001C18F2" w:rsidRPr="00BA47FF" w:rsidRDefault="001C18F2" w:rsidP="001C18F2">
      <w:pPr>
        <w:rPr>
          <w:rFonts w:cs="Arial"/>
        </w:rPr>
      </w:pPr>
      <w:r w:rsidRPr="00BA47FF">
        <w:rPr>
          <w:rFonts w:cs="Arial"/>
        </w:rPr>
        <w:t xml:space="preserve">© Crown in Right of the State of Tasmania </w:t>
      </w:r>
      <w:r w:rsidR="00345745">
        <w:rPr>
          <w:rFonts w:cs="Arial"/>
        </w:rPr>
        <w:t>December</w:t>
      </w:r>
      <w:r w:rsidR="004001F3" w:rsidRPr="00BA47FF">
        <w:rPr>
          <w:rFonts w:cs="Arial"/>
        </w:rPr>
        <w:t xml:space="preserve"> 202</w:t>
      </w:r>
      <w:r w:rsidR="00182884">
        <w:rPr>
          <w:rFonts w:cs="Arial"/>
        </w:rPr>
        <w:t>4</w:t>
      </w:r>
    </w:p>
    <w:p w14:paraId="6783ADB4" w14:textId="77777777" w:rsidR="00D26793" w:rsidRPr="00BA47FF" w:rsidRDefault="00D26793">
      <w:pPr>
        <w:rPr>
          <w:rFonts w:cs="Arial"/>
        </w:rPr>
      </w:pPr>
      <w:r w:rsidRPr="00BA47FF">
        <w:rPr>
          <w:rFonts w:cs="Arial"/>
        </w:rPr>
        <w:br w:type="page"/>
      </w:r>
    </w:p>
    <w:p w14:paraId="14485DB6" w14:textId="464BCEDD" w:rsidR="00D26793" w:rsidRPr="00BA47FF" w:rsidRDefault="00D26793" w:rsidP="00D26793">
      <w:pPr>
        <w:rPr>
          <w:rFonts w:cs="Arial"/>
        </w:rPr>
        <w:sectPr w:rsidR="00D26793" w:rsidRPr="00BA47FF" w:rsidSect="001C18F2">
          <w:footerReference w:type="default" r:id="rId8"/>
          <w:headerReference w:type="first" r:id="rId9"/>
          <w:footerReference w:type="first" r:id="rId10"/>
          <w:pgSz w:w="11900" w:h="16840"/>
          <w:pgMar w:top="1418" w:right="1412" w:bottom="1418" w:left="1418" w:header="709" w:footer="397" w:gutter="0"/>
          <w:cols w:space="708"/>
          <w:titlePg/>
          <w:docGrid w:linePitch="360"/>
        </w:sectPr>
      </w:pPr>
    </w:p>
    <w:bookmarkStart w:id="1" w:name="_Toc183610774" w:displacedByCustomXml="next"/>
    <w:bookmarkStart w:id="2" w:name="_Toc534273720" w:displacedByCustomXml="next"/>
    <w:bookmarkStart w:id="3" w:name="_Toc534274093" w:displacedByCustomXml="next"/>
    <w:sdt>
      <w:sdtPr>
        <w:rPr>
          <w:rFonts w:eastAsiaTheme="minorHAnsi" w:cstheme="minorBidi"/>
          <w:b w:val="0"/>
          <w:color w:val="auto"/>
          <w:sz w:val="24"/>
          <w:szCs w:val="24"/>
          <w:lang w:val="en-GB"/>
        </w:rPr>
        <w:id w:val="-879710574"/>
        <w:docPartObj>
          <w:docPartGallery w:val="Table of Contents"/>
          <w:docPartUnique/>
        </w:docPartObj>
      </w:sdtPr>
      <w:sdtEndPr>
        <w:rPr>
          <w:bCs/>
          <w:noProof/>
        </w:rPr>
      </w:sdtEndPr>
      <w:sdtContent>
        <w:p w14:paraId="5DAF08E5" w14:textId="254F143F" w:rsidR="00AC01D3" w:rsidRDefault="00AC01D3">
          <w:pPr>
            <w:pStyle w:val="TOCHeading"/>
          </w:pPr>
          <w:r>
            <w:t>Contents</w:t>
          </w:r>
        </w:p>
        <w:p w14:paraId="7A6B14A4" w14:textId="2E749169" w:rsidR="00AC01D3" w:rsidRPr="00AC01D3" w:rsidRDefault="00AC01D3">
          <w:pPr>
            <w:pStyle w:val="TOC1"/>
            <w:tabs>
              <w:tab w:val="right" w:leader="dot" w:pos="9060"/>
            </w:tabs>
            <w:rPr>
              <w:rFonts w:ascii="Arial" w:eastAsiaTheme="minorEastAsia" w:hAnsi="Arial" w:cs="Arial"/>
              <w:b w:val="0"/>
              <w:bCs w:val="0"/>
              <w:noProof/>
              <w:kern w:val="2"/>
              <w:sz w:val="22"/>
              <w:szCs w:val="22"/>
              <w:lang w:eastAsia="en-AU"/>
              <w14:ligatures w14:val="standardContextual"/>
            </w:rPr>
          </w:pPr>
          <w:r>
            <w:fldChar w:fldCharType="begin"/>
          </w:r>
          <w:r>
            <w:instrText xml:space="preserve"> TOC \o "1-3" \h \z \u </w:instrText>
          </w:r>
          <w:r>
            <w:fldChar w:fldCharType="separate"/>
          </w:r>
          <w:hyperlink w:anchor="_Toc185331726" w:history="1">
            <w:r w:rsidRPr="00AC01D3">
              <w:rPr>
                <w:rStyle w:val="Hyperlink"/>
                <w:rFonts w:ascii="Arial" w:hAnsi="Arial" w:cs="Arial"/>
                <w:noProof/>
              </w:rPr>
              <w:t>1 Executive Summary</w:t>
            </w:r>
            <w:r w:rsidRPr="00AC01D3">
              <w:rPr>
                <w:rFonts w:ascii="Arial" w:hAnsi="Arial" w:cs="Arial"/>
                <w:noProof/>
                <w:webHidden/>
              </w:rPr>
              <w:tab/>
            </w:r>
            <w:r w:rsidRPr="00AC01D3">
              <w:rPr>
                <w:rFonts w:ascii="Arial" w:hAnsi="Arial" w:cs="Arial"/>
                <w:noProof/>
                <w:webHidden/>
              </w:rPr>
              <w:fldChar w:fldCharType="begin"/>
            </w:r>
            <w:r w:rsidRPr="00AC01D3">
              <w:rPr>
                <w:rFonts w:ascii="Arial" w:hAnsi="Arial" w:cs="Arial"/>
                <w:noProof/>
                <w:webHidden/>
              </w:rPr>
              <w:instrText xml:space="preserve"> PAGEREF _Toc185331726 \h </w:instrText>
            </w:r>
            <w:r w:rsidRPr="00AC01D3">
              <w:rPr>
                <w:rFonts w:ascii="Arial" w:hAnsi="Arial" w:cs="Arial"/>
                <w:noProof/>
                <w:webHidden/>
              </w:rPr>
            </w:r>
            <w:r w:rsidRPr="00AC01D3">
              <w:rPr>
                <w:rFonts w:ascii="Arial" w:hAnsi="Arial" w:cs="Arial"/>
                <w:noProof/>
                <w:webHidden/>
              </w:rPr>
              <w:fldChar w:fldCharType="separate"/>
            </w:r>
            <w:r w:rsidRPr="00AC01D3">
              <w:rPr>
                <w:rFonts w:ascii="Arial" w:hAnsi="Arial" w:cs="Arial"/>
                <w:noProof/>
                <w:webHidden/>
              </w:rPr>
              <w:t>3</w:t>
            </w:r>
            <w:r w:rsidRPr="00AC01D3">
              <w:rPr>
                <w:rFonts w:ascii="Arial" w:hAnsi="Arial" w:cs="Arial"/>
                <w:noProof/>
                <w:webHidden/>
              </w:rPr>
              <w:fldChar w:fldCharType="end"/>
            </w:r>
          </w:hyperlink>
        </w:p>
        <w:p w14:paraId="7903D4C8" w14:textId="684622CA" w:rsidR="00AC01D3" w:rsidRPr="00AC01D3" w:rsidRDefault="00F23292">
          <w:pPr>
            <w:pStyle w:val="TOC1"/>
            <w:tabs>
              <w:tab w:val="right" w:leader="dot" w:pos="9060"/>
            </w:tabs>
            <w:rPr>
              <w:rFonts w:ascii="Arial" w:eastAsiaTheme="minorEastAsia" w:hAnsi="Arial" w:cs="Arial"/>
              <w:b w:val="0"/>
              <w:bCs w:val="0"/>
              <w:noProof/>
              <w:kern w:val="2"/>
              <w:sz w:val="22"/>
              <w:szCs w:val="22"/>
              <w:lang w:eastAsia="en-AU"/>
              <w14:ligatures w14:val="standardContextual"/>
            </w:rPr>
          </w:pPr>
          <w:hyperlink w:anchor="_Toc185331727" w:history="1">
            <w:r w:rsidR="00AC01D3" w:rsidRPr="00AC01D3">
              <w:rPr>
                <w:rStyle w:val="Hyperlink"/>
                <w:rFonts w:ascii="Arial" w:hAnsi="Arial" w:cs="Arial"/>
                <w:noProof/>
              </w:rPr>
              <w:t>2 NDIS Quality and Safeguards Commission</w:t>
            </w:r>
            <w:r w:rsidR="00AC01D3" w:rsidRPr="00AC01D3">
              <w:rPr>
                <w:rFonts w:ascii="Arial" w:hAnsi="Arial" w:cs="Arial"/>
                <w:noProof/>
                <w:webHidden/>
              </w:rPr>
              <w:tab/>
            </w:r>
            <w:r w:rsidR="00AC01D3" w:rsidRPr="00AC01D3">
              <w:rPr>
                <w:rFonts w:ascii="Arial" w:hAnsi="Arial" w:cs="Arial"/>
                <w:noProof/>
                <w:webHidden/>
              </w:rPr>
              <w:fldChar w:fldCharType="begin"/>
            </w:r>
            <w:r w:rsidR="00AC01D3" w:rsidRPr="00AC01D3">
              <w:rPr>
                <w:rFonts w:ascii="Arial" w:hAnsi="Arial" w:cs="Arial"/>
                <w:noProof/>
                <w:webHidden/>
              </w:rPr>
              <w:instrText xml:space="preserve"> PAGEREF _Toc185331727 \h </w:instrText>
            </w:r>
            <w:r w:rsidR="00AC01D3" w:rsidRPr="00AC01D3">
              <w:rPr>
                <w:rFonts w:ascii="Arial" w:hAnsi="Arial" w:cs="Arial"/>
                <w:noProof/>
                <w:webHidden/>
              </w:rPr>
            </w:r>
            <w:r w:rsidR="00AC01D3" w:rsidRPr="00AC01D3">
              <w:rPr>
                <w:rFonts w:ascii="Arial" w:hAnsi="Arial" w:cs="Arial"/>
                <w:noProof/>
                <w:webHidden/>
              </w:rPr>
              <w:fldChar w:fldCharType="separate"/>
            </w:r>
            <w:r w:rsidR="00AC01D3" w:rsidRPr="00AC01D3">
              <w:rPr>
                <w:rFonts w:ascii="Arial" w:hAnsi="Arial" w:cs="Arial"/>
                <w:noProof/>
                <w:webHidden/>
              </w:rPr>
              <w:t>4</w:t>
            </w:r>
            <w:r w:rsidR="00AC01D3" w:rsidRPr="00AC01D3">
              <w:rPr>
                <w:rFonts w:ascii="Arial" w:hAnsi="Arial" w:cs="Arial"/>
                <w:noProof/>
                <w:webHidden/>
              </w:rPr>
              <w:fldChar w:fldCharType="end"/>
            </w:r>
          </w:hyperlink>
        </w:p>
        <w:p w14:paraId="2306EA94" w14:textId="79B13376" w:rsidR="00AC01D3" w:rsidRPr="00AC01D3" w:rsidRDefault="00F23292">
          <w:pPr>
            <w:pStyle w:val="TOC2"/>
            <w:rPr>
              <w:rFonts w:eastAsiaTheme="minorEastAsia" w:cs="Arial"/>
              <w:kern w:val="2"/>
              <w:sz w:val="22"/>
              <w:szCs w:val="22"/>
              <w:lang w:eastAsia="en-AU"/>
              <w14:ligatures w14:val="standardContextual"/>
            </w:rPr>
          </w:pPr>
          <w:hyperlink w:anchor="_Toc185331728" w:history="1">
            <w:r w:rsidR="00AC01D3" w:rsidRPr="00AC01D3">
              <w:rPr>
                <w:rStyle w:val="Hyperlink"/>
                <w:rFonts w:cs="Arial"/>
              </w:rPr>
              <w:t xml:space="preserve">3 </w:t>
            </w:r>
            <w:r w:rsidR="0096744E">
              <w:rPr>
                <w:rStyle w:val="Hyperlink"/>
                <w:rFonts w:cs="Arial"/>
              </w:rPr>
              <w:t xml:space="preserve">       </w:t>
            </w:r>
            <w:r w:rsidR="00AC01D3" w:rsidRPr="00AC01D3">
              <w:rPr>
                <w:rStyle w:val="Hyperlink"/>
                <w:rFonts w:cs="Arial"/>
              </w:rPr>
              <w:t>Processing of Applications</w:t>
            </w:r>
            <w:r w:rsidR="00AC01D3" w:rsidRPr="00AC01D3">
              <w:rPr>
                <w:rFonts w:cs="Arial"/>
                <w:webHidden/>
              </w:rPr>
              <w:tab/>
            </w:r>
            <w:r w:rsidR="00AC01D3" w:rsidRPr="00AC01D3">
              <w:rPr>
                <w:rFonts w:cs="Arial"/>
                <w:webHidden/>
              </w:rPr>
              <w:fldChar w:fldCharType="begin"/>
            </w:r>
            <w:r w:rsidR="00AC01D3" w:rsidRPr="00AC01D3">
              <w:rPr>
                <w:rFonts w:cs="Arial"/>
                <w:webHidden/>
              </w:rPr>
              <w:instrText xml:space="preserve"> PAGEREF _Toc185331728 \h </w:instrText>
            </w:r>
            <w:r w:rsidR="00AC01D3" w:rsidRPr="00AC01D3">
              <w:rPr>
                <w:rFonts w:cs="Arial"/>
                <w:webHidden/>
              </w:rPr>
            </w:r>
            <w:r w:rsidR="00AC01D3" w:rsidRPr="00AC01D3">
              <w:rPr>
                <w:rFonts w:cs="Arial"/>
                <w:webHidden/>
              </w:rPr>
              <w:fldChar w:fldCharType="separate"/>
            </w:r>
            <w:r w:rsidR="00AC01D3" w:rsidRPr="00AC01D3">
              <w:rPr>
                <w:rFonts w:cs="Arial"/>
                <w:webHidden/>
              </w:rPr>
              <w:t>5</w:t>
            </w:r>
            <w:r w:rsidR="00AC01D3" w:rsidRPr="00AC01D3">
              <w:rPr>
                <w:rFonts w:cs="Arial"/>
                <w:webHidden/>
              </w:rPr>
              <w:fldChar w:fldCharType="end"/>
            </w:r>
          </w:hyperlink>
        </w:p>
        <w:p w14:paraId="5B61F539" w14:textId="60D0CF61" w:rsidR="00AC01D3" w:rsidRPr="00AC01D3" w:rsidRDefault="00F23292">
          <w:pPr>
            <w:pStyle w:val="TOC3"/>
            <w:rPr>
              <w:rFonts w:eastAsiaTheme="minorEastAsia" w:cs="Arial"/>
              <w:noProof/>
              <w:kern w:val="2"/>
              <w:sz w:val="22"/>
              <w:szCs w:val="22"/>
              <w:lang w:eastAsia="en-AU"/>
              <w14:ligatures w14:val="standardContextual"/>
            </w:rPr>
          </w:pPr>
          <w:hyperlink w:anchor="_Toc185331729" w:history="1">
            <w:r w:rsidR="00AC01D3" w:rsidRPr="00AC01D3">
              <w:rPr>
                <w:rStyle w:val="Hyperlink"/>
                <w:rFonts w:cs="Arial"/>
                <w:noProof/>
              </w:rPr>
              <w:t>3.1</w:t>
            </w:r>
            <w:r w:rsidR="00AC01D3" w:rsidRPr="00AC01D3">
              <w:rPr>
                <w:rFonts w:eastAsiaTheme="minorEastAsia" w:cs="Arial"/>
                <w:noProof/>
                <w:kern w:val="2"/>
                <w:sz w:val="22"/>
                <w:szCs w:val="22"/>
                <w:lang w:eastAsia="en-AU"/>
                <w14:ligatures w14:val="standardContextual"/>
              </w:rPr>
              <w:tab/>
            </w:r>
            <w:r w:rsidR="00AC01D3" w:rsidRPr="00AC01D3">
              <w:rPr>
                <w:rStyle w:val="Hyperlink"/>
                <w:rFonts w:cs="Arial"/>
                <w:noProof/>
              </w:rPr>
              <w:t>Background</w:t>
            </w:r>
            <w:r w:rsidR="00AC01D3" w:rsidRPr="00AC01D3">
              <w:rPr>
                <w:rFonts w:cs="Arial"/>
                <w:noProof/>
                <w:webHidden/>
              </w:rPr>
              <w:tab/>
            </w:r>
            <w:r w:rsidR="00AC01D3" w:rsidRPr="00AC01D3">
              <w:rPr>
                <w:rFonts w:cs="Arial"/>
                <w:noProof/>
                <w:webHidden/>
              </w:rPr>
              <w:fldChar w:fldCharType="begin"/>
            </w:r>
            <w:r w:rsidR="00AC01D3" w:rsidRPr="00AC01D3">
              <w:rPr>
                <w:rFonts w:cs="Arial"/>
                <w:noProof/>
                <w:webHidden/>
              </w:rPr>
              <w:instrText xml:space="preserve"> PAGEREF _Toc185331729 \h </w:instrText>
            </w:r>
            <w:r w:rsidR="00AC01D3" w:rsidRPr="00AC01D3">
              <w:rPr>
                <w:rFonts w:cs="Arial"/>
                <w:noProof/>
                <w:webHidden/>
              </w:rPr>
            </w:r>
            <w:r w:rsidR="00AC01D3" w:rsidRPr="00AC01D3">
              <w:rPr>
                <w:rFonts w:cs="Arial"/>
                <w:noProof/>
                <w:webHidden/>
              </w:rPr>
              <w:fldChar w:fldCharType="separate"/>
            </w:r>
            <w:r w:rsidR="00AC01D3" w:rsidRPr="00AC01D3">
              <w:rPr>
                <w:rFonts w:cs="Arial"/>
                <w:noProof/>
                <w:webHidden/>
              </w:rPr>
              <w:t>5</w:t>
            </w:r>
            <w:r w:rsidR="00AC01D3" w:rsidRPr="00AC01D3">
              <w:rPr>
                <w:rFonts w:cs="Arial"/>
                <w:noProof/>
                <w:webHidden/>
              </w:rPr>
              <w:fldChar w:fldCharType="end"/>
            </w:r>
          </w:hyperlink>
        </w:p>
        <w:p w14:paraId="58097428" w14:textId="1FCD13F5" w:rsidR="00AC01D3" w:rsidRPr="00AC01D3" w:rsidRDefault="00F23292">
          <w:pPr>
            <w:pStyle w:val="TOC3"/>
            <w:rPr>
              <w:rFonts w:eastAsiaTheme="minorEastAsia" w:cs="Arial"/>
              <w:noProof/>
              <w:kern w:val="2"/>
              <w:sz w:val="22"/>
              <w:szCs w:val="22"/>
              <w:lang w:eastAsia="en-AU"/>
              <w14:ligatures w14:val="standardContextual"/>
            </w:rPr>
          </w:pPr>
          <w:hyperlink w:anchor="_Toc185331730" w:history="1">
            <w:r w:rsidR="00AC01D3" w:rsidRPr="00AC01D3">
              <w:rPr>
                <w:rStyle w:val="Hyperlink"/>
                <w:rFonts w:cs="Arial"/>
                <w:noProof/>
              </w:rPr>
              <w:t>3.2</w:t>
            </w:r>
            <w:r w:rsidR="00AC01D3" w:rsidRPr="00AC01D3">
              <w:rPr>
                <w:rFonts w:eastAsiaTheme="minorEastAsia" w:cs="Arial"/>
                <w:noProof/>
                <w:kern w:val="2"/>
                <w:sz w:val="22"/>
                <w:szCs w:val="22"/>
                <w:lang w:eastAsia="en-AU"/>
                <w14:ligatures w14:val="standardContextual"/>
              </w:rPr>
              <w:tab/>
            </w:r>
            <w:r w:rsidR="00AC01D3" w:rsidRPr="00AC01D3">
              <w:rPr>
                <w:rStyle w:val="Hyperlink"/>
                <w:rFonts w:cs="Arial"/>
                <w:noProof/>
              </w:rPr>
              <w:t>Secretary Approvals for Restrictive Interventions</w:t>
            </w:r>
            <w:r w:rsidR="00AC01D3" w:rsidRPr="00AC01D3">
              <w:rPr>
                <w:rFonts w:cs="Arial"/>
                <w:noProof/>
                <w:webHidden/>
              </w:rPr>
              <w:tab/>
            </w:r>
            <w:r w:rsidR="00AC01D3" w:rsidRPr="00AC01D3">
              <w:rPr>
                <w:rFonts w:cs="Arial"/>
                <w:noProof/>
                <w:webHidden/>
              </w:rPr>
              <w:fldChar w:fldCharType="begin"/>
            </w:r>
            <w:r w:rsidR="00AC01D3" w:rsidRPr="00AC01D3">
              <w:rPr>
                <w:rFonts w:cs="Arial"/>
                <w:noProof/>
                <w:webHidden/>
              </w:rPr>
              <w:instrText xml:space="preserve"> PAGEREF _Toc185331730 \h </w:instrText>
            </w:r>
            <w:r w:rsidR="00AC01D3" w:rsidRPr="00AC01D3">
              <w:rPr>
                <w:rFonts w:cs="Arial"/>
                <w:noProof/>
                <w:webHidden/>
              </w:rPr>
            </w:r>
            <w:r w:rsidR="00AC01D3" w:rsidRPr="00AC01D3">
              <w:rPr>
                <w:rFonts w:cs="Arial"/>
                <w:noProof/>
                <w:webHidden/>
              </w:rPr>
              <w:fldChar w:fldCharType="separate"/>
            </w:r>
            <w:r w:rsidR="00AC01D3" w:rsidRPr="00AC01D3">
              <w:rPr>
                <w:rFonts w:cs="Arial"/>
                <w:noProof/>
                <w:webHidden/>
              </w:rPr>
              <w:t>5</w:t>
            </w:r>
            <w:r w:rsidR="00AC01D3" w:rsidRPr="00AC01D3">
              <w:rPr>
                <w:rFonts w:cs="Arial"/>
                <w:noProof/>
                <w:webHidden/>
              </w:rPr>
              <w:fldChar w:fldCharType="end"/>
            </w:r>
          </w:hyperlink>
        </w:p>
        <w:p w14:paraId="7DBA044F" w14:textId="6F3BDB46" w:rsidR="00AC01D3" w:rsidRPr="00AC01D3" w:rsidRDefault="00F23292">
          <w:pPr>
            <w:pStyle w:val="TOC3"/>
            <w:rPr>
              <w:rFonts w:eastAsiaTheme="minorEastAsia" w:cs="Arial"/>
              <w:noProof/>
              <w:kern w:val="2"/>
              <w:sz w:val="22"/>
              <w:szCs w:val="22"/>
              <w:lang w:eastAsia="en-AU"/>
              <w14:ligatures w14:val="standardContextual"/>
            </w:rPr>
          </w:pPr>
          <w:hyperlink w:anchor="_Toc185331731" w:history="1">
            <w:r w:rsidR="00AC01D3" w:rsidRPr="00AC01D3">
              <w:rPr>
                <w:rStyle w:val="Hyperlink"/>
                <w:rFonts w:cs="Arial"/>
                <w:noProof/>
              </w:rPr>
              <w:t>3.3</w:t>
            </w:r>
            <w:r w:rsidR="00AC01D3" w:rsidRPr="00AC01D3">
              <w:rPr>
                <w:rFonts w:eastAsiaTheme="minorEastAsia" w:cs="Arial"/>
                <w:noProof/>
                <w:kern w:val="2"/>
                <w:sz w:val="22"/>
                <w:szCs w:val="22"/>
                <w:lang w:eastAsia="en-AU"/>
                <w14:ligatures w14:val="standardContextual"/>
              </w:rPr>
              <w:tab/>
            </w:r>
            <w:r w:rsidR="00AC01D3" w:rsidRPr="00AC01D3">
              <w:rPr>
                <w:rStyle w:val="Hyperlink"/>
                <w:rFonts w:cs="Arial"/>
                <w:noProof/>
              </w:rPr>
              <w:t>Tasmanian Civil and Administrative Tribunal Approvals</w:t>
            </w:r>
            <w:r w:rsidR="00AC01D3" w:rsidRPr="00AC01D3">
              <w:rPr>
                <w:rFonts w:cs="Arial"/>
                <w:noProof/>
                <w:webHidden/>
              </w:rPr>
              <w:tab/>
            </w:r>
            <w:r w:rsidR="00AC01D3" w:rsidRPr="00AC01D3">
              <w:rPr>
                <w:rFonts w:cs="Arial"/>
                <w:noProof/>
                <w:webHidden/>
              </w:rPr>
              <w:fldChar w:fldCharType="begin"/>
            </w:r>
            <w:r w:rsidR="00AC01D3" w:rsidRPr="00AC01D3">
              <w:rPr>
                <w:rFonts w:cs="Arial"/>
                <w:noProof/>
                <w:webHidden/>
              </w:rPr>
              <w:instrText xml:space="preserve"> PAGEREF _Toc185331731 \h </w:instrText>
            </w:r>
            <w:r w:rsidR="00AC01D3" w:rsidRPr="00AC01D3">
              <w:rPr>
                <w:rFonts w:cs="Arial"/>
                <w:noProof/>
                <w:webHidden/>
              </w:rPr>
            </w:r>
            <w:r w:rsidR="00AC01D3" w:rsidRPr="00AC01D3">
              <w:rPr>
                <w:rFonts w:cs="Arial"/>
                <w:noProof/>
                <w:webHidden/>
              </w:rPr>
              <w:fldChar w:fldCharType="separate"/>
            </w:r>
            <w:r w:rsidR="00AC01D3" w:rsidRPr="00AC01D3">
              <w:rPr>
                <w:rFonts w:cs="Arial"/>
                <w:noProof/>
                <w:webHidden/>
              </w:rPr>
              <w:t>8</w:t>
            </w:r>
            <w:r w:rsidR="00AC01D3" w:rsidRPr="00AC01D3">
              <w:rPr>
                <w:rFonts w:cs="Arial"/>
                <w:noProof/>
                <w:webHidden/>
              </w:rPr>
              <w:fldChar w:fldCharType="end"/>
            </w:r>
          </w:hyperlink>
        </w:p>
        <w:p w14:paraId="64444C79" w14:textId="22667206" w:rsidR="00AC01D3" w:rsidRPr="00AC01D3" w:rsidRDefault="00F23292">
          <w:pPr>
            <w:pStyle w:val="TOC3"/>
            <w:rPr>
              <w:rFonts w:eastAsiaTheme="minorEastAsia" w:cs="Arial"/>
              <w:noProof/>
              <w:kern w:val="2"/>
              <w:sz w:val="22"/>
              <w:szCs w:val="22"/>
              <w:lang w:eastAsia="en-AU"/>
              <w14:ligatures w14:val="standardContextual"/>
            </w:rPr>
          </w:pPr>
          <w:hyperlink w:anchor="_Toc185331732" w:history="1">
            <w:r w:rsidR="00AC01D3" w:rsidRPr="00AC01D3">
              <w:rPr>
                <w:rStyle w:val="Hyperlink"/>
                <w:rFonts w:cs="Arial"/>
                <w:noProof/>
              </w:rPr>
              <w:t>3.4</w:t>
            </w:r>
            <w:r w:rsidR="00AC01D3" w:rsidRPr="00AC01D3">
              <w:rPr>
                <w:rFonts w:eastAsiaTheme="minorEastAsia" w:cs="Arial"/>
                <w:noProof/>
                <w:kern w:val="2"/>
                <w:sz w:val="22"/>
                <w:szCs w:val="22"/>
                <w:lang w:eastAsia="en-AU"/>
                <w14:ligatures w14:val="standardContextual"/>
              </w:rPr>
              <w:tab/>
            </w:r>
            <w:r w:rsidR="00AC01D3" w:rsidRPr="00AC01D3">
              <w:rPr>
                <w:rStyle w:val="Hyperlink"/>
                <w:rFonts w:cs="Arial"/>
                <w:noProof/>
              </w:rPr>
              <w:t>Unauthorised Restrictive Interventions</w:t>
            </w:r>
            <w:r w:rsidR="00AC01D3" w:rsidRPr="00AC01D3">
              <w:rPr>
                <w:rFonts w:cs="Arial"/>
                <w:noProof/>
                <w:webHidden/>
              </w:rPr>
              <w:tab/>
            </w:r>
            <w:r w:rsidR="00AC01D3" w:rsidRPr="00AC01D3">
              <w:rPr>
                <w:rFonts w:cs="Arial"/>
                <w:noProof/>
                <w:webHidden/>
              </w:rPr>
              <w:fldChar w:fldCharType="begin"/>
            </w:r>
            <w:r w:rsidR="00AC01D3" w:rsidRPr="00AC01D3">
              <w:rPr>
                <w:rFonts w:cs="Arial"/>
                <w:noProof/>
                <w:webHidden/>
              </w:rPr>
              <w:instrText xml:space="preserve"> PAGEREF _Toc185331732 \h </w:instrText>
            </w:r>
            <w:r w:rsidR="00AC01D3" w:rsidRPr="00AC01D3">
              <w:rPr>
                <w:rFonts w:cs="Arial"/>
                <w:noProof/>
                <w:webHidden/>
              </w:rPr>
            </w:r>
            <w:r w:rsidR="00AC01D3" w:rsidRPr="00AC01D3">
              <w:rPr>
                <w:rFonts w:cs="Arial"/>
                <w:noProof/>
                <w:webHidden/>
              </w:rPr>
              <w:fldChar w:fldCharType="separate"/>
            </w:r>
            <w:r w:rsidR="00AC01D3" w:rsidRPr="00AC01D3">
              <w:rPr>
                <w:rFonts w:cs="Arial"/>
                <w:noProof/>
                <w:webHidden/>
              </w:rPr>
              <w:t>11</w:t>
            </w:r>
            <w:r w:rsidR="00AC01D3" w:rsidRPr="00AC01D3">
              <w:rPr>
                <w:rFonts w:cs="Arial"/>
                <w:noProof/>
                <w:webHidden/>
              </w:rPr>
              <w:fldChar w:fldCharType="end"/>
            </w:r>
          </w:hyperlink>
        </w:p>
        <w:p w14:paraId="2B36AEE0" w14:textId="3111373A" w:rsidR="00AC01D3" w:rsidRPr="00AC01D3" w:rsidRDefault="00F23292">
          <w:pPr>
            <w:pStyle w:val="TOC3"/>
            <w:rPr>
              <w:rFonts w:eastAsiaTheme="minorEastAsia" w:cs="Arial"/>
              <w:noProof/>
              <w:kern w:val="2"/>
              <w:sz w:val="22"/>
              <w:szCs w:val="22"/>
              <w:lang w:eastAsia="en-AU"/>
              <w14:ligatures w14:val="standardContextual"/>
            </w:rPr>
          </w:pPr>
          <w:hyperlink w:anchor="_Toc185331733" w:history="1">
            <w:r w:rsidR="00AC01D3" w:rsidRPr="00AC01D3">
              <w:rPr>
                <w:rStyle w:val="Hyperlink"/>
                <w:rFonts w:cs="Arial"/>
                <w:noProof/>
              </w:rPr>
              <w:t>3.5</w:t>
            </w:r>
            <w:r w:rsidR="00AC01D3" w:rsidRPr="00AC01D3">
              <w:rPr>
                <w:rFonts w:eastAsiaTheme="minorEastAsia" w:cs="Arial"/>
                <w:noProof/>
                <w:kern w:val="2"/>
                <w:sz w:val="22"/>
                <w:szCs w:val="22"/>
                <w:lang w:eastAsia="en-AU"/>
                <w14:ligatures w14:val="standardContextual"/>
              </w:rPr>
              <w:tab/>
            </w:r>
            <w:r w:rsidR="00AC01D3" w:rsidRPr="00AC01D3">
              <w:rPr>
                <w:rStyle w:val="Hyperlink"/>
                <w:rFonts w:cs="Arial"/>
                <w:noProof/>
              </w:rPr>
              <w:t>Consultations</w:t>
            </w:r>
            <w:r w:rsidR="00AC01D3" w:rsidRPr="00AC01D3">
              <w:rPr>
                <w:rFonts w:cs="Arial"/>
                <w:noProof/>
                <w:webHidden/>
              </w:rPr>
              <w:tab/>
            </w:r>
            <w:r w:rsidR="00AC01D3" w:rsidRPr="00AC01D3">
              <w:rPr>
                <w:rFonts w:cs="Arial"/>
                <w:noProof/>
                <w:webHidden/>
              </w:rPr>
              <w:fldChar w:fldCharType="begin"/>
            </w:r>
            <w:r w:rsidR="00AC01D3" w:rsidRPr="00AC01D3">
              <w:rPr>
                <w:rFonts w:cs="Arial"/>
                <w:noProof/>
                <w:webHidden/>
              </w:rPr>
              <w:instrText xml:space="preserve"> PAGEREF _Toc185331733 \h </w:instrText>
            </w:r>
            <w:r w:rsidR="00AC01D3" w:rsidRPr="00AC01D3">
              <w:rPr>
                <w:rFonts w:cs="Arial"/>
                <w:noProof/>
                <w:webHidden/>
              </w:rPr>
            </w:r>
            <w:r w:rsidR="00AC01D3" w:rsidRPr="00AC01D3">
              <w:rPr>
                <w:rFonts w:cs="Arial"/>
                <w:noProof/>
                <w:webHidden/>
              </w:rPr>
              <w:fldChar w:fldCharType="separate"/>
            </w:r>
            <w:r w:rsidR="00AC01D3" w:rsidRPr="00AC01D3">
              <w:rPr>
                <w:rFonts w:cs="Arial"/>
                <w:noProof/>
                <w:webHidden/>
              </w:rPr>
              <w:t>12</w:t>
            </w:r>
            <w:r w:rsidR="00AC01D3" w:rsidRPr="00AC01D3">
              <w:rPr>
                <w:rFonts w:cs="Arial"/>
                <w:noProof/>
                <w:webHidden/>
              </w:rPr>
              <w:fldChar w:fldCharType="end"/>
            </w:r>
          </w:hyperlink>
        </w:p>
        <w:p w14:paraId="6BDF96F2" w14:textId="7BB4DA05" w:rsidR="00AC01D3" w:rsidRPr="00AC01D3" w:rsidRDefault="00F23292">
          <w:pPr>
            <w:pStyle w:val="TOC3"/>
            <w:rPr>
              <w:rFonts w:eastAsiaTheme="minorEastAsia" w:cs="Arial"/>
              <w:noProof/>
              <w:kern w:val="2"/>
              <w:sz w:val="22"/>
              <w:szCs w:val="22"/>
              <w:lang w:eastAsia="en-AU"/>
              <w14:ligatures w14:val="standardContextual"/>
            </w:rPr>
          </w:pPr>
          <w:hyperlink w:anchor="_Toc185331734" w:history="1">
            <w:r w:rsidR="00AC01D3" w:rsidRPr="00AC01D3">
              <w:rPr>
                <w:rStyle w:val="Hyperlink"/>
                <w:rFonts w:cs="Arial"/>
                <w:noProof/>
              </w:rPr>
              <w:t>3.6</w:t>
            </w:r>
            <w:r w:rsidR="00AC01D3" w:rsidRPr="00AC01D3">
              <w:rPr>
                <w:rFonts w:eastAsiaTheme="minorEastAsia" w:cs="Arial"/>
                <w:noProof/>
                <w:kern w:val="2"/>
                <w:sz w:val="22"/>
                <w:szCs w:val="22"/>
                <w:lang w:eastAsia="en-AU"/>
                <w14:ligatures w14:val="standardContextual"/>
              </w:rPr>
              <w:tab/>
            </w:r>
            <w:r w:rsidR="00AC01D3" w:rsidRPr="00AC01D3">
              <w:rPr>
                <w:rStyle w:val="Hyperlink"/>
                <w:rFonts w:cs="Arial"/>
                <w:noProof/>
              </w:rPr>
              <w:t>Information and Education</w:t>
            </w:r>
            <w:r w:rsidR="00AC01D3" w:rsidRPr="00AC01D3">
              <w:rPr>
                <w:rFonts w:cs="Arial"/>
                <w:noProof/>
                <w:webHidden/>
              </w:rPr>
              <w:tab/>
            </w:r>
            <w:r w:rsidR="00AC01D3" w:rsidRPr="00AC01D3">
              <w:rPr>
                <w:rFonts w:cs="Arial"/>
                <w:noProof/>
                <w:webHidden/>
              </w:rPr>
              <w:fldChar w:fldCharType="begin"/>
            </w:r>
            <w:r w:rsidR="00AC01D3" w:rsidRPr="00AC01D3">
              <w:rPr>
                <w:rFonts w:cs="Arial"/>
                <w:noProof/>
                <w:webHidden/>
              </w:rPr>
              <w:instrText xml:space="preserve"> PAGEREF _Toc185331734 \h </w:instrText>
            </w:r>
            <w:r w:rsidR="00AC01D3" w:rsidRPr="00AC01D3">
              <w:rPr>
                <w:rFonts w:cs="Arial"/>
                <w:noProof/>
                <w:webHidden/>
              </w:rPr>
            </w:r>
            <w:r w:rsidR="00AC01D3" w:rsidRPr="00AC01D3">
              <w:rPr>
                <w:rFonts w:cs="Arial"/>
                <w:noProof/>
                <w:webHidden/>
              </w:rPr>
              <w:fldChar w:fldCharType="separate"/>
            </w:r>
            <w:r w:rsidR="00AC01D3" w:rsidRPr="00AC01D3">
              <w:rPr>
                <w:rFonts w:cs="Arial"/>
                <w:noProof/>
                <w:webHidden/>
              </w:rPr>
              <w:t>13</w:t>
            </w:r>
            <w:r w:rsidR="00AC01D3" w:rsidRPr="00AC01D3">
              <w:rPr>
                <w:rFonts w:cs="Arial"/>
                <w:noProof/>
                <w:webHidden/>
              </w:rPr>
              <w:fldChar w:fldCharType="end"/>
            </w:r>
          </w:hyperlink>
        </w:p>
        <w:p w14:paraId="7BAEBE5E" w14:textId="1BE6A305" w:rsidR="00AC01D3" w:rsidRPr="00AC01D3" w:rsidRDefault="00F23292">
          <w:pPr>
            <w:pStyle w:val="TOC1"/>
            <w:tabs>
              <w:tab w:val="right" w:leader="dot" w:pos="9060"/>
            </w:tabs>
            <w:rPr>
              <w:rFonts w:ascii="Arial" w:eastAsiaTheme="minorEastAsia" w:hAnsi="Arial" w:cs="Arial"/>
              <w:b w:val="0"/>
              <w:bCs w:val="0"/>
              <w:noProof/>
              <w:kern w:val="2"/>
              <w:sz w:val="22"/>
              <w:szCs w:val="22"/>
              <w:lang w:eastAsia="en-AU"/>
              <w14:ligatures w14:val="standardContextual"/>
            </w:rPr>
          </w:pPr>
          <w:hyperlink w:anchor="_Toc185331735" w:history="1">
            <w:r w:rsidR="00AC01D3" w:rsidRPr="00AC01D3">
              <w:rPr>
                <w:rStyle w:val="Hyperlink"/>
                <w:rFonts w:ascii="Arial" w:hAnsi="Arial" w:cs="Arial"/>
                <w:noProof/>
              </w:rPr>
              <w:t>4 Key Issues</w:t>
            </w:r>
            <w:r w:rsidR="00AC01D3" w:rsidRPr="00AC01D3">
              <w:rPr>
                <w:rFonts w:ascii="Arial" w:hAnsi="Arial" w:cs="Arial"/>
                <w:noProof/>
                <w:webHidden/>
              </w:rPr>
              <w:tab/>
            </w:r>
            <w:r w:rsidR="00AC01D3" w:rsidRPr="00AC01D3">
              <w:rPr>
                <w:rFonts w:ascii="Arial" w:hAnsi="Arial" w:cs="Arial"/>
                <w:noProof/>
                <w:webHidden/>
              </w:rPr>
              <w:fldChar w:fldCharType="begin"/>
            </w:r>
            <w:r w:rsidR="00AC01D3" w:rsidRPr="00AC01D3">
              <w:rPr>
                <w:rFonts w:ascii="Arial" w:hAnsi="Arial" w:cs="Arial"/>
                <w:noProof/>
                <w:webHidden/>
              </w:rPr>
              <w:instrText xml:space="preserve"> PAGEREF _Toc185331735 \h </w:instrText>
            </w:r>
            <w:r w:rsidR="00AC01D3" w:rsidRPr="00AC01D3">
              <w:rPr>
                <w:rFonts w:ascii="Arial" w:hAnsi="Arial" w:cs="Arial"/>
                <w:noProof/>
                <w:webHidden/>
              </w:rPr>
            </w:r>
            <w:r w:rsidR="00AC01D3" w:rsidRPr="00AC01D3">
              <w:rPr>
                <w:rFonts w:ascii="Arial" w:hAnsi="Arial" w:cs="Arial"/>
                <w:noProof/>
                <w:webHidden/>
              </w:rPr>
              <w:fldChar w:fldCharType="separate"/>
            </w:r>
            <w:r w:rsidR="00AC01D3" w:rsidRPr="00AC01D3">
              <w:rPr>
                <w:rFonts w:ascii="Arial" w:hAnsi="Arial" w:cs="Arial"/>
                <w:noProof/>
                <w:webHidden/>
              </w:rPr>
              <w:t>14</w:t>
            </w:r>
            <w:r w:rsidR="00AC01D3" w:rsidRPr="00AC01D3">
              <w:rPr>
                <w:rFonts w:ascii="Arial" w:hAnsi="Arial" w:cs="Arial"/>
                <w:noProof/>
                <w:webHidden/>
              </w:rPr>
              <w:fldChar w:fldCharType="end"/>
            </w:r>
          </w:hyperlink>
        </w:p>
        <w:p w14:paraId="79CA111C" w14:textId="3A78792C" w:rsidR="00AC01D3" w:rsidRPr="00AC01D3" w:rsidRDefault="00F23292">
          <w:pPr>
            <w:pStyle w:val="TOC2"/>
            <w:tabs>
              <w:tab w:val="left" w:pos="880"/>
            </w:tabs>
            <w:rPr>
              <w:rFonts w:eastAsiaTheme="minorEastAsia" w:cs="Arial"/>
              <w:kern w:val="2"/>
              <w:sz w:val="22"/>
              <w:szCs w:val="22"/>
              <w:lang w:eastAsia="en-AU"/>
              <w14:ligatures w14:val="standardContextual"/>
            </w:rPr>
          </w:pPr>
          <w:hyperlink w:anchor="_Toc185331736" w:history="1">
            <w:r w:rsidR="00AC01D3" w:rsidRPr="00AC01D3">
              <w:rPr>
                <w:rStyle w:val="Hyperlink"/>
                <w:rFonts w:cs="Arial"/>
              </w:rPr>
              <w:t>4.1</w:t>
            </w:r>
            <w:r w:rsidR="00AC01D3" w:rsidRPr="00AC01D3">
              <w:rPr>
                <w:rFonts w:eastAsiaTheme="minorEastAsia" w:cs="Arial"/>
                <w:kern w:val="2"/>
                <w:sz w:val="22"/>
                <w:szCs w:val="22"/>
                <w:lang w:eastAsia="en-AU"/>
                <w14:ligatures w14:val="standardContextual"/>
              </w:rPr>
              <w:tab/>
            </w:r>
            <w:r w:rsidR="00AC01D3" w:rsidRPr="00AC01D3">
              <w:rPr>
                <w:rStyle w:val="Hyperlink"/>
                <w:rFonts w:cs="Arial"/>
              </w:rPr>
              <w:t>Unauthorised use of a restrictive intervention</w:t>
            </w:r>
            <w:r w:rsidR="00AC01D3" w:rsidRPr="00AC01D3">
              <w:rPr>
                <w:rFonts w:cs="Arial"/>
                <w:webHidden/>
              </w:rPr>
              <w:tab/>
            </w:r>
            <w:r w:rsidR="00AC01D3" w:rsidRPr="00AC01D3">
              <w:rPr>
                <w:rFonts w:cs="Arial"/>
                <w:webHidden/>
              </w:rPr>
              <w:fldChar w:fldCharType="begin"/>
            </w:r>
            <w:r w:rsidR="00AC01D3" w:rsidRPr="00AC01D3">
              <w:rPr>
                <w:rFonts w:cs="Arial"/>
                <w:webHidden/>
              </w:rPr>
              <w:instrText xml:space="preserve"> PAGEREF _Toc185331736 \h </w:instrText>
            </w:r>
            <w:r w:rsidR="00AC01D3" w:rsidRPr="00AC01D3">
              <w:rPr>
                <w:rFonts w:cs="Arial"/>
                <w:webHidden/>
              </w:rPr>
            </w:r>
            <w:r w:rsidR="00AC01D3" w:rsidRPr="00AC01D3">
              <w:rPr>
                <w:rFonts w:cs="Arial"/>
                <w:webHidden/>
              </w:rPr>
              <w:fldChar w:fldCharType="separate"/>
            </w:r>
            <w:r w:rsidR="00AC01D3" w:rsidRPr="00AC01D3">
              <w:rPr>
                <w:rFonts w:cs="Arial"/>
                <w:webHidden/>
              </w:rPr>
              <w:t>14</w:t>
            </w:r>
            <w:r w:rsidR="00AC01D3" w:rsidRPr="00AC01D3">
              <w:rPr>
                <w:rFonts w:cs="Arial"/>
                <w:webHidden/>
              </w:rPr>
              <w:fldChar w:fldCharType="end"/>
            </w:r>
          </w:hyperlink>
        </w:p>
        <w:p w14:paraId="57FF4DD7" w14:textId="78C26485" w:rsidR="00AC01D3" w:rsidRPr="00AC01D3" w:rsidRDefault="00F23292">
          <w:pPr>
            <w:pStyle w:val="TOC2"/>
            <w:tabs>
              <w:tab w:val="left" w:pos="880"/>
            </w:tabs>
            <w:rPr>
              <w:rFonts w:eastAsiaTheme="minorEastAsia" w:cs="Arial"/>
              <w:kern w:val="2"/>
              <w:sz w:val="22"/>
              <w:szCs w:val="22"/>
              <w:lang w:eastAsia="en-AU"/>
              <w14:ligatures w14:val="standardContextual"/>
            </w:rPr>
          </w:pPr>
          <w:hyperlink w:anchor="_Toc185331737" w:history="1">
            <w:r w:rsidR="00AC01D3" w:rsidRPr="00AC01D3">
              <w:rPr>
                <w:rStyle w:val="Hyperlink"/>
                <w:rFonts w:cs="Arial"/>
              </w:rPr>
              <w:t>4.2</w:t>
            </w:r>
            <w:r w:rsidR="00AC01D3" w:rsidRPr="00AC01D3">
              <w:rPr>
                <w:rFonts w:eastAsiaTheme="minorEastAsia" w:cs="Arial"/>
                <w:kern w:val="2"/>
                <w:sz w:val="22"/>
                <w:szCs w:val="22"/>
                <w:lang w:eastAsia="en-AU"/>
                <w14:ligatures w14:val="standardContextual"/>
              </w:rPr>
              <w:tab/>
            </w:r>
            <w:r w:rsidR="00AC01D3" w:rsidRPr="00AC01D3">
              <w:rPr>
                <w:rStyle w:val="Hyperlink"/>
                <w:rFonts w:cs="Arial"/>
              </w:rPr>
              <w:t>National Action Plan – Developing the NDIS Specialist Behaviour Support Market</w:t>
            </w:r>
            <w:r w:rsidR="00AC01D3" w:rsidRPr="00AC01D3">
              <w:rPr>
                <w:rFonts w:cs="Arial"/>
                <w:webHidden/>
              </w:rPr>
              <w:tab/>
            </w:r>
            <w:r w:rsidR="00AC01D3" w:rsidRPr="00AC01D3">
              <w:rPr>
                <w:rFonts w:cs="Arial"/>
                <w:webHidden/>
              </w:rPr>
              <w:fldChar w:fldCharType="begin"/>
            </w:r>
            <w:r w:rsidR="00AC01D3" w:rsidRPr="00AC01D3">
              <w:rPr>
                <w:rFonts w:cs="Arial"/>
                <w:webHidden/>
              </w:rPr>
              <w:instrText xml:space="preserve"> PAGEREF _Toc185331737 \h </w:instrText>
            </w:r>
            <w:r w:rsidR="00AC01D3" w:rsidRPr="00AC01D3">
              <w:rPr>
                <w:rFonts w:cs="Arial"/>
                <w:webHidden/>
              </w:rPr>
            </w:r>
            <w:r w:rsidR="00AC01D3" w:rsidRPr="00AC01D3">
              <w:rPr>
                <w:rFonts w:cs="Arial"/>
                <w:webHidden/>
              </w:rPr>
              <w:fldChar w:fldCharType="separate"/>
            </w:r>
            <w:r w:rsidR="00AC01D3" w:rsidRPr="00AC01D3">
              <w:rPr>
                <w:rFonts w:cs="Arial"/>
                <w:webHidden/>
              </w:rPr>
              <w:t>14</w:t>
            </w:r>
            <w:r w:rsidR="00AC01D3" w:rsidRPr="00AC01D3">
              <w:rPr>
                <w:rFonts w:cs="Arial"/>
                <w:webHidden/>
              </w:rPr>
              <w:fldChar w:fldCharType="end"/>
            </w:r>
          </w:hyperlink>
        </w:p>
        <w:p w14:paraId="785A15E2" w14:textId="57D23478" w:rsidR="00AC01D3" w:rsidRPr="00296D9E" w:rsidRDefault="00F23292" w:rsidP="00296D9E">
          <w:pPr>
            <w:pStyle w:val="TOC2"/>
            <w:tabs>
              <w:tab w:val="left" w:pos="880"/>
            </w:tabs>
            <w:rPr>
              <w:rStyle w:val="Hyperlink"/>
            </w:rPr>
          </w:pPr>
          <w:hyperlink w:anchor="_Toc185331738" w:history="1">
            <w:r w:rsidR="00AC01D3" w:rsidRPr="00AC01D3">
              <w:rPr>
                <w:rStyle w:val="Hyperlink"/>
                <w:rFonts w:cs="Arial"/>
              </w:rPr>
              <w:t xml:space="preserve">4.3 </w:t>
            </w:r>
            <w:r w:rsidR="00296D9E">
              <w:rPr>
                <w:rStyle w:val="Hyperlink"/>
                <w:rFonts w:cs="Arial"/>
              </w:rPr>
              <w:tab/>
            </w:r>
            <w:r w:rsidR="00AC01D3" w:rsidRPr="00AC01D3">
              <w:rPr>
                <w:rStyle w:val="Hyperlink"/>
                <w:rFonts w:cs="Arial"/>
              </w:rPr>
              <w:t>Communities of Practice</w:t>
            </w:r>
            <w:r w:rsidR="00AC01D3" w:rsidRPr="00296D9E">
              <w:rPr>
                <w:rStyle w:val="Hyperlink"/>
                <w:webHidden/>
              </w:rPr>
              <w:tab/>
            </w:r>
            <w:r w:rsidR="00AC01D3" w:rsidRPr="00296D9E">
              <w:rPr>
                <w:rStyle w:val="Hyperlink"/>
                <w:webHidden/>
              </w:rPr>
              <w:fldChar w:fldCharType="begin"/>
            </w:r>
            <w:r w:rsidR="00AC01D3" w:rsidRPr="00296D9E">
              <w:rPr>
                <w:rStyle w:val="Hyperlink"/>
                <w:webHidden/>
              </w:rPr>
              <w:instrText xml:space="preserve"> PAGEREF _Toc185331738 \h </w:instrText>
            </w:r>
            <w:r w:rsidR="00AC01D3" w:rsidRPr="00296D9E">
              <w:rPr>
                <w:rStyle w:val="Hyperlink"/>
                <w:webHidden/>
              </w:rPr>
            </w:r>
            <w:r w:rsidR="00AC01D3" w:rsidRPr="00296D9E">
              <w:rPr>
                <w:rStyle w:val="Hyperlink"/>
                <w:webHidden/>
              </w:rPr>
              <w:fldChar w:fldCharType="separate"/>
            </w:r>
            <w:r w:rsidR="00AC01D3" w:rsidRPr="00296D9E">
              <w:rPr>
                <w:rStyle w:val="Hyperlink"/>
                <w:webHidden/>
              </w:rPr>
              <w:t>14</w:t>
            </w:r>
            <w:r w:rsidR="00AC01D3" w:rsidRPr="00296D9E">
              <w:rPr>
                <w:rStyle w:val="Hyperlink"/>
                <w:webHidden/>
              </w:rPr>
              <w:fldChar w:fldCharType="end"/>
            </w:r>
          </w:hyperlink>
        </w:p>
        <w:p w14:paraId="330664B5" w14:textId="3633D036" w:rsidR="00AC01D3" w:rsidRPr="00AC01D3" w:rsidRDefault="00F23292">
          <w:pPr>
            <w:pStyle w:val="TOC3"/>
            <w:rPr>
              <w:rFonts w:eastAsiaTheme="minorEastAsia" w:cs="Arial"/>
              <w:noProof/>
              <w:kern w:val="2"/>
              <w:sz w:val="22"/>
              <w:szCs w:val="22"/>
              <w:lang w:eastAsia="en-AU"/>
              <w14:ligatures w14:val="standardContextual"/>
            </w:rPr>
          </w:pPr>
          <w:hyperlink w:anchor="_Toc185331739" w:history="1">
            <w:r w:rsidR="00AC01D3" w:rsidRPr="00AC01D3">
              <w:rPr>
                <w:rStyle w:val="Hyperlink"/>
                <w:rFonts w:cs="Arial"/>
                <w:noProof/>
              </w:rPr>
              <w:t xml:space="preserve">4.3 </w:t>
            </w:r>
            <w:r w:rsidR="00296D9E">
              <w:rPr>
                <w:rStyle w:val="Hyperlink"/>
                <w:rFonts w:cs="Arial"/>
                <w:noProof/>
              </w:rPr>
              <w:tab/>
            </w:r>
            <w:r w:rsidR="00AC01D3" w:rsidRPr="00AC01D3">
              <w:rPr>
                <w:rStyle w:val="Hyperlink"/>
                <w:rFonts w:cs="Arial"/>
                <w:noProof/>
              </w:rPr>
              <w:t>Residential Aged Care</w:t>
            </w:r>
            <w:r w:rsidR="00AC01D3" w:rsidRPr="00AC01D3">
              <w:rPr>
                <w:rFonts w:cs="Arial"/>
                <w:noProof/>
                <w:webHidden/>
              </w:rPr>
              <w:tab/>
            </w:r>
            <w:r w:rsidR="00AC01D3" w:rsidRPr="00AC01D3">
              <w:rPr>
                <w:rFonts w:cs="Arial"/>
                <w:noProof/>
                <w:webHidden/>
              </w:rPr>
              <w:fldChar w:fldCharType="begin"/>
            </w:r>
            <w:r w:rsidR="00AC01D3" w:rsidRPr="00AC01D3">
              <w:rPr>
                <w:rFonts w:cs="Arial"/>
                <w:noProof/>
                <w:webHidden/>
              </w:rPr>
              <w:instrText xml:space="preserve"> PAGEREF _Toc185331739 \h </w:instrText>
            </w:r>
            <w:r w:rsidR="00AC01D3" w:rsidRPr="00AC01D3">
              <w:rPr>
                <w:rFonts w:cs="Arial"/>
                <w:noProof/>
                <w:webHidden/>
              </w:rPr>
            </w:r>
            <w:r w:rsidR="00AC01D3" w:rsidRPr="00AC01D3">
              <w:rPr>
                <w:rFonts w:cs="Arial"/>
                <w:noProof/>
                <w:webHidden/>
              </w:rPr>
              <w:fldChar w:fldCharType="separate"/>
            </w:r>
            <w:r w:rsidR="00AC01D3" w:rsidRPr="00AC01D3">
              <w:rPr>
                <w:rFonts w:cs="Arial"/>
                <w:noProof/>
                <w:webHidden/>
              </w:rPr>
              <w:t>15</w:t>
            </w:r>
            <w:r w:rsidR="00AC01D3" w:rsidRPr="00AC01D3">
              <w:rPr>
                <w:rFonts w:cs="Arial"/>
                <w:noProof/>
                <w:webHidden/>
              </w:rPr>
              <w:fldChar w:fldCharType="end"/>
            </w:r>
          </w:hyperlink>
        </w:p>
        <w:p w14:paraId="175232EC" w14:textId="10921CEC" w:rsidR="00AC01D3" w:rsidRPr="00AC01D3" w:rsidRDefault="00F23292">
          <w:pPr>
            <w:pStyle w:val="TOC3"/>
            <w:rPr>
              <w:rFonts w:eastAsiaTheme="minorEastAsia" w:cs="Arial"/>
              <w:noProof/>
              <w:kern w:val="2"/>
              <w:sz w:val="22"/>
              <w:szCs w:val="22"/>
              <w:lang w:eastAsia="en-AU"/>
              <w14:ligatures w14:val="standardContextual"/>
            </w:rPr>
          </w:pPr>
          <w:hyperlink w:anchor="_Toc185331740" w:history="1">
            <w:r w:rsidR="00AC01D3" w:rsidRPr="00AC01D3">
              <w:rPr>
                <w:rStyle w:val="Hyperlink"/>
                <w:rFonts w:cs="Arial"/>
                <w:noProof/>
              </w:rPr>
              <w:t>4.4</w:t>
            </w:r>
            <w:r w:rsidR="00AC01D3" w:rsidRPr="00AC01D3">
              <w:rPr>
                <w:rFonts w:eastAsiaTheme="minorEastAsia" w:cs="Arial"/>
                <w:noProof/>
                <w:kern w:val="2"/>
                <w:sz w:val="22"/>
                <w:szCs w:val="22"/>
                <w:lang w:eastAsia="en-AU"/>
                <w14:ligatures w14:val="standardContextual"/>
              </w:rPr>
              <w:tab/>
            </w:r>
            <w:r w:rsidR="00AC01D3" w:rsidRPr="00AC01D3">
              <w:rPr>
                <w:rStyle w:val="Hyperlink"/>
                <w:rFonts w:cs="Arial"/>
                <w:noProof/>
              </w:rPr>
              <w:t>Reference Groups</w:t>
            </w:r>
            <w:r w:rsidR="00AC01D3" w:rsidRPr="00AC01D3">
              <w:rPr>
                <w:rFonts w:cs="Arial"/>
                <w:noProof/>
                <w:webHidden/>
              </w:rPr>
              <w:tab/>
            </w:r>
            <w:r w:rsidR="00AC01D3" w:rsidRPr="00AC01D3">
              <w:rPr>
                <w:rFonts w:cs="Arial"/>
                <w:noProof/>
                <w:webHidden/>
              </w:rPr>
              <w:fldChar w:fldCharType="begin"/>
            </w:r>
            <w:r w:rsidR="00AC01D3" w:rsidRPr="00AC01D3">
              <w:rPr>
                <w:rFonts w:cs="Arial"/>
                <w:noProof/>
                <w:webHidden/>
              </w:rPr>
              <w:instrText xml:space="preserve"> PAGEREF _Toc185331740 \h </w:instrText>
            </w:r>
            <w:r w:rsidR="00AC01D3" w:rsidRPr="00AC01D3">
              <w:rPr>
                <w:rFonts w:cs="Arial"/>
                <w:noProof/>
                <w:webHidden/>
              </w:rPr>
            </w:r>
            <w:r w:rsidR="00AC01D3" w:rsidRPr="00AC01D3">
              <w:rPr>
                <w:rFonts w:cs="Arial"/>
                <w:noProof/>
                <w:webHidden/>
              </w:rPr>
              <w:fldChar w:fldCharType="separate"/>
            </w:r>
            <w:r w:rsidR="00AC01D3" w:rsidRPr="00AC01D3">
              <w:rPr>
                <w:rFonts w:cs="Arial"/>
                <w:noProof/>
                <w:webHidden/>
              </w:rPr>
              <w:t>15</w:t>
            </w:r>
            <w:r w:rsidR="00AC01D3" w:rsidRPr="00AC01D3">
              <w:rPr>
                <w:rFonts w:cs="Arial"/>
                <w:noProof/>
                <w:webHidden/>
              </w:rPr>
              <w:fldChar w:fldCharType="end"/>
            </w:r>
          </w:hyperlink>
        </w:p>
        <w:p w14:paraId="47783FEE" w14:textId="681EB7F1" w:rsidR="00AC01D3" w:rsidRPr="00AC01D3" w:rsidRDefault="00F23292">
          <w:pPr>
            <w:pStyle w:val="TOC1"/>
            <w:tabs>
              <w:tab w:val="right" w:leader="dot" w:pos="9060"/>
            </w:tabs>
            <w:rPr>
              <w:rFonts w:ascii="Arial" w:eastAsiaTheme="minorEastAsia" w:hAnsi="Arial" w:cs="Arial"/>
              <w:b w:val="0"/>
              <w:bCs w:val="0"/>
              <w:noProof/>
              <w:kern w:val="2"/>
              <w:sz w:val="22"/>
              <w:szCs w:val="22"/>
              <w:lang w:eastAsia="en-AU"/>
              <w14:ligatures w14:val="standardContextual"/>
            </w:rPr>
          </w:pPr>
          <w:hyperlink w:anchor="_Toc185331741" w:history="1">
            <w:r w:rsidR="00AC01D3" w:rsidRPr="00AC01D3">
              <w:rPr>
                <w:rStyle w:val="Hyperlink"/>
                <w:rFonts w:ascii="Arial" w:hAnsi="Arial" w:cs="Arial"/>
                <w:noProof/>
              </w:rPr>
              <w:t>5 Priorities for 2024 -2025</w:t>
            </w:r>
            <w:r w:rsidR="00AC01D3" w:rsidRPr="00AC01D3">
              <w:rPr>
                <w:rFonts w:ascii="Arial" w:hAnsi="Arial" w:cs="Arial"/>
                <w:noProof/>
                <w:webHidden/>
              </w:rPr>
              <w:tab/>
            </w:r>
            <w:r w:rsidR="00AC01D3" w:rsidRPr="00AC01D3">
              <w:rPr>
                <w:rFonts w:ascii="Arial" w:hAnsi="Arial" w:cs="Arial"/>
                <w:noProof/>
                <w:webHidden/>
              </w:rPr>
              <w:fldChar w:fldCharType="begin"/>
            </w:r>
            <w:r w:rsidR="00AC01D3" w:rsidRPr="00AC01D3">
              <w:rPr>
                <w:rFonts w:ascii="Arial" w:hAnsi="Arial" w:cs="Arial"/>
                <w:noProof/>
                <w:webHidden/>
              </w:rPr>
              <w:instrText xml:space="preserve"> PAGEREF _Toc185331741 \h </w:instrText>
            </w:r>
            <w:r w:rsidR="00AC01D3" w:rsidRPr="00AC01D3">
              <w:rPr>
                <w:rFonts w:ascii="Arial" w:hAnsi="Arial" w:cs="Arial"/>
                <w:noProof/>
                <w:webHidden/>
              </w:rPr>
            </w:r>
            <w:r w:rsidR="00AC01D3" w:rsidRPr="00AC01D3">
              <w:rPr>
                <w:rFonts w:ascii="Arial" w:hAnsi="Arial" w:cs="Arial"/>
                <w:noProof/>
                <w:webHidden/>
              </w:rPr>
              <w:fldChar w:fldCharType="separate"/>
            </w:r>
            <w:r w:rsidR="00AC01D3" w:rsidRPr="00AC01D3">
              <w:rPr>
                <w:rFonts w:ascii="Arial" w:hAnsi="Arial" w:cs="Arial"/>
                <w:noProof/>
                <w:webHidden/>
              </w:rPr>
              <w:t>17</w:t>
            </w:r>
            <w:r w:rsidR="00AC01D3" w:rsidRPr="00AC01D3">
              <w:rPr>
                <w:rFonts w:ascii="Arial" w:hAnsi="Arial" w:cs="Arial"/>
                <w:noProof/>
                <w:webHidden/>
              </w:rPr>
              <w:fldChar w:fldCharType="end"/>
            </w:r>
          </w:hyperlink>
        </w:p>
        <w:p w14:paraId="6B397024" w14:textId="786B10DD" w:rsidR="00AC01D3" w:rsidRPr="00AC01D3" w:rsidRDefault="00F23292">
          <w:pPr>
            <w:pStyle w:val="TOC2"/>
            <w:tabs>
              <w:tab w:val="left" w:pos="880"/>
            </w:tabs>
            <w:rPr>
              <w:rFonts w:eastAsiaTheme="minorEastAsia" w:cs="Arial"/>
              <w:kern w:val="2"/>
              <w:sz w:val="22"/>
              <w:szCs w:val="22"/>
              <w:lang w:eastAsia="en-AU"/>
              <w14:ligatures w14:val="standardContextual"/>
            </w:rPr>
          </w:pPr>
          <w:hyperlink w:anchor="_Toc185331742" w:history="1">
            <w:r w:rsidR="00AC01D3" w:rsidRPr="00AC01D3">
              <w:rPr>
                <w:rStyle w:val="Hyperlink"/>
                <w:rFonts w:cs="Arial"/>
              </w:rPr>
              <w:t>5.1</w:t>
            </w:r>
            <w:r w:rsidR="00AC01D3" w:rsidRPr="00AC01D3">
              <w:rPr>
                <w:rFonts w:eastAsiaTheme="minorEastAsia" w:cs="Arial"/>
                <w:kern w:val="2"/>
                <w:sz w:val="22"/>
                <w:szCs w:val="22"/>
                <w:lang w:eastAsia="en-AU"/>
                <w14:ligatures w14:val="standardContextual"/>
              </w:rPr>
              <w:tab/>
            </w:r>
            <w:r w:rsidR="00AC01D3" w:rsidRPr="00AC01D3">
              <w:rPr>
                <w:rStyle w:val="Hyperlink"/>
                <w:rFonts w:cs="Arial"/>
              </w:rPr>
              <w:t>Disability Rights, Inclusion and Safeguarding Act 2024</w:t>
            </w:r>
            <w:r w:rsidR="00AC01D3" w:rsidRPr="00AC01D3">
              <w:rPr>
                <w:rFonts w:cs="Arial"/>
                <w:webHidden/>
              </w:rPr>
              <w:tab/>
            </w:r>
            <w:r w:rsidR="00AC01D3" w:rsidRPr="00AC01D3">
              <w:rPr>
                <w:rFonts w:cs="Arial"/>
                <w:webHidden/>
              </w:rPr>
              <w:fldChar w:fldCharType="begin"/>
            </w:r>
            <w:r w:rsidR="00AC01D3" w:rsidRPr="00AC01D3">
              <w:rPr>
                <w:rFonts w:cs="Arial"/>
                <w:webHidden/>
              </w:rPr>
              <w:instrText xml:space="preserve"> PAGEREF _Toc185331742 \h </w:instrText>
            </w:r>
            <w:r w:rsidR="00AC01D3" w:rsidRPr="00AC01D3">
              <w:rPr>
                <w:rFonts w:cs="Arial"/>
                <w:webHidden/>
              </w:rPr>
            </w:r>
            <w:r w:rsidR="00AC01D3" w:rsidRPr="00AC01D3">
              <w:rPr>
                <w:rFonts w:cs="Arial"/>
                <w:webHidden/>
              </w:rPr>
              <w:fldChar w:fldCharType="separate"/>
            </w:r>
            <w:r w:rsidR="00AC01D3" w:rsidRPr="00AC01D3">
              <w:rPr>
                <w:rFonts w:cs="Arial"/>
                <w:webHidden/>
              </w:rPr>
              <w:t>17</w:t>
            </w:r>
            <w:r w:rsidR="00AC01D3" w:rsidRPr="00AC01D3">
              <w:rPr>
                <w:rFonts w:cs="Arial"/>
                <w:webHidden/>
              </w:rPr>
              <w:fldChar w:fldCharType="end"/>
            </w:r>
          </w:hyperlink>
        </w:p>
        <w:p w14:paraId="158FF763" w14:textId="773DE4EC" w:rsidR="00AC01D3" w:rsidRPr="00AC01D3" w:rsidRDefault="00F23292">
          <w:pPr>
            <w:pStyle w:val="TOC2"/>
            <w:tabs>
              <w:tab w:val="left" w:pos="880"/>
            </w:tabs>
            <w:rPr>
              <w:rFonts w:eastAsiaTheme="minorEastAsia" w:cs="Arial"/>
              <w:kern w:val="2"/>
              <w:sz w:val="22"/>
              <w:szCs w:val="22"/>
              <w:lang w:eastAsia="en-AU"/>
              <w14:ligatures w14:val="standardContextual"/>
            </w:rPr>
          </w:pPr>
          <w:hyperlink w:anchor="_Toc185331743" w:history="1">
            <w:r w:rsidR="00AC01D3" w:rsidRPr="00AC01D3">
              <w:rPr>
                <w:rStyle w:val="Hyperlink"/>
                <w:rFonts w:cs="Arial"/>
              </w:rPr>
              <w:t>5.2</w:t>
            </w:r>
            <w:r w:rsidR="00AC01D3" w:rsidRPr="00AC01D3">
              <w:rPr>
                <w:rFonts w:eastAsiaTheme="minorEastAsia" w:cs="Arial"/>
                <w:kern w:val="2"/>
                <w:sz w:val="22"/>
                <w:szCs w:val="22"/>
                <w:lang w:eastAsia="en-AU"/>
                <w14:ligatures w14:val="standardContextual"/>
              </w:rPr>
              <w:tab/>
            </w:r>
            <w:r w:rsidR="00AC01D3" w:rsidRPr="00AC01D3">
              <w:rPr>
                <w:rStyle w:val="Hyperlink"/>
                <w:rFonts w:cs="Arial"/>
              </w:rPr>
              <w:t>Fact/information sheets</w:t>
            </w:r>
            <w:r w:rsidR="00AC01D3" w:rsidRPr="00AC01D3">
              <w:rPr>
                <w:rFonts w:cs="Arial"/>
                <w:webHidden/>
              </w:rPr>
              <w:tab/>
            </w:r>
            <w:r w:rsidR="00AC01D3" w:rsidRPr="00AC01D3">
              <w:rPr>
                <w:rFonts w:cs="Arial"/>
                <w:webHidden/>
              </w:rPr>
              <w:fldChar w:fldCharType="begin"/>
            </w:r>
            <w:r w:rsidR="00AC01D3" w:rsidRPr="00AC01D3">
              <w:rPr>
                <w:rFonts w:cs="Arial"/>
                <w:webHidden/>
              </w:rPr>
              <w:instrText xml:space="preserve"> PAGEREF _Toc185331743 \h </w:instrText>
            </w:r>
            <w:r w:rsidR="00AC01D3" w:rsidRPr="00AC01D3">
              <w:rPr>
                <w:rFonts w:cs="Arial"/>
                <w:webHidden/>
              </w:rPr>
            </w:r>
            <w:r w:rsidR="00AC01D3" w:rsidRPr="00AC01D3">
              <w:rPr>
                <w:rFonts w:cs="Arial"/>
                <w:webHidden/>
              </w:rPr>
              <w:fldChar w:fldCharType="separate"/>
            </w:r>
            <w:r w:rsidR="00AC01D3" w:rsidRPr="00AC01D3">
              <w:rPr>
                <w:rFonts w:cs="Arial"/>
                <w:webHidden/>
              </w:rPr>
              <w:t>18</w:t>
            </w:r>
            <w:r w:rsidR="00AC01D3" w:rsidRPr="00AC01D3">
              <w:rPr>
                <w:rFonts w:cs="Arial"/>
                <w:webHidden/>
              </w:rPr>
              <w:fldChar w:fldCharType="end"/>
            </w:r>
          </w:hyperlink>
        </w:p>
        <w:p w14:paraId="4F12506E" w14:textId="7425D33E" w:rsidR="00AC01D3" w:rsidRDefault="00F23292">
          <w:pPr>
            <w:pStyle w:val="TOC2"/>
            <w:rPr>
              <w:rFonts w:asciiTheme="minorHAnsi" w:eastAsiaTheme="minorEastAsia" w:hAnsiTheme="minorHAnsi" w:cstheme="minorBidi"/>
              <w:kern w:val="2"/>
              <w:sz w:val="22"/>
              <w:szCs w:val="22"/>
              <w:lang w:eastAsia="en-AU"/>
              <w14:ligatures w14:val="standardContextual"/>
            </w:rPr>
          </w:pPr>
          <w:hyperlink w:anchor="_Toc185331744" w:history="1">
            <w:r w:rsidR="00AC01D3" w:rsidRPr="00AC01D3">
              <w:rPr>
                <w:rStyle w:val="Hyperlink"/>
                <w:rFonts w:cs="Arial"/>
              </w:rPr>
              <w:t xml:space="preserve">5.3   </w:t>
            </w:r>
            <w:r w:rsidR="00296D9E">
              <w:rPr>
                <w:rStyle w:val="Hyperlink"/>
                <w:rFonts w:cs="Arial"/>
              </w:rPr>
              <w:t xml:space="preserve">  </w:t>
            </w:r>
            <w:r w:rsidR="00AC01D3" w:rsidRPr="00AC01D3">
              <w:rPr>
                <w:rStyle w:val="Hyperlink"/>
                <w:rFonts w:cs="Arial"/>
              </w:rPr>
              <w:t>Continuing  Priorities</w:t>
            </w:r>
            <w:r w:rsidR="00AC01D3" w:rsidRPr="00AC01D3">
              <w:rPr>
                <w:rFonts w:cs="Arial"/>
                <w:webHidden/>
              </w:rPr>
              <w:tab/>
            </w:r>
            <w:r w:rsidR="00AC01D3" w:rsidRPr="00AC01D3">
              <w:rPr>
                <w:rFonts w:cs="Arial"/>
                <w:webHidden/>
              </w:rPr>
              <w:fldChar w:fldCharType="begin"/>
            </w:r>
            <w:r w:rsidR="00AC01D3" w:rsidRPr="00AC01D3">
              <w:rPr>
                <w:rFonts w:cs="Arial"/>
                <w:webHidden/>
              </w:rPr>
              <w:instrText xml:space="preserve"> PAGEREF _Toc185331744 \h </w:instrText>
            </w:r>
            <w:r w:rsidR="00AC01D3" w:rsidRPr="00AC01D3">
              <w:rPr>
                <w:rFonts w:cs="Arial"/>
                <w:webHidden/>
              </w:rPr>
            </w:r>
            <w:r w:rsidR="00AC01D3" w:rsidRPr="00AC01D3">
              <w:rPr>
                <w:rFonts w:cs="Arial"/>
                <w:webHidden/>
              </w:rPr>
              <w:fldChar w:fldCharType="separate"/>
            </w:r>
            <w:r w:rsidR="00AC01D3" w:rsidRPr="00AC01D3">
              <w:rPr>
                <w:rFonts w:cs="Arial"/>
                <w:webHidden/>
              </w:rPr>
              <w:t>18</w:t>
            </w:r>
            <w:r w:rsidR="00AC01D3" w:rsidRPr="00AC01D3">
              <w:rPr>
                <w:rFonts w:cs="Arial"/>
                <w:webHidden/>
              </w:rPr>
              <w:fldChar w:fldCharType="end"/>
            </w:r>
          </w:hyperlink>
        </w:p>
        <w:p w14:paraId="1EF51A60" w14:textId="2D1BF9E8" w:rsidR="00AC01D3" w:rsidRDefault="00AC01D3">
          <w:r>
            <w:rPr>
              <w:b/>
              <w:bCs/>
              <w:noProof/>
            </w:rPr>
            <w:fldChar w:fldCharType="end"/>
          </w:r>
        </w:p>
      </w:sdtContent>
    </w:sdt>
    <w:p w14:paraId="67AD1359" w14:textId="77777777" w:rsidR="00AC01D3" w:rsidRDefault="00AC01D3">
      <w:pPr>
        <w:spacing w:after="0" w:line="240" w:lineRule="auto"/>
        <w:rPr>
          <w:rFonts w:eastAsiaTheme="majorEastAsia" w:cstheme="majorBidi"/>
          <w:b/>
          <w:bCs/>
          <w:color w:val="36335C"/>
          <w:sz w:val="70"/>
          <w:szCs w:val="68"/>
        </w:rPr>
      </w:pPr>
      <w:bookmarkStart w:id="4" w:name="_Toc185331726"/>
      <w:r>
        <w:br w:type="page"/>
      </w:r>
    </w:p>
    <w:p w14:paraId="1A49A087" w14:textId="661250A7" w:rsidR="007662D7" w:rsidRDefault="007662D7" w:rsidP="005728FF">
      <w:pPr>
        <w:pStyle w:val="Heading1"/>
      </w:pPr>
      <w:r w:rsidRPr="00BA47FF">
        <w:t>1 Executive Summary</w:t>
      </w:r>
      <w:bookmarkEnd w:id="4"/>
      <w:bookmarkEnd w:id="1"/>
    </w:p>
    <w:p w14:paraId="039223D1" w14:textId="77777777" w:rsidR="00623B8F" w:rsidRPr="00BA47FF" w:rsidRDefault="00623B8F" w:rsidP="00F23292">
      <w:pPr>
        <w:pStyle w:val="BodyText"/>
        <w:spacing w:line="271" w:lineRule="auto"/>
        <w:ind w:left="284"/>
        <w:rPr>
          <w:rFonts w:cs="Arial"/>
          <w:sz w:val="24"/>
        </w:rPr>
      </w:pPr>
      <w:r w:rsidRPr="00BA47FF">
        <w:rPr>
          <w:rFonts w:cs="Arial"/>
          <w:sz w:val="24"/>
        </w:rPr>
        <w:t xml:space="preserve">As outlined in the </w:t>
      </w:r>
      <w:r w:rsidRPr="00BA47FF">
        <w:rPr>
          <w:rFonts w:cs="Arial"/>
          <w:i/>
          <w:sz w:val="24"/>
        </w:rPr>
        <w:t>Disability Services Act 2011</w:t>
      </w:r>
      <w:r w:rsidRPr="00BA47FF">
        <w:rPr>
          <w:rFonts w:cs="Arial"/>
          <w:sz w:val="24"/>
        </w:rPr>
        <w:t xml:space="preserve"> (Tas), (the Act) the Senior Practitioner must provide to the Secretary by 1 September each year a report consisting of:</w:t>
      </w:r>
    </w:p>
    <w:p w14:paraId="1874C59F" w14:textId="576FFCF4" w:rsidR="00623B8F" w:rsidRPr="00BA47FF" w:rsidRDefault="00623B8F" w:rsidP="00F23292">
      <w:pPr>
        <w:pStyle w:val="BodyText"/>
        <w:widowControl w:val="0"/>
        <w:numPr>
          <w:ilvl w:val="0"/>
          <w:numId w:val="3"/>
        </w:numPr>
        <w:spacing w:line="271" w:lineRule="auto"/>
        <w:ind w:left="993" w:hanging="709"/>
        <w:rPr>
          <w:rFonts w:cs="Arial"/>
          <w:sz w:val="24"/>
        </w:rPr>
      </w:pPr>
      <w:bookmarkStart w:id="5" w:name="GS31@Gs1@EN"/>
      <w:bookmarkEnd w:id="5"/>
      <w:r w:rsidRPr="00BA47FF">
        <w:rPr>
          <w:rFonts w:cs="Arial"/>
          <w:bCs/>
          <w:sz w:val="24"/>
        </w:rPr>
        <w:t>i</w:t>
      </w:r>
      <w:r w:rsidRPr="00BA47FF">
        <w:rPr>
          <w:rFonts w:cs="Arial"/>
          <w:sz w:val="24"/>
        </w:rPr>
        <w:t>nformation on the performance of the functions, and the exercise of the powers, of the Senior Practitioner during the previous financial year</w:t>
      </w:r>
      <w:r w:rsidR="005642C9">
        <w:rPr>
          <w:rFonts w:cs="Arial"/>
          <w:sz w:val="24"/>
        </w:rPr>
        <w:t>.</w:t>
      </w:r>
    </w:p>
    <w:p w14:paraId="52CE1D2F" w14:textId="77777777" w:rsidR="00623B8F" w:rsidRPr="00BA47FF" w:rsidRDefault="00623B8F" w:rsidP="00F23292">
      <w:pPr>
        <w:pStyle w:val="BodyText"/>
        <w:widowControl w:val="0"/>
        <w:numPr>
          <w:ilvl w:val="0"/>
          <w:numId w:val="3"/>
        </w:numPr>
        <w:spacing w:line="271" w:lineRule="auto"/>
        <w:ind w:left="993" w:hanging="709"/>
        <w:rPr>
          <w:rFonts w:cs="Arial"/>
          <w:sz w:val="24"/>
        </w:rPr>
      </w:pPr>
      <w:bookmarkStart w:id="6" w:name="GS31@Gs1@Hpb@EN"/>
      <w:bookmarkEnd w:id="6"/>
      <w:r w:rsidRPr="00BA47FF">
        <w:rPr>
          <w:rFonts w:cs="Arial"/>
          <w:bCs/>
          <w:sz w:val="24"/>
        </w:rPr>
        <w:t>d</w:t>
      </w:r>
      <w:r w:rsidRPr="00BA47FF">
        <w:rPr>
          <w:rFonts w:cs="Arial"/>
          <w:sz w:val="24"/>
        </w:rPr>
        <w:t>ata relating to the use of restrictive interventions during the previous financial year.</w:t>
      </w:r>
    </w:p>
    <w:p w14:paraId="4842654C" w14:textId="77777777" w:rsidR="00623B8F" w:rsidRPr="00BA47FF" w:rsidRDefault="00623B8F" w:rsidP="00F23292">
      <w:pPr>
        <w:pStyle w:val="BodyText"/>
        <w:spacing w:line="271" w:lineRule="auto"/>
        <w:ind w:left="284"/>
        <w:rPr>
          <w:rFonts w:cs="Arial"/>
          <w:sz w:val="24"/>
        </w:rPr>
      </w:pPr>
      <w:bookmarkStart w:id="7" w:name="GS31@Gs2@EN"/>
      <w:bookmarkEnd w:id="7"/>
      <w:r w:rsidRPr="00BA47FF">
        <w:rPr>
          <w:rFonts w:cs="Arial"/>
          <w:sz w:val="24"/>
        </w:rPr>
        <w:t xml:space="preserve">It is also a requirement of the Act that a report provided to the Secretary under Section 31 must not enable a person with disability to be identified. </w:t>
      </w:r>
      <w:bookmarkStart w:id="8" w:name="GS31@Gs3@EN"/>
      <w:bookmarkEnd w:id="8"/>
    </w:p>
    <w:p w14:paraId="3634EA8E" w14:textId="5091EC41" w:rsidR="00623B8F" w:rsidRPr="00BA47FF" w:rsidRDefault="00623B8F" w:rsidP="00F23292">
      <w:pPr>
        <w:pStyle w:val="BodyText"/>
        <w:spacing w:line="271" w:lineRule="auto"/>
        <w:ind w:left="284"/>
        <w:rPr>
          <w:rFonts w:cs="Arial"/>
          <w:sz w:val="24"/>
        </w:rPr>
      </w:pPr>
      <w:r w:rsidRPr="00BA47FF">
        <w:rPr>
          <w:rFonts w:cs="Arial"/>
          <w:sz w:val="24"/>
        </w:rPr>
        <w:t>Finally, the Secretary must ensure that a copy of the report provided to the Secretary under Section 31 is available to the public at an electronic website of the Department for at least twelve months after it is so provided. The Senior Practitioner’s reports are available at</w:t>
      </w:r>
      <w:r w:rsidR="00582EB0">
        <w:rPr>
          <w:rFonts w:cs="Arial"/>
          <w:sz w:val="24"/>
        </w:rPr>
        <w:t>:</w:t>
      </w:r>
      <w:r w:rsidRPr="00BA47FF">
        <w:rPr>
          <w:rFonts w:cs="Arial"/>
          <w:sz w:val="24"/>
        </w:rPr>
        <w:t xml:space="preserve"> </w:t>
      </w:r>
    </w:p>
    <w:p w14:paraId="17F820D6" w14:textId="0B0E7518" w:rsidR="00BB7A5B" w:rsidRPr="00BA47FF" w:rsidRDefault="00F23292" w:rsidP="00F23292">
      <w:pPr>
        <w:pStyle w:val="BodyText"/>
        <w:spacing w:line="271" w:lineRule="auto"/>
        <w:ind w:left="284"/>
        <w:jc w:val="both"/>
        <w:rPr>
          <w:rFonts w:cs="Arial"/>
          <w:color w:val="0000FF"/>
          <w:sz w:val="24"/>
        </w:rPr>
      </w:pPr>
      <w:hyperlink r:id="rId11" w:history="1">
        <w:r w:rsidR="00BB7A5B" w:rsidRPr="00BA47FF">
          <w:rPr>
            <w:rStyle w:val="Hyperlink"/>
            <w:rFonts w:cs="Arial"/>
            <w:color w:val="0000FF"/>
            <w:sz w:val="24"/>
          </w:rPr>
          <w:t>https://www.dpac.tas.gov.au/divisions/cpp/community-and-disability-services/office-of-the-senior-practitioner</w:t>
        </w:r>
      </w:hyperlink>
    </w:p>
    <w:p w14:paraId="322B314E" w14:textId="086D75DC" w:rsidR="000F54CA" w:rsidRPr="00BA47FF" w:rsidRDefault="000F54CA" w:rsidP="00F23292">
      <w:pPr>
        <w:pStyle w:val="BodyText"/>
        <w:spacing w:line="271" w:lineRule="auto"/>
        <w:ind w:left="284"/>
        <w:rPr>
          <w:rFonts w:cs="Arial"/>
          <w:sz w:val="24"/>
        </w:rPr>
      </w:pPr>
      <w:r w:rsidRPr="00BA47FF">
        <w:rPr>
          <w:rFonts w:cs="Arial"/>
          <w:sz w:val="24"/>
        </w:rPr>
        <w:t xml:space="preserve">The report outlines the activities conducted by the Senior Practitioner </w:t>
      </w:r>
      <w:r w:rsidR="000E4CE1" w:rsidRPr="00BA47FF">
        <w:rPr>
          <w:rFonts w:cs="Arial"/>
          <w:sz w:val="24"/>
        </w:rPr>
        <w:t>to</w:t>
      </w:r>
      <w:r w:rsidRPr="00BA47FF">
        <w:rPr>
          <w:rFonts w:cs="Arial"/>
          <w:sz w:val="24"/>
        </w:rPr>
        <w:t xml:space="preserve"> make recommendations about the provision of specialist disability services as well as the regulation of the use of restrictive interventions. This report details the data relating to the use of restrictive interventions from 1 July 202</w:t>
      </w:r>
      <w:r w:rsidR="00BA47FF">
        <w:rPr>
          <w:rFonts w:cs="Arial"/>
          <w:sz w:val="24"/>
        </w:rPr>
        <w:t>3</w:t>
      </w:r>
      <w:r w:rsidRPr="00BA47FF">
        <w:rPr>
          <w:rFonts w:cs="Arial"/>
          <w:sz w:val="24"/>
        </w:rPr>
        <w:t xml:space="preserve"> to 30 June 202</w:t>
      </w:r>
      <w:r w:rsidR="00BA47FF">
        <w:rPr>
          <w:rFonts w:cs="Arial"/>
          <w:sz w:val="24"/>
        </w:rPr>
        <w:t>4</w:t>
      </w:r>
      <w:r w:rsidRPr="00BA47FF">
        <w:rPr>
          <w:rFonts w:cs="Arial"/>
          <w:sz w:val="24"/>
        </w:rPr>
        <w:t xml:space="preserve">. </w:t>
      </w:r>
    </w:p>
    <w:p w14:paraId="3E0F3C34" w14:textId="77777777" w:rsidR="000F54CA" w:rsidRPr="00BA47FF" w:rsidRDefault="000F54CA" w:rsidP="00F23292">
      <w:pPr>
        <w:pStyle w:val="BodyText"/>
        <w:spacing w:line="271" w:lineRule="auto"/>
        <w:ind w:left="284"/>
        <w:rPr>
          <w:rFonts w:cs="Arial"/>
          <w:sz w:val="24"/>
        </w:rPr>
      </w:pPr>
      <w:r w:rsidRPr="00BA47FF">
        <w:rPr>
          <w:rFonts w:cs="Arial"/>
          <w:sz w:val="24"/>
        </w:rPr>
        <w:t>The data indicates some trends that require further examination and the development of guidelines and standards in accordance with best practice in the disability sector as related to the incidence of use of restrictive interventions.</w:t>
      </w:r>
    </w:p>
    <w:p w14:paraId="69855993" w14:textId="77777777" w:rsidR="000F54CA" w:rsidRPr="00BA47FF" w:rsidRDefault="000F54CA" w:rsidP="00F23292">
      <w:pPr>
        <w:pStyle w:val="BodyText"/>
        <w:spacing w:line="271" w:lineRule="auto"/>
        <w:ind w:left="284"/>
        <w:rPr>
          <w:rFonts w:cs="Arial"/>
          <w:sz w:val="24"/>
        </w:rPr>
      </w:pPr>
      <w:r w:rsidRPr="00BA47FF">
        <w:rPr>
          <w:rFonts w:cs="Arial"/>
          <w:sz w:val="24"/>
        </w:rPr>
        <w:t>The report concludes with some areas identified as priorities to assist the sector to provide improved services for those living with disability during the next reporting period.</w:t>
      </w:r>
    </w:p>
    <w:p w14:paraId="3BCA4F91" w14:textId="6EE7C23C" w:rsidR="000F54CA" w:rsidRPr="00BA47FF" w:rsidRDefault="000F54CA" w:rsidP="00F23292">
      <w:pPr>
        <w:pStyle w:val="BodyText"/>
        <w:spacing w:line="271" w:lineRule="auto"/>
        <w:ind w:left="284"/>
        <w:rPr>
          <w:rFonts w:cs="Arial"/>
          <w:sz w:val="24"/>
        </w:rPr>
      </w:pPr>
      <w:r w:rsidRPr="00BA47FF">
        <w:rPr>
          <w:rFonts w:cs="Arial"/>
          <w:sz w:val="24"/>
        </w:rPr>
        <w:t>In this reporting period there w</w:t>
      </w:r>
      <w:r w:rsidR="00653A46" w:rsidRPr="00BA47FF">
        <w:rPr>
          <w:rFonts w:cs="Arial"/>
          <w:sz w:val="24"/>
        </w:rPr>
        <w:t>ere</w:t>
      </w:r>
      <w:r w:rsidRPr="00BA47FF">
        <w:rPr>
          <w:rFonts w:cs="Arial"/>
          <w:sz w:val="24"/>
        </w:rPr>
        <w:t xml:space="preserve"> increases in both applications from disability service providers seeking approval to use restrictive interventions and reports on the unauthorised use of restrictive interventions</w:t>
      </w:r>
      <w:r w:rsidR="009F2118" w:rsidRPr="00BA47FF">
        <w:rPr>
          <w:rFonts w:cs="Arial"/>
          <w:sz w:val="24"/>
        </w:rPr>
        <w:t xml:space="preserve">. </w:t>
      </w:r>
      <w:r w:rsidRPr="00BA47FF">
        <w:rPr>
          <w:rFonts w:cs="Arial"/>
          <w:sz w:val="24"/>
        </w:rPr>
        <w:t>Th</w:t>
      </w:r>
      <w:r w:rsidR="00BA47FF">
        <w:rPr>
          <w:rFonts w:cs="Arial"/>
          <w:sz w:val="24"/>
        </w:rPr>
        <w:t>e</w:t>
      </w:r>
      <w:r w:rsidRPr="00BA47FF">
        <w:rPr>
          <w:rFonts w:cs="Arial"/>
          <w:sz w:val="24"/>
        </w:rPr>
        <w:t xml:space="preserve"> increase in activity is an encouraging sign that the </w:t>
      </w:r>
      <w:r w:rsidRPr="0069137D">
        <w:rPr>
          <w:rFonts w:cs="Arial"/>
          <w:sz w:val="24"/>
        </w:rPr>
        <w:t>efforts of the Office of the Senior Practitioner</w:t>
      </w:r>
      <w:r w:rsidR="009401A2" w:rsidRPr="0069137D">
        <w:rPr>
          <w:rFonts w:cs="Arial"/>
          <w:sz w:val="24"/>
        </w:rPr>
        <w:t xml:space="preserve"> (OSP) </w:t>
      </w:r>
      <w:r w:rsidRPr="0069137D">
        <w:rPr>
          <w:rFonts w:cs="Arial"/>
          <w:sz w:val="24"/>
        </w:rPr>
        <w:t xml:space="preserve">and the NDIS </w:t>
      </w:r>
      <w:r w:rsidR="00653A46" w:rsidRPr="0069137D">
        <w:rPr>
          <w:rFonts w:cs="Arial"/>
          <w:sz w:val="24"/>
        </w:rPr>
        <w:t xml:space="preserve">Quality and Safeguards </w:t>
      </w:r>
      <w:r w:rsidRPr="0069137D">
        <w:rPr>
          <w:rFonts w:cs="Arial"/>
          <w:sz w:val="24"/>
        </w:rPr>
        <w:t xml:space="preserve">Commission </w:t>
      </w:r>
      <w:r w:rsidR="00653A46" w:rsidRPr="0069137D">
        <w:rPr>
          <w:rFonts w:cs="Arial"/>
          <w:sz w:val="24"/>
        </w:rPr>
        <w:t xml:space="preserve">(NDIS Commission) </w:t>
      </w:r>
      <w:r w:rsidRPr="0069137D">
        <w:rPr>
          <w:rFonts w:cs="Arial"/>
          <w:sz w:val="24"/>
        </w:rPr>
        <w:t xml:space="preserve">to raise awareness about the importance of protecting the rights of people with disability when restrictive intervention </w:t>
      </w:r>
      <w:r w:rsidR="0018405A" w:rsidRPr="0069137D">
        <w:rPr>
          <w:rFonts w:cs="Arial"/>
          <w:sz w:val="24"/>
        </w:rPr>
        <w:t xml:space="preserve">is required, </w:t>
      </w:r>
      <w:r w:rsidR="00366140" w:rsidRPr="0069137D">
        <w:rPr>
          <w:rFonts w:cs="Arial"/>
          <w:sz w:val="24"/>
        </w:rPr>
        <w:t xml:space="preserve">continue to have </w:t>
      </w:r>
      <w:r w:rsidR="00BA47FF" w:rsidRPr="0069137D">
        <w:rPr>
          <w:rFonts w:cs="Arial"/>
          <w:sz w:val="24"/>
        </w:rPr>
        <w:t xml:space="preserve"> </w:t>
      </w:r>
      <w:r w:rsidRPr="0069137D">
        <w:rPr>
          <w:rFonts w:cs="Arial"/>
          <w:sz w:val="24"/>
        </w:rPr>
        <w:t>a positive effect</w:t>
      </w:r>
      <w:r w:rsidR="00F23292">
        <w:rPr>
          <w:rFonts w:cs="Arial"/>
          <w:sz w:val="24"/>
        </w:rPr>
        <w:t>.</w:t>
      </w:r>
    </w:p>
    <w:p w14:paraId="6119BCC2" w14:textId="157D42CE" w:rsidR="0029008A" w:rsidRPr="00E17076" w:rsidRDefault="007662D7" w:rsidP="00E17076">
      <w:pPr>
        <w:pStyle w:val="Heading1"/>
      </w:pPr>
      <w:r w:rsidRPr="00BA47FF">
        <w:rPr>
          <w:sz w:val="24"/>
        </w:rPr>
        <w:br w:type="column"/>
      </w:r>
      <w:bookmarkStart w:id="9" w:name="_Toc520722614"/>
      <w:bookmarkStart w:id="10" w:name="_Toc183610775"/>
      <w:bookmarkStart w:id="11" w:name="_Toc185331727"/>
      <w:bookmarkStart w:id="12" w:name="_Toc534273721"/>
      <w:bookmarkStart w:id="13" w:name="_Toc534274094"/>
      <w:bookmarkEnd w:id="3"/>
      <w:bookmarkEnd w:id="2"/>
      <w:r w:rsidR="0029008A" w:rsidRPr="00E17076">
        <w:rPr>
          <w:rStyle w:val="Heading3Char"/>
          <w:b/>
          <w:color w:val="36335C"/>
          <w:sz w:val="70"/>
          <w:szCs w:val="68"/>
        </w:rPr>
        <w:t>2</w:t>
      </w:r>
      <w:bookmarkEnd w:id="9"/>
      <w:r w:rsidR="0029008A" w:rsidRPr="00E17076">
        <w:rPr>
          <w:rStyle w:val="Heading3Char"/>
          <w:b/>
          <w:color w:val="36335C"/>
          <w:sz w:val="70"/>
          <w:szCs w:val="68"/>
        </w:rPr>
        <w:t xml:space="preserve"> NDIS Quality and Safeguards Commission</w:t>
      </w:r>
      <w:bookmarkEnd w:id="10"/>
      <w:bookmarkEnd w:id="11"/>
    </w:p>
    <w:p w14:paraId="5D47B718" w14:textId="384DAC54" w:rsidR="00082775" w:rsidRPr="00BA47FF" w:rsidRDefault="00082775" w:rsidP="00F23292">
      <w:bookmarkStart w:id="14" w:name="_Toc534274095"/>
      <w:bookmarkEnd w:id="12"/>
      <w:bookmarkEnd w:id="13"/>
      <w:r w:rsidRPr="00BA47FF">
        <w:t>The NDIS Commission has been operating in Tasmania since 1 July 2019</w:t>
      </w:r>
      <w:r w:rsidR="007307F1" w:rsidRPr="00BA47FF">
        <w:t xml:space="preserve">. </w:t>
      </w:r>
    </w:p>
    <w:p w14:paraId="2347F49A" w14:textId="16117041" w:rsidR="00082775" w:rsidRPr="00BA47FF" w:rsidRDefault="00082775" w:rsidP="00F23292">
      <w:r w:rsidRPr="00BA47FF">
        <w:t xml:space="preserve">The Commission has </w:t>
      </w:r>
      <w:r w:rsidR="00714A34" w:rsidRPr="00BA47FF">
        <w:t>several</w:t>
      </w:r>
      <w:r w:rsidRPr="00BA47FF">
        <w:t xml:space="preserve"> functions and responsibilities including:</w:t>
      </w:r>
    </w:p>
    <w:p w14:paraId="1A7F8C78" w14:textId="5FB167EA" w:rsidR="00082775" w:rsidRPr="00BA47FF" w:rsidRDefault="00082775" w:rsidP="00F23292">
      <w:pPr>
        <w:pStyle w:val="ListParagraph"/>
        <w:numPr>
          <w:ilvl w:val="0"/>
          <w:numId w:val="25"/>
        </w:numPr>
      </w:pPr>
      <w:r w:rsidRPr="00BA47FF">
        <w:t>registering and regulating NDIS providers and overseeing provider quality</w:t>
      </w:r>
      <w:r w:rsidR="00BB7A5B" w:rsidRPr="00BA47FF">
        <w:t>.</w:t>
      </w:r>
    </w:p>
    <w:p w14:paraId="2A3C86E0" w14:textId="33EC5C5E" w:rsidR="00082775" w:rsidRPr="00BA47FF" w:rsidRDefault="00082775" w:rsidP="00F23292">
      <w:pPr>
        <w:pStyle w:val="ListParagraph"/>
        <w:numPr>
          <w:ilvl w:val="0"/>
          <w:numId w:val="25"/>
        </w:numPr>
      </w:pPr>
      <w:r w:rsidRPr="00BA47FF">
        <w:t>monitoring compliance with the NDIS Practice Standards and NDIS Code of Conduct</w:t>
      </w:r>
      <w:r w:rsidR="00BB7A5B" w:rsidRPr="00BA47FF">
        <w:t>.</w:t>
      </w:r>
    </w:p>
    <w:p w14:paraId="6F0F0A73" w14:textId="1070BEB2" w:rsidR="00082775" w:rsidRPr="00BA47FF" w:rsidRDefault="00082775" w:rsidP="00F23292">
      <w:pPr>
        <w:pStyle w:val="ListParagraph"/>
        <w:numPr>
          <w:ilvl w:val="0"/>
          <w:numId w:val="25"/>
        </w:numPr>
      </w:pPr>
      <w:r w:rsidRPr="00BA47FF">
        <w:t xml:space="preserve">responding to concerns, </w:t>
      </w:r>
      <w:r w:rsidR="009F2118" w:rsidRPr="00BA47FF">
        <w:t>complaints,</w:t>
      </w:r>
      <w:r w:rsidRPr="00BA47FF">
        <w:t xml:space="preserve"> and reportable incidents</w:t>
      </w:r>
      <w:r w:rsidR="00BB7A5B" w:rsidRPr="00BA47FF">
        <w:t>.</w:t>
      </w:r>
    </w:p>
    <w:p w14:paraId="2F10DE22" w14:textId="599A25BD" w:rsidR="00082775" w:rsidRPr="00BA47FF" w:rsidRDefault="00082775" w:rsidP="00F23292">
      <w:pPr>
        <w:pStyle w:val="ListParagraph"/>
        <w:numPr>
          <w:ilvl w:val="0"/>
          <w:numId w:val="25"/>
        </w:numPr>
      </w:pPr>
      <w:r w:rsidRPr="00BA47FF">
        <w:t>advising providers on in-house complaints management and supporting participants to make a complaint</w:t>
      </w:r>
      <w:r w:rsidR="00BB7A5B" w:rsidRPr="00BA47FF">
        <w:t>.</w:t>
      </w:r>
    </w:p>
    <w:p w14:paraId="352677AC" w14:textId="09A6B27C" w:rsidR="00082775" w:rsidRPr="00BA47FF" w:rsidRDefault="00082775" w:rsidP="00F23292">
      <w:pPr>
        <w:pStyle w:val="ListParagraph"/>
        <w:numPr>
          <w:ilvl w:val="0"/>
          <w:numId w:val="25"/>
        </w:numPr>
      </w:pPr>
      <w:r w:rsidRPr="00BA47FF">
        <w:t>advising providers on incident management systems and how to report serious incidents to the NDIS Commission</w:t>
      </w:r>
      <w:r w:rsidR="00BB7A5B" w:rsidRPr="00BA47FF">
        <w:t>.</w:t>
      </w:r>
      <w:r w:rsidRPr="00BA47FF">
        <w:t xml:space="preserve"> </w:t>
      </w:r>
    </w:p>
    <w:p w14:paraId="1FC9D99A" w14:textId="5B19E4F6" w:rsidR="00082775" w:rsidRPr="00BA47FF" w:rsidRDefault="00082775" w:rsidP="00F23292">
      <w:pPr>
        <w:pStyle w:val="ListParagraph"/>
        <w:numPr>
          <w:ilvl w:val="0"/>
          <w:numId w:val="25"/>
        </w:numPr>
      </w:pPr>
      <w:r w:rsidRPr="00BA47FF">
        <w:t>working with people with disability, NDIS providers and workers to improve their skills and knowledge</w:t>
      </w:r>
      <w:r w:rsidR="00BB7A5B" w:rsidRPr="00BA47FF">
        <w:t>.</w:t>
      </w:r>
    </w:p>
    <w:p w14:paraId="1DADB3CD" w14:textId="0B7187C3" w:rsidR="00082775" w:rsidRPr="00BA47FF" w:rsidRDefault="00082775" w:rsidP="00F23292">
      <w:pPr>
        <w:pStyle w:val="ListParagraph"/>
        <w:numPr>
          <w:ilvl w:val="0"/>
          <w:numId w:val="25"/>
        </w:numPr>
      </w:pPr>
      <w:r w:rsidRPr="00BA47FF">
        <w:t>monitoring the use of restrictive practices and educating providers and participants about behaviour support strategies</w:t>
      </w:r>
      <w:r w:rsidR="00BB7A5B" w:rsidRPr="00BA47FF">
        <w:t>.</w:t>
      </w:r>
    </w:p>
    <w:p w14:paraId="2BD7848F" w14:textId="1D7207E1" w:rsidR="00082775" w:rsidRPr="00BA47FF" w:rsidRDefault="00082775" w:rsidP="00F23292">
      <w:pPr>
        <w:pStyle w:val="ListParagraph"/>
        <w:numPr>
          <w:ilvl w:val="0"/>
          <w:numId w:val="25"/>
        </w:numPr>
      </w:pPr>
      <w:r w:rsidRPr="00BA47FF">
        <w:t>working with states and territories to design and implement nationally consistent NDIS worker screening</w:t>
      </w:r>
      <w:r w:rsidR="00BB7A5B" w:rsidRPr="00BA47FF">
        <w:t>.</w:t>
      </w:r>
    </w:p>
    <w:p w14:paraId="06052790" w14:textId="3AA4F384" w:rsidR="00082775" w:rsidRPr="00BA47FF" w:rsidRDefault="00082775" w:rsidP="00F23292">
      <w:pPr>
        <w:pStyle w:val="ListParagraph"/>
        <w:numPr>
          <w:ilvl w:val="0"/>
          <w:numId w:val="25"/>
        </w:numPr>
      </w:pPr>
      <w:r w:rsidRPr="00BA47FF">
        <w:t>providing market oversight by monitoring changes in the market that need attention</w:t>
      </w:r>
      <w:r w:rsidR="00BB7A5B" w:rsidRPr="00BA47FF">
        <w:t>.</w:t>
      </w:r>
    </w:p>
    <w:p w14:paraId="0ECB68FA" w14:textId="77777777" w:rsidR="00082775" w:rsidRPr="00BA47FF" w:rsidRDefault="00082775" w:rsidP="00F23292">
      <w:pPr>
        <w:pStyle w:val="ListParagraph"/>
        <w:numPr>
          <w:ilvl w:val="0"/>
          <w:numId w:val="25"/>
        </w:numPr>
      </w:pPr>
      <w:r w:rsidRPr="00BA47FF">
        <w:t xml:space="preserve">sharing information with other regulatory bodies. </w:t>
      </w:r>
    </w:p>
    <w:p w14:paraId="2C86F1FF" w14:textId="18D8D73C" w:rsidR="00082775" w:rsidRPr="005728FF" w:rsidRDefault="00082775" w:rsidP="00F23292">
      <w:pPr>
        <w:pStyle w:val="BodyText"/>
        <w:spacing w:line="271" w:lineRule="auto"/>
        <w:rPr>
          <w:sz w:val="24"/>
        </w:rPr>
      </w:pPr>
      <w:r w:rsidRPr="005728FF">
        <w:rPr>
          <w:sz w:val="24"/>
        </w:rPr>
        <w:t>NDIS</w:t>
      </w:r>
      <w:r w:rsidR="003E0B18" w:rsidRPr="005728FF">
        <w:rPr>
          <w:sz w:val="24"/>
        </w:rPr>
        <w:t xml:space="preserve"> </w:t>
      </w:r>
      <w:r w:rsidRPr="005728FF">
        <w:rPr>
          <w:sz w:val="24"/>
        </w:rPr>
        <w:t>providers in Tasmania are operating under two separate legislative and regulatory frameworks the National Disability Insurance Scheme Act 2013 and associated Rules, as well as the Tasmanian Disability Services Act 2011</w:t>
      </w:r>
      <w:r w:rsidR="009F2118" w:rsidRPr="005728FF">
        <w:rPr>
          <w:sz w:val="24"/>
        </w:rPr>
        <w:t xml:space="preserve">. </w:t>
      </w:r>
      <w:r w:rsidRPr="005728FF">
        <w:rPr>
          <w:sz w:val="24"/>
        </w:rPr>
        <w:t xml:space="preserve">In relation to the use of restrictive interventions, </w:t>
      </w:r>
      <w:r w:rsidR="00EE5D48" w:rsidRPr="005728FF">
        <w:rPr>
          <w:sz w:val="24"/>
        </w:rPr>
        <w:t>NDIS</w:t>
      </w:r>
      <w:r w:rsidRPr="005728FF">
        <w:rPr>
          <w:sz w:val="24"/>
        </w:rPr>
        <w:t xml:space="preserve"> </w:t>
      </w:r>
      <w:r w:rsidR="007E6A9A" w:rsidRPr="005728FF">
        <w:rPr>
          <w:sz w:val="24"/>
        </w:rPr>
        <w:t xml:space="preserve">registered </w:t>
      </w:r>
      <w:r w:rsidRPr="005728FF">
        <w:rPr>
          <w:sz w:val="24"/>
        </w:rPr>
        <w:t xml:space="preserve">providers need to report their use to the </w:t>
      </w:r>
      <w:r w:rsidR="00EE5D48" w:rsidRPr="005728FF">
        <w:rPr>
          <w:sz w:val="24"/>
        </w:rPr>
        <w:t xml:space="preserve">NDIS </w:t>
      </w:r>
      <w:r w:rsidRPr="005728FF">
        <w:rPr>
          <w:sz w:val="24"/>
        </w:rPr>
        <w:t>Commission monthly</w:t>
      </w:r>
      <w:r w:rsidR="00EC4607">
        <w:rPr>
          <w:sz w:val="24"/>
        </w:rPr>
        <w:t>,</w:t>
      </w:r>
      <w:r w:rsidRPr="005728FF">
        <w:rPr>
          <w:sz w:val="24"/>
        </w:rPr>
        <w:t xml:space="preserve"> if authorised </w:t>
      </w:r>
      <w:r w:rsidR="00C85D0D" w:rsidRPr="005728FF">
        <w:rPr>
          <w:sz w:val="24"/>
        </w:rPr>
        <w:t xml:space="preserve">and </w:t>
      </w:r>
      <w:r w:rsidR="00EE5D48" w:rsidRPr="005728FF">
        <w:rPr>
          <w:sz w:val="24"/>
        </w:rPr>
        <w:t>recorded</w:t>
      </w:r>
      <w:r w:rsidR="00C85D0D" w:rsidRPr="005728FF">
        <w:rPr>
          <w:sz w:val="24"/>
        </w:rPr>
        <w:t xml:space="preserve"> in a behaviour support plan</w:t>
      </w:r>
      <w:r w:rsidR="00EC4607">
        <w:rPr>
          <w:sz w:val="24"/>
        </w:rPr>
        <w:t>,</w:t>
      </w:r>
      <w:r w:rsidR="00C85D0D" w:rsidRPr="005728FF">
        <w:rPr>
          <w:sz w:val="24"/>
        </w:rPr>
        <w:t xml:space="preserve"> </w:t>
      </w:r>
      <w:r w:rsidRPr="005728FF">
        <w:rPr>
          <w:sz w:val="24"/>
        </w:rPr>
        <w:t xml:space="preserve">or weekly if unauthorised </w:t>
      </w:r>
      <w:r w:rsidR="00C85D0D" w:rsidRPr="005728FF">
        <w:rPr>
          <w:sz w:val="24"/>
        </w:rPr>
        <w:t xml:space="preserve">or not in a behaviour support plan </w:t>
      </w:r>
      <w:r w:rsidRPr="005728FF">
        <w:rPr>
          <w:sz w:val="24"/>
        </w:rPr>
        <w:t>(a reportable incident)</w:t>
      </w:r>
      <w:r w:rsidR="009F2118" w:rsidRPr="005728FF">
        <w:rPr>
          <w:sz w:val="24"/>
        </w:rPr>
        <w:t xml:space="preserve">. </w:t>
      </w:r>
      <w:r w:rsidRPr="005728FF">
        <w:rPr>
          <w:sz w:val="24"/>
        </w:rPr>
        <w:t xml:space="preserve">Where a restriction </w:t>
      </w:r>
      <w:r w:rsidR="00EE5D48" w:rsidRPr="005728FF">
        <w:rPr>
          <w:sz w:val="24"/>
        </w:rPr>
        <w:t xml:space="preserve">is not in the scope of Tasmania’s legislative authorisation requirements </w:t>
      </w:r>
      <w:r w:rsidRPr="005728FF">
        <w:rPr>
          <w:sz w:val="24"/>
        </w:rPr>
        <w:t xml:space="preserve">(e.g. use of chemical restraint) the action remains a reportable incident </w:t>
      </w:r>
      <w:r w:rsidR="00EE5D48" w:rsidRPr="005728FF">
        <w:rPr>
          <w:sz w:val="24"/>
        </w:rPr>
        <w:t xml:space="preserve">to the NDIS Commission </w:t>
      </w:r>
      <w:r w:rsidRPr="005728FF">
        <w:rPr>
          <w:sz w:val="24"/>
        </w:rPr>
        <w:t>until a behaviour support plan is developed</w:t>
      </w:r>
      <w:r w:rsidR="007E6A9A" w:rsidRPr="005728FF">
        <w:rPr>
          <w:sz w:val="24"/>
        </w:rPr>
        <w:t xml:space="preserve"> which includes</w:t>
      </w:r>
      <w:r w:rsidR="00582EB0" w:rsidRPr="005728FF">
        <w:rPr>
          <w:sz w:val="24"/>
        </w:rPr>
        <w:t xml:space="preserve">, or removes, </w:t>
      </w:r>
      <w:r w:rsidR="007E6A9A" w:rsidRPr="005728FF">
        <w:rPr>
          <w:sz w:val="24"/>
        </w:rPr>
        <w:t>the restriction</w:t>
      </w:r>
      <w:r w:rsidRPr="005728FF">
        <w:rPr>
          <w:sz w:val="24"/>
        </w:rPr>
        <w:t>.</w:t>
      </w:r>
    </w:p>
    <w:p w14:paraId="4FFE9FCC" w14:textId="30F03074" w:rsidR="00082775" w:rsidRPr="005728FF" w:rsidRDefault="00082775" w:rsidP="00F23292">
      <w:pPr>
        <w:pStyle w:val="BodyText"/>
        <w:spacing w:line="271" w:lineRule="auto"/>
        <w:rPr>
          <w:sz w:val="24"/>
        </w:rPr>
      </w:pPr>
      <w:r w:rsidRPr="005728FF">
        <w:rPr>
          <w:sz w:val="24"/>
        </w:rPr>
        <w:t xml:space="preserve">The </w:t>
      </w:r>
      <w:r w:rsidR="00582EB0" w:rsidRPr="005728FF">
        <w:rPr>
          <w:sz w:val="24"/>
        </w:rPr>
        <w:t>OSP</w:t>
      </w:r>
      <w:r w:rsidRPr="005728FF">
        <w:rPr>
          <w:sz w:val="24"/>
        </w:rPr>
        <w:t xml:space="preserve"> continues in its role under section 6 of the Act, including the facilitation of approvals for the use of restrictive interventions and works with the </w:t>
      </w:r>
      <w:r w:rsidR="00EE5D48" w:rsidRPr="005728FF">
        <w:rPr>
          <w:sz w:val="24"/>
        </w:rPr>
        <w:t xml:space="preserve">NDIS </w:t>
      </w:r>
      <w:r w:rsidRPr="005728FF">
        <w:rPr>
          <w:sz w:val="24"/>
        </w:rPr>
        <w:t>Commission to further the goal of reducing and eliminating the use of restrictive interventions.</w:t>
      </w:r>
    </w:p>
    <w:p w14:paraId="46D73704" w14:textId="77777777" w:rsidR="00E02B2E" w:rsidRPr="005728FF" w:rsidRDefault="00E02B2E" w:rsidP="00F23292">
      <w:pPr>
        <w:pStyle w:val="Heading2"/>
        <w:spacing w:before="0"/>
      </w:pPr>
      <w:bookmarkStart w:id="15" w:name="_Toc183610776"/>
      <w:bookmarkStart w:id="16" w:name="_Toc185331728"/>
      <w:r w:rsidRPr="005728FF">
        <w:t>3 Processing of Applications</w:t>
      </w:r>
      <w:bookmarkEnd w:id="15"/>
      <w:bookmarkEnd w:id="16"/>
    </w:p>
    <w:p w14:paraId="496681B3" w14:textId="77777777" w:rsidR="00E02B2E" w:rsidRPr="00BA47FF" w:rsidRDefault="00E02B2E" w:rsidP="00F23292">
      <w:pPr>
        <w:pStyle w:val="Heading3"/>
        <w:spacing w:before="0"/>
        <w:rPr>
          <w:rFonts w:cs="Arial"/>
        </w:rPr>
      </w:pPr>
      <w:bookmarkStart w:id="17" w:name="_Toc183610777"/>
      <w:bookmarkStart w:id="18" w:name="_Toc185331729"/>
      <w:r w:rsidRPr="00BA47FF">
        <w:rPr>
          <w:rFonts w:cs="Arial"/>
        </w:rPr>
        <w:t>3.1</w:t>
      </w:r>
      <w:r w:rsidRPr="00BA47FF">
        <w:rPr>
          <w:rFonts w:cs="Arial"/>
        </w:rPr>
        <w:tab/>
        <w:t>Background</w:t>
      </w:r>
      <w:bookmarkEnd w:id="17"/>
      <w:bookmarkEnd w:id="18"/>
    </w:p>
    <w:p w14:paraId="2B2A37D4" w14:textId="401C0428" w:rsidR="0058672C" w:rsidRPr="00BA47FF" w:rsidRDefault="0058672C" w:rsidP="00F23292">
      <w:r w:rsidRPr="00BA47FF">
        <w:t xml:space="preserve">A disability services provider or a funded private person must not </w:t>
      </w:r>
      <w:r w:rsidR="007307F1" w:rsidRPr="00BA47FF">
        <w:t>conduct</w:t>
      </w:r>
      <w:r w:rsidRPr="00BA47FF">
        <w:t>, in relation to a person with disability who is under their care or control, a restrictive intervention unless there is in force an approval under section 38 or section 42 of the Act.</w:t>
      </w:r>
    </w:p>
    <w:p w14:paraId="0DAC8C12" w14:textId="77777777" w:rsidR="0058672C" w:rsidRPr="00BA47FF" w:rsidRDefault="0058672C" w:rsidP="00F23292">
      <w:r w:rsidRPr="00BA47FF">
        <w:t>Section 4 of the Act provides a definition of restrictive intervention as follows:</w:t>
      </w:r>
    </w:p>
    <w:p w14:paraId="2F865007" w14:textId="685ABB5F" w:rsidR="0058672C" w:rsidRPr="007307F1" w:rsidRDefault="00BB7A5B" w:rsidP="00F23292">
      <w:pPr>
        <w:tabs>
          <w:tab w:val="left" w:pos="567"/>
        </w:tabs>
        <w:ind w:left="567"/>
        <w:rPr>
          <w:rFonts w:eastAsia="Times New Roman" w:cs="Arial"/>
          <w:iCs/>
        </w:rPr>
      </w:pPr>
      <w:r w:rsidRPr="007307F1">
        <w:rPr>
          <w:rFonts w:eastAsia="Times New Roman" w:cs="Arial"/>
          <w:bCs/>
          <w:iCs/>
        </w:rPr>
        <w:t>“</w:t>
      </w:r>
      <w:r w:rsidR="0058672C" w:rsidRPr="007307F1">
        <w:rPr>
          <w:rFonts w:eastAsia="Times New Roman" w:cs="Arial"/>
          <w:bCs/>
          <w:iCs/>
        </w:rPr>
        <w:t>restrictive intervention</w:t>
      </w:r>
      <w:r w:rsidR="0058672C" w:rsidRPr="007307F1">
        <w:rPr>
          <w:rFonts w:eastAsia="Times New Roman" w:cs="Arial"/>
          <w:iCs/>
        </w:rPr>
        <w:t xml:space="preserve"> means any action that is taken to restrict the rights or freedom of movement of a person with disability for the primary purpose of the behavioural control of the person but does not include such an action that is –</w:t>
      </w:r>
      <w:bookmarkStart w:id="19" w:name="GS4@Gs1@Nd181120100559@Hpa@EN"/>
      <w:bookmarkEnd w:id="19"/>
    </w:p>
    <w:p w14:paraId="4EB8ECF1" w14:textId="77777777" w:rsidR="0058672C" w:rsidRPr="007307F1" w:rsidRDefault="0058672C" w:rsidP="00F23292">
      <w:pPr>
        <w:tabs>
          <w:tab w:val="left" w:pos="567"/>
        </w:tabs>
        <w:ind w:left="567"/>
        <w:rPr>
          <w:rFonts w:eastAsia="Times New Roman" w:cs="Arial"/>
          <w:iCs/>
        </w:rPr>
      </w:pPr>
      <w:r w:rsidRPr="007307F1">
        <w:rPr>
          <w:rFonts w:eastAsia="Times New Roman" w:cs="Arial"/>
          <w:iCs/>
        </w:rPr>
        <w:t>(a) taken for therapeutic purposes; or</w:t>
      </w:r>
    </w:p>
    <w:p w14:paraId="2766AF92" w14:textId="77777777" w:rsidR="0058672C" w:rsidRPr="007307F1" w:rsidRDefault="0058672C" w:rsidP="00F23292">
      <w:pPr>
        <w:tabs>
          <w:tab w:val="left" w:pos="567"/>
        </w:tabs>
        <w:ind w:left="567"/>
        <w:rPr>
          <w:rFonts w:eastAsia="Times New Roman" w:cs="Arial"/>
          <w:iCs/>
        </w:rPr>
      </w:pPr>
      <w:bookmarkStart w:id="20" w:name="GS4@Gs1@Nd181120100559@Hpb@EN"/>
      <w:bookmarkEnd w:id="20"/>
      <w:r w:rsidRPr="007307F1">
        <w:rPr>
          <w:rFonts w:eastAsia="Times New Roman" w:cs="Arial"/>
          <w:iCs/>
        </w:rPr>
        <w:t>(b) taken to enable the safe transportation of the person; or</w:t>
      </w:r>
    </w:p>
    <w:p w14:paraId="296A3B99" w14:textId="547BC48E" w:rsidR="0058672C" w:rsidRPr="007307F1" w:rsidRDefault="0058672C" w:rsidP="00F23292">
      <w:pPr>
        <w:tabs>
          <w:tab w:val="left" w:pos="567"/>
        </w:tabs>
        <w:ind w:left="567"/>
        <w:rPr>
          <w:rFonts w:eastAsia="Times New Roman" w:cs="Arial"/>
          <w:iCs/>
        </w:rPr>
      </w:pPr>
      <w:bookmarkStart w:id="21" w:name="GS4@Gs1@Nd181120100559@Hpc@EN"/>
      <w:bookmarkEnd w:id="21"/>
      <w:r w:rsidRPr="007307F1">
        <w:rPr>
          <w:rFonts w:eastAsia="Times New Roman" w:cs="Arial"/>
          <w:iCs/>
        </w:rPr>
        <w:t>(c) authorised under any enactment relating to the provision of mental health services or to guardianship</w:t>
      </w:r>
      <w:r w:rsidR="007307F1" w:rsidRPr="007307F1">
        <w:rPr>
          <w:rFonts w:eastAsia="Times New Roman" w:cs="Arial"/>
          <w:iCs/>
        </w:rPr>
        <w:t>.”</w:t>
      </w:r>
    </w:p>
    <w:p w14:paraId="6B7D21F7" w14:textId="58A50C5D" w:rsidR="0058672C" w:rsidRPr="00BA47FF" w:rsidRDefault="0058672C" w:rsidP="00F23292">
      <w:r w:rsidRPr="00BA47FF">
        <w:t>Part 6 of the Act provides for the regulation and monitoring of restrictive interventions. The Act separates ‘restrictive interventions’ into two categories – ‘environmental restrictions’ and ‘personal restrictions</w:t>
      </w:r>
      <w:r w:rsidR="00C85D0D" w:rsidRPr="00BA47FF">
        <w:t>.</w:t>
      </w:r>
      <w:r w:rsidRPr="00BA47FF">
        <w:t>’</w:t>
      </w:r>
    </w:p>
    <w:p w14:paraId="3A8CE236" w14:textId="1327CFA9" w:rsidR="0058672C" w:rsidRPr="00BA47FF" w:rsidRDefault="0058672C" w:rsidP="00F23292">
      <w:r w:rsidRPr="00BA47FF">
        <w:t xml:space="preserve">Personal restrictions can only be approved by the </w:t>
      </w:r>
      <w:bookmarkStart w:id="22" w:name="_Hlk112333280"/>
      <w:r w:rsidRPr="00BA47FF">
        <w:t xml:space="preserve">Tasmanian Civil and Administrative Tribunal </w:t>
      </w:r>
      <w:bookmarkEnd w:id="22"/>
      <w:r w:rsidRPr="00BA47FF">
        <w:t>(</w:t>
      </w:r>
      <w:r w:rsidR="00C85D0D" w:rsidRPr="00BA47FF">
        <w:t>TASCAT</w:t>
      </w:r>
      <w:r w:rsidRPr="00BA47FF">
        <w:t xml:space="preserve">) under section 42 of the </w:t>
      </w:r>
      <w:r w:rsidR="00EF2383" w:rsidRPr="00BA47FF">
        <w:t>Act,</w:t>
      </w:r>
      <w:r w:rsidRPr="00BA47FF">
        <w:t xml:space="preserve"> and they are also able to approve the use of environmental restrictions under the same section of the Act.</w:t>
      </w:r>
    </w:p>
    <w:p w14:paraId="49CF1798" w14:textId="2D83207C" w:rsidR="0058672C" w:rsidRPr="00BA47FF" w:rsidRDefault="0058672C" w:rsidP="00F23292">
      <w:r w:rsidRPr="00BA47FF">
        <w:t xml:space="preserve">The Secretary of the Department of </w:t>
      </w:r>
      <w:r w:rsidR="000E4CE1" w:rsidRPr="00BA47FF">
        <w:t>Premier and Cabinet</w:t>
      </w:r>
      <w:r w:rsidRPr="00BA47FF">
        <w:t xml:space="preserve"> Tasmania can only approve environmental restrictions under section 38 of the Act.</w:t>
      </w:r>
    </w:p>
    <w:p w14:paraId="28C9043A" w14:textId="4099D5E7" w:rsidR="0058672C" w:rsidRDefault="0058672C" w:rsidP="00F23292">
      <w:r w:rsidRPr="00BA47FF">
        <w:t>Under Section 36 of the Act a restrictive intervention that has not been authorised is only allowed to be used if: a) the action is used to protect a person from harm;</w:t>
      </w:r>
      <w:r w:rsidR="0063796A" w:rsidRPr="00BA47FF">
        <w:t xml:space="preserve"> and </w:t>
      </w:r>
      <w:r w:rsidRPr="00BA47FF">
        <w:t>b) the action used is the least intrusive type of restriction; c) the Senior Practitioner is notified as soon as practicable after use of the action</w:t>
      </w:r>
      <w:r w:rsidR="00C85D0D" w:rsidRPr="00BA47FF">
        <w:t>;</w:t>
      </w:r>
      <w:r w:rsidRPr="00BA47FF">
        <w:t xml:space="preserve"> and d) the action is</w:t>
      </w:r>
      <w:r w:rsidR="009B0AA3" w:rsidRPr="00BA47FF">
        <w:t xml:space="preserve"> not</w:t>
      </w:r>
      <w:r w:rsidRPr="00BA47FF">
        <w:t xml:space="preserve"> used again for 72 hours.</w:t>
      </w:r>
    </w:p>
    <w:p w14:paraId="1D49ED46" w14:textId="77777777" w:rsidR="00E02B2E" w:rsidRPr="00BA47FF" w:rsidRDefault="00E02B2E" w:rsidP="00F23292">
      <w:pPr>
        <w:pStyle w:val="Heading3"/>
        <w:spacing w:before="0"/>
        <w:rPr>
          <w:rFonts w:cs="Arial"/>
        </w:rPr>
      </w:pPr>
      <w:bookmarkStart w:id="23" w:name="_Toc183610778"/>
      <w:bookmarkStart w:id="24" w:name="_Toc185331730"/>
      <w:r w:rsidRPr="00BA47FF">
        <w:rPr>
          <w:rFonts w:cs="Arial"/>
        </w:rPr>
        <w:t>3.2</w:t>
      </w:r>
      <w:r w:rsidRPr="00BA47FF">
        <w:rPr>
          <w:rFonts w:cs="Arial"/>
        </w:rPr>
        <w:tab/>
        <w:t>Secretary Approvals for Restrictive Interventions</w:t>
      </w:r>
      <w:bookmarkEnd w:id="23"/>
      <w:bookmarkEnd w:id="24"/>
    </w:p>
    <w:p w14:paraId="12D1CCD5" w14:textId="3BB2044F" w:rsidR="003E65FE" w:rsidRPr="00BA47FF" w:rsidRDefault="003E65FE" w:rsidP="00F23292">
      <w:r w:rsidRPr="00BA47FF">
        <w:t xml:space="preserve">A disability services provider or funded private person may apply to the Secretary for approval to </w:t>
      </w:r>
      <w:r w:rsidR="007307F1" w:rsidRPr="00BA47FF">
        <w:t>conduct</w:t>
      </w:r>
      <w:r w:rsidRPr="00BA47FF">
        <w:t>, in relation to a person with disability, a type of restrictive intervention that is an environmental restriction.</w:t>
      </w:r>
    </w:p>
    <w:p w14:paraId="15ABC905" w14:textId="6326A87F" w:rsidR="003E65FE" w:rsidRPr="00BA47FF" w:rsidRDefault="003E65FE" w:rsidP="00F23292">
      <w:r w:rsidRPr="00BA47FF">
        <w:t xml:space="preserve">The Secretary can only approve an application if the Secretary is satisfied that consultation has occurred with the person with disability or a person nominated by the person, any persons who have expertise in the </w:t>
      </w:r>
      <w:r w:rsidR="007307F1" w:rsidRPr="00BA47FF">
        <w:t>conducting</w:t>
      </w:r>
      <w:r w:rsidRPr="00BA47FF">
        <w:t xml:space="preserve"> of the proposed intervention and with the Senior Practitioner.</w:t>
      </w:r>
    </w:p>
    <w:p w14:paraId="7A4B7CC9" w14:textId="6D91A1DA" w:rsidR="003E65FE" w:rsidRPr="00BA47FF" w:rsidRDefault="003E65FE" w:rsidP="00F23292">
      <w:r w:rsidRPr="00BA47FF">
        <w:t xml:space="preserve">Before granting an </w:t>
      </w:r>
      <w:r w:rsidR="000E4CE1" w:rsidRPr="00BA47FF">
        <w:t>approval,</w:t>
      </w:r>
      <w:r w:rsidRPr="00BA47FF">
        <w:t xml:space="preserve"> the Secretary must be satisfied that the restrictive intervention will be </w:t>
      </w:r>
      <w:r w:rsidR="007307F1" w:rsidRPr="00BA47FF">
        <w:t>conducted</w:t>
      </w:r>
      <w:r w:rsidRPr="00BA47FF">
        <w:t xml:space="preserve"> only to ensure the safety, health or wellbeing of the person or other persons and that the restriction is the least restrictive alternative available in the circumstances.</w:t>
      </w:r>
    </w:p>
    <w:p w14:paraId="3CFF1F29" w14:textId="71198069" w:rsidR="003E65FE" w:rsidRDefault="003E65FE" w:rsidP="00F23292">
      <w:r w:rsidRPr="00BA47FF">
        <w:t xml:space="preserve">In reaching a decision whether to grant an approval the Secretary must have regard to </w:t>
      </w:r>
      <w:r w:rsidR="00C85D0D" w:rsidRPr="00BA47FF">
        <w:t>several</w:t>
      </w:r>
      <w:r w:rsidRPr="00BA47FF">
        <w:t xml:space="preserve"> issues (detailed under section 38) including the best interests of the person with disability, any alternative methods reasonably suitable to address the situation</w:t>
      </w:r>
      <w:r w:rsidR="00C85D0D" w:rsidRPr="00BA47FF">
        <w:t>,</w:t>
      </w:r>
      <w:r w:rsidRPr="00BA47FF">
        <w:t xml:space="preserve"> and the nature and degree of risk to the person with disability</w:t>
      </w:r>
      <w:r w:rsidR="007307F1" w:rsidRPr="00BA47FF">
        <w:t xml:space="preserve">. </w:t>
      </w:r>
      <w:r w:rsidRPr="00BA47FF">
        <w:t>Approvals are only valid for three months.</w:t>
      </w:r>
    </w:p>
    <w:tbl>
      <w:tblPr>
        <w:tblStyle w:val="GridTable2"/>
        <w:tblW w:w="9067" w:type="dxa"/>
        <w:tblLayout w:type="fixed"/>
        <w:tblCellMar>
          <w:top w:w="113" w:type="dxa"/>
          <w:bottom w:w="113" w:type="dxa"/>
        </w:tblCellMar>
        <w:tblLook w:val="04A0" w:firstRow="1" w:lastRow="0" w:firstColumn="1" w:lastColumn="0" w:noHBand="0" w:noVBand="1"/>
      </w:tblPr>
      <w:tblGrid>
        <w:gridCol w:w="4536"/>
        <w:gridCol w:w="4531"/>
      </w:tblGrid>
      <w:tr w:rsidR="00444CEA" w:rsidRPr="00442AFB" w14:paraId="7D19D1CB" w14:textId="77777777" w:rsidTr="00CD3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7AEBD1A5" w14:textId="2A00238C" w:rsidR="00444CEA" w:rsidRPr="004633A0" w:rsidRDefault="00444CEA" w:rsidP="00527869">
            <w:pPr>
              <w:pStyle w:val="Heading5"/>
              <w:jc w:val="center"/>
            </w:pPr>
            <w:r w:rsidRPr="004633A0">
              <w:t>Secretary Approvals – Environmental Restrictions 1 July 2023 to 30 June 2024</w:t>
            </w:r>
          </w:p>
          <w:p w14:paraId="6E1D823A" w14:textId="43D6B036" w:rsidR="00444CEA" w:rsidRPr="00527869" w:rsidRDefault="00444CEA" w:rsidP="00527869">
            <w:pPr>
              <w:pStyle w:val="Heading5"/>
              <w:jc w:val="center"/>
            </w:pPr>
            <w:r w:rsidRPr="004633A0">
              <w:rPr>
                <w:sz w:val="24"/>
                <w:szCs w:val="24"/>
              </w:rPr>
              <w:t>(2022-23 in brackets)</w:t>
            </w:r>
          </w:p>
        </w:tc>
      </w:tr>
      <w:tr w:rsidR="00527869" w:rsidRPr="00442AFB" w14:paraId="48D27831" w14:textId="77777777" w:rsidTr="00527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471E48CA" w14:textId="02928C98" w:rsidR="00527869" w:rsidRPr="00527869" w:rsidRDefault="00527869" w:rsidP="00527869">
            <w:pPr>
              <w:rPr>
                <w:b w:val="0"/>
                <w:bCs w:val="0"/>
              </w:rPr>
            </w:pPr>
            <w:r w:rsidRPr="00527869">
              <w:rPr>
                <w:rFonts w:eastAsia="Times New Roman" w:cs="Arial"/>
                <w:b w:val="0"/>
                <w:bCs w:val="0"/>
              </w:rPr>
              <w:t>Number of individuals with approvals</w:t>
            </w:r>
          </w:p>
        </w:tc>
        <w:tc>
          <w:tcPr>
            <w:tcW w:w="4531" w:type="dxa"/>
          </w:tcPr>
          <w:p w14:paraId="6FDB3D7B" w14:textId="59362506" w:rsidR="00527869" w:rsidRPr="00665376" w:rsidRDefault="00527869" w:rsidP="00527869">
            <w:pPr>
              <w:jc w:val="center"/>
              <w:cnfStyle w:val="000000100000" w:firstRow="0" w:lastRow="0" w:firstColumn="0" w:lastColumn="0" w:oddVBand="0" w:evenVBand="0" w:oddHBand="1" w:evenHBand="0" w:firstRowFirstColumn="0" w:firstRowLastColumn="0" w:lastRowFirstColumn="0" w:lastRowLastColumn="0"/>
            </w:pPr>
            <w:r w:rsidRPr="00D17A31">
              <w:rPr>
                <w:rFonts w:eastAsia="Times New Roman" w:cs="Arial"/>
              </w:rPr>
              <w:t>75 (70)</w:t>
            </w:r>
          </w:p>
        </w:tc>
      </w:tr>
      <w:tr w:rsidR="00527869" w:rsidRPr="00442AFB" w14:paraId="29F40544" w14:textId="77777777" w:rsidTr="00527869">
        <w:tc>
          <w:tcPr>
            <w:cnfStyle w:val="001000000000" w:firstRow="0" w:lastRow="0" w:firstColumn="1" w:lastColumn="0" w:oddVBand="0" w:evenVBand="0" w:oddHBand="0" w:evenHBand="0" w:firstRowFirstColumn="0" w:firstRowLastColumn="0" w:lastRowFirstColumn="0" w:lastRowLastColumn="0"/>
            <w:tcW w:w="4536" w:type="dxa"/>
          </w:tcPr>
          <w:p w14:paraId="4D59C7D7" w14:textId="4B285B57" w:rsidR="00527869" w:rsidRPr="00527869" w:rsidRDefault="00527869" w:rsidP="00527869">
            <w:pPr>
              <w:rPr>
                <w:b w:val="0"/>
                <w:bCs w:val="0"/>
              </w:rPr>
            </w:pPr>
            <w:r w:rsidRPr="00527869">
              <w:rPr>
                <w:rFonts w:eastAsia="Times New Roman" w:cs="Arial"/>
                <w:b w:val="0"/>
                <w:bCs w:val="0"/>
              </w:rPr>
              <w:t>Total number of approvals</w:t>
            </w:r>
          </w:p>
        </w:tc>
        <w:tc>
          <w:tcPr>
            <w:tcW w:w="4531" w:type="dxa"/>
          </w:tcPr>
          <w:p w14:paraId="08546D5C" w14:textId="0D374C5F" w:rsidR="00527869" w:rsidRPr="00665376" w:rsidRDefault="00527869" w:rsidP="00527869">
            <w:pPr>
              <w:jc w:val="center"/>
              <w:cnfStyle w:val="000000000000" w:firstRow="0" w:lastRow="0" w:firstColumn="0" w:lastColumn="0" w:oddVBand="0" w:evenVBand="0" w:oddHBand="0" w:evenHBand="0" w:firstRowFirstColumn="0" w:firstRowLastColumn="0" w:lastRowFirstColumn="0" w:lastRowLastColumn="0"/>
            </w:pPr>
            <w:r w:rsidRPr="00D17A31">
              <w:rPr>
                <w:rFonts w:eastAsia="Times New Roman" w:cs="Arial"/>
              </w:rPr>
              <w:t>258 (238)</w:t>
            </w:r>
          </w:p>
        </w:tc>
      </w:tr>
      <w:tr w:rsidR="00527869" w:rsidRPr="00442AFB" w14:paraId="5171CC14" w14:textId="77777777" w:rsidTr="00527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117AC6F1" w14:textId="6644F451" w:rsidR="00527869" w:rsidRPr="00527869" w:rsidRDefault="00527869" w:rsidP="00527869">
            <w:pPr>
              <w:rPr>
                <w:b w:val="0"/>
                <w:bCs w:val="0"/>
              </w:rPr>
            </w:pPr>
            <w:r w:rsidRPr="00527869">
              <w:rPr>
                <w:rFonts w:eastAsia="Times New Roman" w:cs="Arial"/>
                <w:b w:val="0"/>
                <w:bCs w:val="0"/>
              </w:rPr>
              <w:t>Number of ceased applications</w:t>
            </w:r>
          </w:p>
        </w:tc>
        <w:tc>
          <w:tcPr>
            <w:tcW w:w="4531" w:type="dxa"/>
          </w:tcPr>
          <w:p w14:paraId="2E2EB8BC" w14:textId="1D798F49" w:rsidR="00527869" w:rsidRPr="00665376" w:rsidRDefault="00527869" w:rsidP="00527869">
            <w:pPr>
              <w:jc w:val="center"/>
              <w:cnfStyle w:val="000000100000" w:firstRow="0" w:lastRow="0" w:firstColumn="0" w:lastColumn="0" w:oddVBand="0" w:evenVBand="0" w:oddHBand="1" w:evenHBand="0" w:firstRowFirstColumn="0" w:firstRowLastColumn="0" w:lastRowFirstColumn="0" w:lastRowLastColumn="0"/>
            </w:pPr>
            <w:r w:rsidRPr="00D17A31">
              <w:rPr>
                <w:rFonts w:eastAsia="Times New Roman" w:cs="Arial"/>
              </w:rPr>
              <w:t>18 (16)</w:t>
            </w:r>
          </w:p>
        </w:tc>
      </w:tr>
      <w:tr w:rsidR="00527869" w:rsidRPr="00442AFB" w14:paraId="6ED6281F" w14:textId="77777777" w:rsidTr="00527869">
        <w:tc>
          <w:tcPr>
            <w:cnfStyle w:val="001000000000" w:firstRow="0" w:lastRow="0" w:firstColumn="1" w:lastColumn="0" w:oddVBand="0" w:evenVBand="0" w:oddHBand="0" w:evenHBand="0" w:firstRowFirstColumn="0" w:firstRowLastColumn="0" w:lastRowFirstColumn="0" w:lastRowLastColumn="0"/>
            <w:tcW w:w="4536" w:type="dxa"/>
          </w:tcPr>
          <w:p w14:paraId="247EA7EE" w14:textId="7E5DC4DA" w:rsidR="00527869" w:rsidRPr="00527869" w:rsidRDefault="00527869" w:rsidP="00527869">
            <w:pPr>
              <w:rPr>
                <w:b w:val="0"/>
                <w:bCs w:val="0"/>
              </w:rPr>
            </w:pPr>
            <w:r w:rsidRPr="00527869">
              <w:rPr>
                <w:rFonts w:eastAsia="Times New Roman" w:cs="Arial"/>
                <w:b w:val="0"/>
                <w:bCs w:val="0"/>
              </w:rPr>
              <w:t>Number of individuals with approvals</w:t>
            </w:r>
          </w:p>
        </w:tc>
        <w:tc>
          <w:tcPr>
            <w:tcW w:w="4531" w:type="dxa"/>
          </w:tcPr>
          <w:p w14:paraId="29FD208A" w14:textId="5B7AB4E4" w:rsidR="00527869" w:rsidRPr="00665376" w:rsidRDefault="00527869" w:rsidP="00527869">
            <w:pPr>
              <w:jc w:val="center"/>
              <w:cnfStyle w:val="000000000000" w:firstRow="0" w:lastRow="0" w:firstColumn="0" w:lastColumn="0" w:oddVBand="0" w:evenVBand="0" w:oddHBand="0" w:evenHBand="0" w:firstRowFirstColumn="0" w:firstRowLastColumn="0" w:lastRowFirstColumn="0" w:lastRowLastColumn="0"/>
            </w:pPr>
            <w:r w:rsidRPr="00D17A31">
              <w:rPr>
                <w:rFonts w:eastAsia="Times New Roman" w:cs="Arial"/>
              </w:rPr>
              <w:t>28 (28)</w:t>
            </w:r>
          </w:p>
        </w:tc>
      </w:tr>
    </w:tbl>
    <w:p w14:paraId="225B305A" w14:textId="2D8B0A21" w:rsidR="003E65FE" w:rsidRPr="00E17076" w:rsidRDefault="0025645E" w:rsidP="00684656">
      <w:pPr>
        <w:tabs>
          <w:tab w:val="left" w:pos="567"/>
        </w:tabs>
        <w:spacing w:line="276" w:lineRule="auto"/>
        <w:jc w:val="both"/>
        <w:rPr>
          <w:rFonts w:eastAsia="Times New Roman" w:cs="Arial"/>
          <w:sz w:val="20"/>
          <w:szCs w:val="20"/>
        </w:rPr>
      </w:pPr>
      <w:r w:rsidRPr="00E17076">
        <w:rPr>
          <w:rFonts w:eastAsia="Times New Roman" w:cs="Arial"/>
          <w:sz w:val="20"/>
          <w:szCs w:val="20"/>
        </w:rPr>
        <w:t>Table 1</w:t>
      </w:r>
      <w:r w:rsidR="00286E92" w:rsidRPr="00E17076">
        <w:rPr>
          <w:rFonts w:eastAsia="Times New Roman" w:cs="Arial"/>
          <w:sz w:val="20"/>
          <w:szCs w:val="20"/>
        </w:rPr>
        <w:t>:</w:t>
      </w:r>
      <w:r w:rsidRPr="00E17076">
        <w:rPr>
          <w:rFonts w:eastAsia="Times New Roman" w:cs="Arial"/>
          <w:sz w:val="20"/>
          <w:szCs w:val="20"/>
        </w:rPr>
        <w:t xml:space="preserve"> Number of Secretary Approvals</w:t>
      </w:r>
      <w:r w:rsidR="003D0F96" w:rsidRPr="00E17076">
        <w:rPr>
          <w:rFonts w:eastAsia="Times New Roman" w:cs="Arial"/>
          <w:sz w:val="20"/>
          <w:szCs w:val="20"/>
        </w:rPr>
        <w:t xml:space="preserve"> for </w:t>
      </w:r>
      <w:r w:rsidR="00665092" w:rsidRPr="00E17076">
        <w:rPr>
          <w:rFonts w:eastAsia="Times New Roman" w:cs="Arial"/>
          <w:sz w:val="20"/>
          <w:szCs w:val="20"/>
        </w:rPr>
        <w:t>2023-2024</w:t>
      </w:r>
      <w:r w:rsidR="003D0F96" w:rsidRPr="00E17076">
        <w:rPr>
          <w:rFonts w:eastAsia="Times New Roman" w:cs="Arial"/>
          <w:sz w:val="20"/>
          <w:szCs w:val="20"/>
        </w:rPr>
        <w:t xml:space="preserve"> period</w:t>
      </w:r>
      <w:r w:rsidR="00BB7A5B" w:rsidRPr="00E17076">
        <w:rPr>
          <w:rFonts w:eastAsia="Times New Roman" w:cs="Arial"/>
          <w:sz w:val="20"/>
          <w:szCs w:val="20"/>
        </w:rPr>
        <w:t>.</w:t>
      </w:r>
    </w:p>
    <w:p w14:paraId="53E3F4E0" w14:textId="2927FBFE" w:rsidR="006D7CA8" w:rsidRPr="00BA47FF" w:rsidRDefault="006D7CA8" w:rsidP="00F23292">
      <w:r w:rsidRPr="0044460D">
        <w:t xml:space="preserve">Table 1 shows there were </w:t>
      </w:r>
      <w:r w:rsidR="00C817DB" w:rsidRPr="0044460D">
        <w:t>7</w:t>
      </w:r>
      <w:r w:rsidR="00704D61" w:rsidRPr="0044460D">
        <w:t>5</w:t>
      </w:r>
      <w:r w:rsidRPr="0044460D">
        <w:t xml:space="preserve"> individuals subject to the use of an approved </w:t>
      </w:r>
      <w:r w:rsidRPr="008C4026">
        <w:t>environmental restriction during the 202</w:t>
      </w:r>
      <w:r w:rsidR="00704D61" w:rsidRPr="008C4026">
        <w:t>3</w:t>
      </w:r>
      <w:r w:rsidRPr="008C4026">
        <w:t>-2</w:t>
      </w:r>
      <w:r w:rsidR="00704D61" w:rsidRPr="008C4026">
        <w:t>4</w:t>
      </w:r>
      <w:r w:rsidRPr="008C4026">
        <w:t xml:space="preserve"> financial year which is </w:t>
      </w:r>
      <w:r w:rsidR="0044460D" w:rsidRPr="008C4026">
        <w:t>7</w:t>
      </w:r>
      <w:r w:rsidRPr="008C4026">
        <w:t>% more than the last reporting period (</w:t>
      </w:r>
      <w:r w:rsidR="00704D61" w:rsidRPr="008C4026">
        <w:t>70</w:t>
      </w:r>
      <w:r w:rsidRPr="008C4026">
        <w:t>). The number of approvals during this reporting period (2</w:t>
      </w:r>
      <w:r w:rsidR="00704D61" w:rsidRPr="008C4026">
        <w:t>5</w:t>
      </w:r>
      <w:r w:rsidR="002B2848" w:rsidRPr="008C4026">
        <w:t>8</w:t>
      </w:r>
      <w:r w:rsidRPr="008C4026">
        <w:t>) also rose compared to the 202</w:t>
      </w:r>
      <w:r w:rsidR="00704D61" w:rsidRPr="008C4026">
        <w:t>2</w:t>
      </w:r>
      <w:r w:rsidRPr="008C4026">
        <w:t>-2</w:t>
      </w:r>
      <w:r w:rsidR="00704D61" w:rsidRPr="008C4026">
        <w:t>3</w:t>
      </w:r>
      <w:r w:rsidRPr="008C4026">
        <w:t xml:space="preserve"> financial year (</w:t>
      </w:r>
      <w:r w:rsidR="00C817DB" w:rsidRPr="008C4026">
        <w:t>2</w:t>
      </w:r>
      <w:r w:rsidR="00704D61" w:rsidRPr="008C4026">
        <w:t>38</w:t>
      </w:r>
      <w:r w:rsidRPr="008C4026">
        <w:t xml:space="preserve">). The large numbers of approvals compared to individuals reflects the requirements of the Act that the approval period for the use of environmental restrictions is </w:t>
      </w:r>
      <w:r w:rsidR="003E0B18">
        <w:t xml:space="preserve">for 90 days </w:t>
      </w:r>
      <w:r w:rsidRPr="008C4026">
        <w:t>and therefore individuals had multiple approvals during the 202</w:t>
      </w:r>
      <w:r w:rsidR="00704D61" w:rsidRPr="008C4026">
        <w:t>3</w:t>
      </w:r>
      <w:r w:rsidRPr="008C4026">
        <w:t>-2</w:t>
      </w:r>
      <w:r w:rsidR="00704D61" w:rsidRPr="008C4026">
        <w:t>4</w:t>
      </w:r>
      <w:r w:rsidRPr="008C4026">
        <w:t xml:space="preserve"> financial year. The Act also requires each disability support provider to apply to use a restrictive intervention and it is common for individuals to be supported by more than one provider. This data shows increases of </w:t>
      </w:r>
      <w:r w:rsidR="002B2848" w:rsidRPr="008C4026">
        <w:t>8</w:t>
      </w:r>
      <w:r w:rsidRPr="008C4026">
        <w:t xml:space="preserve">% for approvals granted </w:t>
      </w:r>
      <w:r w:rsidR="008C4026" w:rsidRPr="008C4026">
        <w:t xml:space="preserve">and a similar number </w:t>
      </w:r>
      <w:r w:rsidRPr="008C4026">
        <w:t xml:space="preserve">of providers </w:t>
      </w:r>
      <w:r w:rsidR="008C4026" w:rsidRPr="008C4026">
        <w:t xml:space="preserve">to the previous reporting period </w:t>
      </w:r>
      <w:r w:rsidRPr="008C4026">
        <w:t>making applications.</w:t>
      </w:r>
      <w:r w:rsidRPr="00BA47FF">
        <w:t xml:space="preserve"> </w:t>
      </w:r>
    </w:p>
    <w:p w14:paraId="548301F1" w14:textId="77777777" w:rsidR="00FA0E4A" w:rsidRDefault="00FA0E4A" w:rsidP="00F23292">
      <w:r>
        <w:t>Number of applications ceasing (N=18) increased by 12.5% over the previous reporting period and were due to:</w:t>
      </w:r>
    </w:p>
    <w:p w14:paraId="40EE6E64" w14:textId="1F823827" w:rsidR="00FA0E4A" w:rsidRPr="005728FF" w:rsidRDefault="00FA0E4A" w:rsidP="00F23292">
      <w:pPr>
        <w:pStyle w:val="ListParagraph"/>
        <w:numPr>
          <w:ilvl w:val="0"/>
          <w:numId w:val="24"/>
        </w:numPr>
      </w:pPr>
      <w:r w:rsidRPr="005728FF">
        <w:t>providers ceasing to support the individual (n=9)</w:t>
      </w:r>
    </w:p>
    <w:p w14:paraId="160DC520" w14:textId="4FB94000" w:rsidR="00FA0E4A" w:rsidRPr="005728FF" w:rsidRDefault="00FA0E4A" w:rsidP="00F23292">
      <w:pPr>
        <w:pStyle w:val="ListParagraph"/>
        <w:numPr>
          <w:ilvl w:val="0"/>
          <w:numId w:val="24"/>
        </w:numPr>
      </w:pPr>
      <w:r w:rsidRPr="005728FF">
        <w:t>restrictions no longer being required (n=8)</w:t>
      </w:r>
    </w:p>
    <w:p w14:paraId="29502B74" w14:textId="2E1E42A1" w:rsidR="00FA0E4A" w:rsidRPr="005728FF" w:rsidRDefault="00FA0E4A" w:rsidP="00F23292">
      <w:pPr>
        <w:pStyle w:val="ListParagraph"/>
        <w:numPr>
          <w:ilvl w:val="0"/>
          <w:numId w:val="24"/>
        </w:numPr>
      </w:pPr>
      <w:r w:rsidRPr="005728FF">
        <w:t>approval being transferred to TASCAT (n=1).</w:t>
      </w:r>
    </w:p>
    <w:p w14:paraId="1C8DCF24" w14:textId="4D0787BF" w:rsidR="00453599" w:rsidRPr="00BA47FF" w:rsidRDefault="00453599" w:rsidP="00453599">
      <w:pPr>
        <w:tabs>
          <w:tab w:val="left" w:pos="567"/>
        </w:tabs>
        <w:spacing w:after="240"/>
        <w:jc w:val="center"/>
        <w:rPr>
          <w:rFonts w:eastAsia="Times New Roman" w:cs="Arial"/>
          <w:iCs/>
        </w:rPr>
      </w:pPr>
      <w:r>
        <w:rPr>
          <w:noProof/>
        </w:rPr>
        <w:drawing>
          <wp:inline distT="0" distB="0" distL="0" distR="0" wp14:anchorId="34EF783D" wp14:editId="2522CCEE">
            <wp:extent cx="5216055" cy="2894275"/>
            <wp:effectExtent l="0" t="0" r="3810" b="1905"/>
            <wp:docPr id="720167748" name="Chart 1" descr="Pie chart showing Envionmental Restriction Approvals. The details are explained in text below. &#10;&#10;">
              <a:extLst xmlns:a="http://schemas.openxmlformats.org/drawingml/2006/main">
                <a:ext uri="{FF2B5EF4-FFF2-40B4-BE49-F238E27FC236}">
                  <a16:creationId xmlns:a16="http://schemas.microsoft.com/office/drawing/2014/main" id="{8B3B5962-F2F2-EC41-EBFA-2CD29E3AC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A04D69B" w14:textId="28B387B3" w:rsidR="00C4241A" w:rsidRPr="007307F1" w:rsidRDefault="00C4241A" w:rsidP="00F23292">
      <w:pPr>
        <w:tabs>
          <w:tab w:val="left" w:pos="5775"/>
        </w:tabs>
        <w:rPr>
          <w:rFonts w:eastAsia="Times New Roman" w:cs="Arial"/>
        </w:rPr>
      </w:pPr>
      <w:r w:rsidRPr="007307F1">
        <w:rPr>
          <w:rFonts w:eastAsia="Times New Roman" w:cs="Arial"/>
        </w:rPr>
        <w:t xml:space="preserve">Figure1: </w:t>
      </w:r>
      <w:r w:rsidR="007E647F" w:rsidRPr="007307F1">
        <w:rPr>
          <w:rFonts w:eastAsia="Times New Roman" w:cs="Arial"/>
        </w:rPr>
        <w:t>B</w:t>
      </w:r>
      <w:r w:rsidRPr="007307F1">
        <w:rPr>
          <w:rFonts w:eastAsia="Times New Roman" w:cs="Arial"/>
        </w:rPr>
        <w:t xml:space="preserve">reakdown of type of </w:t>
      </w:r>
      <w:r w:rsidR="00457D63" w:rsidRPr="007307F1">
        <w:rPr>
          <w:rFonts w:eastAsia="Times New Roman" w:cs="Arial"/>
        </w:rPr>
        <w:t>Environmental R</w:t>
      </w:r>
      <w:r w:rsidRPr="007307F1">
        <w:rPr>
          <w:rFonts w:eastAsia="Times New Roman" w:cs="Arial"/>
        </w:rPr>
        <w:t xml:space="preserve">estriction </w:t>
      </w:r>
      <w:r w:rsidR="00457D63" w:rsidRPr="007307F1">
        <w:rPr>
          <w:rFonts w:eastAsia="Times New Roman" w:cs="Arial"/>
        </w:rPr>
        <w:t xml:space="preserve">Approvals </w:t>
      </w:r>
      <w:r w:rsidRPr="007307F1">
        <w:rPr>
          <w:rFonts w:eastAsia="Times New Roman" w:cs="Arial"/>
        </w:rPr>
        <w:t>for 202</w:t>
      </w:r>
      <w:r w:rsidR="00080C82" w:rsidRPr="007307F1">
        <w:rPr>
          <w:rFonts w:eastAsia="Times New Roman" w:cs="Arial"/>
        </w:rPr>
        <w:t>3</w:t>
      </w:r>
      <w:r w:rsidRPr="007307F1">
        <w:rPr>
          <w:rFonts w:eastAsia="Times New Roman" w:cs="Arial"/>
        </w:rPr>
        <w:t xml:space="preserve"> – 202</w:t>
      </w:r>
      <w:r w:rsidR="00080C82" w:rsidRPr="007307F1">
        <w:rPr>
          <w:rFonts w:eastAsia="Times New Roman" w:cs="Arial"/>
        </w:rPr>
        <w:t>4</w:t>
      </w:r>
      <w:r w:rsidRPr="007307F1">
        <w:rPr>
          <w:rFonts w:eastAsia="Times New Roman" w:cs="Arial"/>
        </w:rPr>
        <w:t xml:space="preserve"> period</w:t>
      </w:r>
      <w:r w:rsidR="00BB7A5B" w:rsidRPr="007307F1">
        <w:rPr>
          <w:rFonts w:eastAsia="Times New Roman" w:cs="Arial"/>
        </w:rPr>
        <w:t>.</w:t>
      </w:r>
    </w:p>
    <w:p w14:paraId="3FE450BB" w14:textId="77777777" w:rsidR="00FA0E4A" w:rsidRDefault="00FA0E4A" w:rsidP="00F23292">
      <w:r w:rsidRPr="001E28E4">
        <w:t xml:space="preserve">Figure 1 shows that the most common types of approved environmental restrictions used by providers in </w:t>
      </w:r>
      <w:r>
        <w:t>2023 -2024</w:t>
      </w:r>
      <w:r w:rsidRPr="001E28E4">
        <w:t xml:space="preserve"> were restricting access to</w:t>
      </w:r>
      <w:r>
        <w:t>:</w:t>
      </w:r>
    </w:p>
    <w:p w14:paraId="34F9F312" w14:textId="77777777" w:rsidR="00FA0E4A" w:rsidRPr="002529E5" w:rsidRDefault="00FA0E4A" w:rsidP="00F23292">
      <w:pPr>
        <w:pStyle w:val="ListParagraph"/>
        <w:numPr>
          <w:ilvl w:val="0"/>
          <w:numId w:val="23"/>
        </w:numPr>
      </w:pPr>
      <w:r w:rsidRPr="002529E5">
        <w:t>food (27%)</w:t>
      </w:r>
    </w:p>
    <w:p w14:paraId="73EECAE9" w14:textId="77777777" w:rsidR="00FA0E4A" w:rsidRPr="002529E5" w:rsidRDefault="00FA0E4A" w:rsidP="00F23292">
      <w:pPr>
        <w:pStyle w:val="ListParagraph"/>
        <w:numPr>
          <w:ilvl w:val="0"/>
          <w:numId w:val="23"/>
        </w:numPr>
      </w:pPr>
      <w:r w:rsidRPr="002529E5">
        <w:t>sharps (22%)</w:t>
      </w:r>
    </w:p>
    <w:p w14:paraId="2AEB3087" w14:textId="77777777" w:rsidR="00FA0E4A" w:rsidRPr="002529E5" w:rsidRDefault="00FA0E4A" w:rsidP="00F23292">
      <w:pPr>
        <w:pStyle w:val="ListParagraph"/>
        <w:numPr>
          <w:ilvl w:val="0"/>
          <w:numId w:val="23"/>
        </w:numPr>
      </w:pPr>
      <w:r w:rsidRPr="002529E5">
        <w:t>cigarettes (17%)</w:t>
      </w:r>
    </w:p>
    <w:p w14:paraId="1BB16377" w14:textId="77777777" w:rsidR="00FA0E4A" w:rsidRPr="002529E5" w:rsidRDefault="00FA0E4A" w:rsidP="00F23292">
      <w:pPr>
        <w:pStyle w:val="ListParagraph"/>
        <w:numPr>
          <w:ilvl w:val="0"/>
          <w:numId w:val="23"/>
        </w:numPr>
      </w:pPr>
      <w:r w:rsidRPr="002529E5">
        <w:t>cleaning products (9%)</w:t>
      </w:r>
    </w:p>
    <w:p w14:paraId="7F419D73" w14:textId="77777777" w:rsidR="00FA0E4A" w:rsidRPr="002529E5" w:rsidRDefault="00FA0E4A" w:rsidP="00F23292">
      <w:pPr>
        <w:pStyle w:val="ListParagraph"/>
        <w:numPr>
          <w:ilvl w:val="0"/>
          <w:numId w:val="23"/>
        </w:numPr>
      </w:pPr>
      <w:r w:rsidRPr="002529E5">
        <w:t>electronic devices (8%)</w:t>
      </w:r>
    </w:p>
    <w:p w14:paraId="13424116" w14:textId="77777777" w:rsidR="00FA0E4A" w:rsidRPr="002529E5" w:rsidRDefault="00FA0E4A" w:rsidP="00F23292">
      <w:pPr>
        <w:pStyle w:val="ListParagraph"/>
        <w:numPr>
          <w:ilvl w:val="0"/>
          <w:numId w:val="23"/>
        </w:numPr>
      </w:pPr>
      <w:r w:rsidRPr="002529E5">
        <w:t xml:space="preserve">locked cupboards (2%) </w:t>
      </w:r>
    </w:p>
    <w:p w14:paraId="6FC7A9A7" w14:textId="0D1A2D12" w:rsidR="004C1FCC" w:rsidRDefault="00FA0E4A" w:rsidP="00F23292">
      <w:pPr>
        <w:pStyle w:val="ListParagraph"/>
        <w:numPr>
          <w:ilvl w:val="0"/>
          <w:numId w:val="23"/>
        </w:numPr>
      </w:pPr>
      <w:r w:rsidRPr="002529E5">
        <w:t xml:space="preserve">other (15%) including restricting access to keycard, clothing, hotplate, and fixing furniture to the floor. </w:t>
      </w:r>
    </w:p>
    <w:p w14:paraId="403FB1FA" w14:textId="77777777" w:rsidR="004C1FCC" w:rsidRDefault="004C1FCC">
      <w:pPr>
        <w:spacing w:after="0" w:line="240" w:lineRule="auto"/>
        <w:rPr>
          <w:rFonts w:cs="Times New Roman (Body CS)"/>
          <w:lang w:val="en-AU"/>
        </w:rPr>
      </w:pPr>
      <w:r>
        <w:br w:type="page"/>
      </w:r>
    </w:p>
    <w:p w14:paraId="7720E6B4" w14:textId="35BED6A5" w:rsidR="00E02B2E" w:rsidRPr="00182884" w:rsidRDefault="00901769" w:rsidP="00BB7A5B">
      <w:pPr>
        <w:tabs>
          <w:tab w:val="left" w:pos="5775"/>
        </w:tabs>
        <w:spacing w:line="276" w:lineRule="auto"/>
        <w:jc w:val="center"/>
        <w:rPr>
          <w:rFonts w:cs="Arial"/>
          <w:noProof/>
          <w:highlight w:val="yellow"/>
        </w:rPr>
      </w:pPr>
      <w:r>
        <w:rPr>
          <w:noProof/>
        </w:rPr>
        <w:drawing>
          <wp:inline distT="0" distB="0" distL="0" distR="0" wp14:anchorId="753D4125" wp14:editId="22937E8F">
            <wp:extent cx="4572000" cy="2743200"/>
            <wp:effectExtent l="0" t="0" r="0" b="0"/>
            <wp:docPr id="1940239502" name="Chart 1" descr="Number of Participants with Environmental Restriction Approvals. The details are in the text below. &#10;">
              <a:extLst xmlns:a="http://schemas.openxmlformats.org/drawingml/2006/main">
                <a:ext uri="{FF2B5EF4-FFF2-40B4-BE49-F238E27FC236}">
                  <a16:creationId xmlns:a16="http://schemas.microsoft.com/office/drawing/2014/main" id="{DAA16E5C-D9C7-66E8-32A1-401752C05F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937604E" w14:textId="08830E1D" w:rsidR="000A7B3B" w:rsidRPr="0021667E" w:rsidRDefault="000A7B3B" w:rsidP="005728FF">
      <w:pPr>
        <w:rPr>
          <w:sz w:val="20"/>
          <w:szCs w:val="20"/>
        </w:rPr>
      </w:pPr>
      <w:r w:rsidRPr="0021667E">
        <w:rPr>
          <w:sz w:val="20"/>
          <w:szCs w:val="20"/>
        </w:rPr>
        <w:t xml:space="preserve">Figure 2: </w:t>
      </w:r>
      <w:r w:rsidR="001E3FD4" w:rsidRPr="0021667E">
        <w:rPr>
          <w:sz w:val="20"/>
          <w:szCs w:val="20"/>
        </w:rPr>
        <w:t xml:space="preserve">Comparison of </w:t>
      </w:r>
      <w:r w:rsidRPr="0021667E">
        <w:rPr>
          <w:sz w:val="20"/>
          <w:szCs w:val="20"/>
        </w:rPr>
        <w:t xml:space="preserve">environmental restriction approvals and participants </w:t>
      </w:r>
      <w:r w:rsidR="001E3FD4" w:rsidRPr="0021667E">
        <w:rPr>
          <w:sz w:val="20"/>
          <w:szCs w:val="20"/>
        </w:rPr>
        <w:t>between 2019-2024</w:t>
      </w:r>
      <w:r w:rsidR="00BB7A5B" w:rsidRPr="0021667E">
        <w:rPr>
          <w:sz w:val="20"/>
          <w:szCs w:val="20"/>
        </w:rPr>
        <w:t>.</w:t>
      </w:r>
    </w:p>
    <w:p w14:paraId="0C768D05" w14:textId="7AC82B8E" w:rsidR="000A7B3B" w:rsidRPr="00BA469D" w:rsidRDefault="000A7B3B" w:rsidP="00F23292">
      <w:pPr>
        <w:rPr>
          <w:iCs/>
        </w:rPr>
      </w:pPr>
      <w:r w:rsidRPr="00BA469D">
        <w:rPr>
          <w:iCs/>
        </w:rPr>
        <w:t>Figure 2 shows the trend over time in approvals being granted by the Secretary and the number of individuals subject to the use of environmental restrictions</w:t>
      </w:r>
      <w:r w:rsidR="007307F1" w:rsidRPr="00BA469D">
        <w:rPr>
          <w:iCs/>
        </w:rPr>
        <w:t xml:space="preserve">. </w:t>
      </w:r>
      <w:r w:rsidRPr="00BA469D">
        <w:rPr>
          <w:iCs/>
        </w:rPr>
        <w:t xml:space="preserve">This graph shows a growing increase in both approvals and individuals since the start of operation of the </w:t>
      </w:r>
      <w:r w:rsidR="004272BF" w:rsidRPr="00BA469D">
        <w:rPr>
          <w:iCs/>
        </w:rPr>
        <w:t xml:space="preserve">NDIS </w:t>
      </w:r>
      <w:r w:rsidRPr="00BA469D">
        <w:rPr>
          <w:iCs/>
        </w:rPr>
        <w:t xml:space="preserve">Commission in June 2019. </w:t>
      </w:r>
    </w:p>
    <w:p w14:paraId="2A7874D0" w14:textId="4C0FB402" w:rsidR="00B52334" w:rsidRDefault="00B52334" w:rsidP="00F23292">
      <w:pPr>
        <w:rPr>
          <w:iCs/>
        </w:rPr>
      </w:pPr>
      <w:r w:rsidRPr="00C01074">
        <w:rPr>
          <w:iCs/>
        </w:rPr>
        <w:t xml:space="preserve">It is likely that the safeguarding activities of the </w:t>
      </w:r>
      <w:r w:rsidR="004272BF" w:rsidRPr="00C01074">
        <w:rPr>
          <w:iCs/>
        </w:rPr>
        <w:t xml:space="preserve">NDIS </w:t>
      </w:r>
      <w:r w:rsidRPr="00C01074">
        <w:rPr>
          <w:iCs/>
        </w:rPr>
        <w:t xml:space="preserve">Commission (e.g. compliance notices) </w:t>
      </w:r>
      <w:r w:rsidR="006A396C">
        <w:rPr>
          <w:iCs/>
        </w:rPr>
        <w:t xml:space="preserve">and ongoing training by the Office of the Senior Practitioner </w:t>
      </w:r>
      <w:r w:rsidR="00C01074" w:rsidRPr="00C01074">
        <w:rPr>
          <w:iCs/>
        </w:rPr>
        <w:t xml:space="preserve">has </w:t>
      </w:r>
      <w:r w:rsidRPr="00C01074">
        <w:rPr>
          <w:iCs/>
        </w:rPr>
        <w:t xml:space="preserve">increased awareness by NDIS providers about the use of restrictive interventions and the need to obtain authorisation. </w:t>
      </w:r>
      <w:r w:rsidR="006A396C" w:rsidRPr="00D46333">
        <w:rPr>
          <w:iCs/>
        </w:rPr>
        <w:t>Raised awareness due to this activity would also account for the ongoing growth shown in Figure 2.</w:t>
      </w:r>
    </w:p>
    <w:p w14:paraId="3CD50399" w14:textId="77777777" w:rsidR="00E02B2E" w:rsidRPr="00AF39C4" w:rsidRDefault="00E02B2E" w:rsidP="00F23292">
      <w:pPr>
        <w:pStyle w:val="Heading3"/>
        <w:spacing w:before="0"/>
        <w:rPr>
          <w:rFonts w:cs="Arial"/>
        </w:rPr>
      </w:pPr>
      <w:bookmarkStart w:id="25" w:name="_Toc183610779"/>
      <w:bookmarkStart w:id="26" w:name="_Toc185331731"/>
      <w:r w:rsidRPr="00AF39C4">
        <w:rPr>
          <w:rFonts w:cs="Arial"/>
        </w:rPr>
        <w:t>3.3</w:t>
      </w:r>
      <w:r w:rsidRPr="00AF39C4">
        <w:rPr>
          <w:rFonts w:cs="Arial"/>
        </w:rPr>
        <w:tab/>
        <w:t>Tasmanian Civil and Administrative Tribunal Approvals</w:t>
      </w:r>
      <w:bookmarkEnd w:id="25"/>
      <w:bookmarkEnd w:id="26"/>
    </w:p>
    <w:p w14:paraId="21DF77DC" w14:textId="59CF8A74" w:rsidR="00BB58DB" w:rsidRDefault="00BB58DB" w:rsidP="00F23292">
      <w:r w:rsidRPr="00AF39C4">
        <w:t xml:space="preserve">A disability services provider or funded private person may apply to </w:t>
      </w:r>
      <w:r w:rsidR="00A56544">
        <w:t>the specialist Tribunal at TASCAT</w:t>
      </w:r>
      <w:r w:rsidRPr="00AF39C4">
        <w:t xml:space="preserve"> for approval to </w:t>
      </w:r>
      <w:r w:rsidR="007307F1" w:rsidRPr="00AF39C4">
        <w:t>conduct</w:t>
      </w:r>
      <w:r w:rsidRPr="00AF39C4">
        <w:t xml:space="preserve">, in relation to a person with disability, a type of restrictive intervention that is either a personal restriction or an environmental restriction. The application must contain a statement from the Senior Practitioner </w:t>
      </w:r>
      <w:r w:rsidR="0057534A">
        <w:t xml:space="preserve">recommending why </w:t>
      </w:r>
      <w:r w:rsidRPr="00AF39C4">
        <w:t xml:space="preserve">he or she is of the opinion </w:t>
      </w:r>
      <w:r w:rsidR="00A56544">
        <w:t>the Tribunal</w:t>
      </w:r>
      <w:r w:rsidRPr="00AF39C4">
        <w:t xml:space="preserve"> ought to grant the approval sought. </w:t>
      </w:r>
      <w:r w:rsidR="0057534A">
        <w:t>Approximately 88% of applications are changed following discussions between the disability services provider, behaviour support practitioner, and the OSP.</w:t>
      </w:r>
    </w:p>
    <w:p w14:paraId="150606EB" w14:textId="68614FCE" w:rsidR="00BB58DB" w:rsidRPr="00BA6DBB" w:rsidRDefault="00BB58DB" w:rsidP="00F23292">
      <w:r w:rsidRPr="00AF39C4">
        <w:t xml:space="preserve">An approval can only be granted if the Tribunal has consulted with the person with disability or a person nominated by the person and any persons who have expertise in the </w:t>
      </w:r>
      <w:r w:rsidR="007307F1" w:rsidRPr="00AF39C4">
        <w:t>conducting</w:t>
      </w:r>
      <w:r w:rsidRPr="00AF39C4">
        <w:t xml:space="preserve"> of the proposed intervention</w:t>
      </w:r>
      <w:r w:rsidR="007307F1" w:rsidRPr="00AF39C4">
        <w:t xml:space="preserve">. </w:t>
      </w:r>
      <w:r w:rsidRPr="00AF39C4">
        <w:t xml:space="preserve">The Tribunal also needs to be satisfied that the type of restriction being considered is for the safety, health or wellbeing of the </w:t>
      </w:r>
      <w:r w:rsidRPr="00BA6DBB">
        <w:t>person and is the least restrictive on the person’s freedom of decision as practicable.</w:t>
      </w:r>
    </w:p>
    <w:p w14:paraId="30F1C3CD" w14:textId="77777777" w:rsidR="00A71659" w:rsidRDefault="00A71659">
      <w:pPr>
        <w:spacing w:after="0" w:line="240" w:lineRule="auto"/>
      </w:pPr>
      <w:r>
        <w:br w:type="page"/>
      </w:r>
    </w:p>
    <w:p w14:paraId="1B633CFE" w14:textId="34178A27" w:rsidR="00FA0E4A" w:rsidRDefault="00A37B73" w:rsidP="00F23292">
      <w:r>
        <w:t xml:space="preserve"> </w:t>
      </w:r>
      <w:r w:rsidR="00BB58DB" w:rsidRPr="00BA6DBB">
        <w:t>Table 2 (below) shows</w:t>
      </w:r>
      <w:r w:rsidR="00FA0E4A">
        <w:t>:</w:t>
      </w:r>
    </w:p>
    <w:p w14:paraId="5658A73F" w14:textId="773A61BF" w:rsidR="00FA0E4A" w:rsidRDefault="00FA0E4A" w:rsidP="00F23292">
      <w:pPr>
        <w:pStyle w:val="ListParagraph"/>
        <w:numPr>
          <w:ilvl w:val="0"/>
          <w:numId w:val="26"/>
        </w:numPr>
      </w:pPr>
      <w:r>
        <w:t xml:space="preserve">that 108 </w:t>
      </w:r>
      <w:r w:rsidR="00BB58DB" w:rsidRPr="00FA0E4A">
        <w:t xml:space="preserve">individuals were subject to the use of </w:t>
      </w:r>
      <w:r>
        <w:t xml:space="preserve">approved </w:t>
      </w:r>
      <w:r w:rsidR="00BB58DB" w:rsidRPr="00FA0E4A">
        <w:t>restrictions</w:t>
      </w:r>
      <w:r>
        <w:t>, an increase of 1% compared to the previous reporting period (107)</w:t>
      </w:r>
    </w:p>
    <w:p w14:paraId="2344309A" w14:textId="3B32BF55" w:rsidR="0057534A" w:rsidRDefault="00FA0E4A" w:rsidP="00F23292">
      <w:pPr>
        <w:pStyle w:val="ListParagraph"/>
        <w:numPr>
          <w:ilvl w:val="0"/>
          <w:numId w:val="26"/>
        </w:numPr>
        <w:ind w:left="714" w:hanging="357"/>
      </w:pPr>
      <w:r>
        <w:t>an increase of 2% in the number of applications approved by the Tribunal in 2023-2024 (132) compared to the previous reporting period (129).</w:t>
      </w:r>
    </w:p>
    <w:tbl>
      <w:tblPr>
        <w:tblStyle w:val="GridTable2"/>
        <w:tblW w:w="9067" w:type="dxa"/>
        <w:tblLayout w:type="fixed"/>
        <w:tblCellMar>
          <w:top w:w="113" w:type="dxa"/>
          <w:bottom w:w="113" w:type="dxa"/>
        </w:tblCellMar>
        <w:tblLook w:val="04A0" w:firstRow="1" w:lastRow="0" w:firstColumn="1" w:lastColumn="0" w:noHBand="0" w:noVBand="1"/>
      </w:tblPr>
      <w:tblGrid>
        <w:gridCol w:w="4536"/>
        <w:gridCol w:w="4531"/>
      </w:tblGrid>
      <w:tr w:rsidR="00A238E8" w:rsidRPr="00442AFB" w14:paraId="423FC81B" w14:textId="77777777" w:rsidTr="005F5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gridSpan w:val="2"/>
          </w:tcPr>
          <w:p w14:paraId="2727CC93" w14:textId="77777777" w:rsidR="00A238E8" w:rsidRPr="00A238E8" w:rsidRDefault="00A238E8" w:rsidP="00A238E8">
            <w:pPr>
              <w:pStyle w:val="Heading5"/>
              <w:jc w:val="center"/>
              <w:rPr>
                <w:sz w:val="24"/>
                <w:szCs w:val="24"/>
              </w:rPr>
            </w:pPr>
            <w:r w:rsidRPr="00A238E8">
              <w:rPr>
                <w:sz w:val="24"/>
                <w:szCs w:val="24"/>
              </w:rPr>
              <w:t>Tribunal Orders – Personal and Environmental Restrictions</w:t>
            </w:r>
          </w:p>
          <w:p w14:paraId="0ED95287" w14:textId="3CDFFAD8" w:rsidR="00A238E8" w:rsidRPr="00527869" w:rsidRDefault="00A238E8" w:rsidP="00A238E8">
            <w:pPr>
              <w:pStyle w:val="Heading5"/>
              <w:jc w:val="center"/>
            </w:pPr>
            <w:r w:rsidRPr="004633A0">
              <w:rPr>
                <w:kern w:val="0"/>
                <w:sz w:val="24"/>
                <w:szCs w:val="24"/>
                <w:lang w:val="en-GB"/>
                <w14:ligatures w14:val="none"/>
              </w:rPr>
              <w:t>1 July 2023 to 30 June 2024</w:t>
            </w:r>
          </w:p>
        </w:tc>
      </w:tr>
      <w:tr w:rsidR="00A238E8" w:rsidRPr="00442AFB" w14:paraId="6933E85F" w14:textId="77777777" w:rsidTr="005F5C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23EC7D17" w14:textId="7033465C" w:rsidR="00A238E8" w:rsidRPr="00A238E8" w:rsidRDefault="00A238E8" w:rsidP="00A238E8">
            <w:pPr>
              <w:rPr>
                <w:b w:val="0"/>
                <w:bCs w:val="0"/>
              </w:rPr>
            </w:pPr>
            <w:r w:rsidRPr="00A238E8">
              <w:rPr>
                <w:rFonts w:eastAsia="Times New Roman" w:cs="Arial"/>
                <w:b w:val="0"/>
                <w:bCs w:val="0"/>
              </w:rPr>
              <w:t>Number of individuals with approvals</w:t>
            </w:r>
          </w:p>
        </w:tc>
        <w:tc>
          <w:tcPr>
            <w:tcW w:w="4531" w:type="dxa"/>
          </w:tcPr>
          <w:p w14:paraId="4287A78F" w14:textId="349BBD67" w:rsidR="00A238E8" w:rsidRPr="00665376" w:rsidRDefault="00A238E8" w:rsidP="00A238E8">
            <w:pPr>
              <w:jc w:val="center"/>
              <w:cnfStyle w:val="000000100000" w:firstRow="0" w:lastRow="0" w:firstColumn="0" w:lastColumn="0" w:oddVBand="0" w:evenVBand="0" w:oddHBand="1" w:evenHBand="0" w:firstRowFirstColumn="0" w:firstRowLastColumn="0" w:lastRowFirstColumn="0" w:lastRowLastColumn="0"/>
            </w:pPr>
            <w:r w:rsidRPr="00BA6DBB">
              <w:rPr>
                <w:rFonts w:eastAsia="Times New Roman" w:cs="Arial"/>
              </w:rPr>
              <w:t>108 (107)</w:t>
            </w:r>
          </w:p>
        </w:tc>
      </w:tr>
      <w:tr w:rsidR="00A238E8" w:rsidRPr="00442AFB" w14:paraId="43ED3D5C" w14:textId="77777777" w:rsidTr="005F5C24">
        <w:tc>
          <w:tcPr>
            <w:cnfStyle w:val="001000000000" w:firstRow="0" w:lastRow="0" w:firstColumn="1" w:lastColumn="0" w:oddVBand="0" w:evenVBand="0" w:oddHBand="0" w:evenHBand="0" w:firstRowFirstColumn="0" w:firstRowLastColumn="0" w:lastRowFirstColumn="0" w:lastRowLastColumn="0"/>
            <w:tcW w:w="4536" w:type="dxa"/>
          </w:tcPr>
          <w:p w14:paraId="07667309" w14:textId="7A1F2AE2" w:rsidR="00A238E8" w:rsidRPr="00A238E8" w:rsidRDefault="00A238E8" w:rsidP="00A238E8">
            <w:pPr>
              <w:rPr>
                <w:b w:val="0"/>
                <w:bCs w:val="0"/>
              </w:rPr>
            </w:pPr>
            <w:r w:rsidRPr="00A238E8">
              <w:rPr>
                <w:rFonts w:eastAsia="Times New Roman" w:cs="Arial"/>
                <w:b w:val="0"/>
                <w:bCs w:val="0"/>
              </w:rPr>
              <w:t>Total number of approvals</w:t>
            </w:r>
          </w:p>
        </w:tc>
        <w:tc>
          <w:tcPr>
            <w:tcW w:w="4531" w:type="dxa"/>
          </w:tcPr>
          <w:p w14:paraId="0057D0AD" w14:textId="70E45817" w:rsidR="00A238E8" w:rsidRPr="00665376" w:rsidRDefault="00A238E8" w:rsidP="00A238E8">
            <w:pPr>
              <w:jc w:val="center"/>
              <w:cnfStyle w:val="000000000000" w:firstRow="0" w:lastRow="0" w:firstColumn="0" w:lastColumn="0" w:oddVBand="0" w:evenVBand="0" w:oddHBand="0" w:evenHBand="0" w:firstRowFirstColumn="0" w:firstRowLastColumn="0" w:lastRowFirstColumn="0" w:lastRowLastColumn="0"/>
            </w:pPr>
            <w:r w:rsidRPr="00BA6DBB">
              <w:rPr>
                <w:rFonts w:eastAsia="Times New Roman" w:cs="Arial"/>
              </w:rPr>
              <w:t>132 (129)</w:t>
            </w:r>
          </w:p>
        </w:tc>
      </w:tr>
      <w:tr w:rsidR="00A238E8" w:rsidRPr="00442AFB" w14:paraId="6FFF6FBF" w14:textId="77777777" w:rsidTr="005F5C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F57DB52" w14:textId="18BD1CDC" w:rsidR="00A238E8" w:rsidRPr="00A238E8" w:rsidRDefault="00A238E8" w:rsidP="00A238E8">
            <w:pPr>
              <w:rPr>
                <w:b w:val="0"/>
                <w:bCs w:val="0"/>
              </w:rPr>
            </w:pPr>
            <w:r w:rsidRPr="00A238E8">
              <w:rPr>
                <w:rFonts w:eastAsia="Times New Roman" w:cs="Arial"/>
                <w:b w:val="0"/>
                <w:bCs w:val="0"/>
              </w:rPr>
              <w:t>Number of ceased applications</w:t>
            </w:r>
          </w:p>
        </w:tc>
        <w:tc>
          <w:tcPr>
            <w:tcW w:w="4531" w:type="dxa"/>
          </w:tcPr>
          <w:p w14:paraId="6885CC67" w14:textId="3D355091" w:rsidR="00A238E8" w:rsidRPr="00665376" w:rsidRDefault="00A238E8" w:rsidP="00A238E8">
            <w:pPr>
              <w:jc w:val="center"/>
              <w:cnfStyle w:val="000000100000" w:firstRow="0" w:lastRow="0" w:firstColumn="0" w:lastColumn="0" w:oddVBand="0" w:evenVBand="0" w:oddHBand="1" w:evenHBand="0" w:firstRowFirstColumn="0" w:firstRowLastColumn="0" w:lastRowFirstColumn="0" w:lastRowLastColumn="0"/>
            </w:pPr>
            <w:r w:rsidRPr="00BA6DBB">
              <w:rPr>
                <w:rFonts w:eastAsia="Times New Roman" w:cs="Arial"/>
              </w:rPr>
              <w:t>10 (6)</w:t>
            </w:r>
          </w:p>
        </w:tc>
      </w:tr>
      <w:tr w:rsidR="00A238E8" w:rsidRPr="00442AFB" w14:paraId="686D6204" w14:textId="77777777" w:rsidTr="005F5C24">
        <w:tc>
          <w:tcPr>
            <w:cnfStyle w:val="001000000000" w:firstRow="0" w:lastRow="0" w:firstColumn="1" w:lastColumn="0" w:oddVBand="0" w:evenVBand="0" w:oddHBand="0" w:evenHBand="0" w:firstRowFirstColumn="0" w:firstRowLastColumn="0" w:lastRowFirstColumn="0" w:lastRowLastColumn="0"/>
            <w:tcW w:w="4536" w:type="dxa"/>
          </w:tcPr>
          <w:p w14:paraId="356ED48B" w14:textId="2A08E809" w:rsidR="00A238E8" w:rsidRPr="00A238E8" w:rsidRDefault="00A238E8" w:rsidP="00A238E8">
            <w:pPr>
              <w:rPr>
                <w:b w:val="0"/>
                <w:bCs w:val="0"/>
              </w:rPr>
            </w:pPr>
            <w:r w:rsidRPr="00A238E8">
              <w:rPr>
                <w:rFonts w:eastAsia="Times New Roman" w:cs="Arial"/>
                <w:b w:val="0"/>
                <w:bCs w:val="0"/>
              </w:rPr>
              <w:t>Number of Providers</w:t>
            </w:r>
          </w:p>
        </w:tc>
        <w:tc>
          <w:tcPr>
            <w:tcW w:w="4531" w:type="dxa"/>
          </w:tcPr>
          <w:p w14:paraId="77DCB089" w14:textId="337A65CB" w:rsidR="00A238E8" w:rsidRPr="00665376" w:rsidRDefault="00A238E8" w:rsidP="00A238E8">
            <w:pPr>
              <w:jc w:val="center"/>
              <w:cnfStyle w:val="000000000000" w:firstRow="0" w:lastRow="0" w:firstColumn="0" w:lastColumn="0" w:oddVBand="0" w:evenVBand="0" w:oddHBand="0" w:evenHBand="0" w:firstRowFirstColumn="0" w:firstRowLastColumn="0" w:lastRowFirstColumn="0" w:lastRowLastColumn="0"/>
            </w:pPr>
            <w:r w:rsidRPr="00326DA0">
              <w:rPr>
                <w:rFonts w:eastAsia="Times New Roman" w:cs="Arial"/>
              </w:rPr>
              <w:t>33 (32)</w:t>
            </w:r>
          </w:p>
        </w:tc>
      </w:tr>
    </w:tbl>
    <w:p w14:paraId="0A094583" w14:textId="4F0F7467" w:rsidR="00BB58DB" w:rsidRPr="0021667E" w:rsidRDefault="007A3952" w:rsidP="00865376">
      <w:pPr>
        <w:tabs>
          <w:tab w:val="left" w:pos="567"/>
        </w:tabs>
        <w:spacing w:after="240"/>
        <w:jc w:val="both"/>
        <w:rPr>
          <w:rFonts w:eastAsia="Times New Roman" w:cs="Arial"/>
          <w:sz w:val="20"/>
          <w:szCs w:val="20"/>
        </w:rPr>
      </w:pPr>
      <w:r w:rsidRPr="0021667E">
        <w:rPr>
          <w:rFonts w:eastAsia="Times New Roman" w:cs="Arial"/>
          <w:sz w:val="20"/>
          <w:szCs w:val="20"/>
        </w:rPr>
        <w:t>T</w:t>
      </w:r>
      <w:r w:rsidR="00BB58DB" w:rsidRPr="0021667E">
        <w:rPr>
          <w:rFonts w:eastAsia="Times New Roman" w:cs="Arial"/>
          <w:sz w:val="20"/>
          <w:szCs w:val="20"/>
        </w:rPr>
        <w:t>able 2</w:t>
      </w:r>
      <w:r w:rsidR="00BB7A5B" w:rsidRPr="0021667E">
        <w:rPr>
          <w:rFonts w:eastAsia="Times New Roman" w:cs="Arial"/>
          <w:sz w:val="20"/>
          <w:szCs w:val="20"/>
        </w:rPr>
        <w:t>:</w:t>
      </w:r>
      <w:r w:rsidR="00BB58DB" w:rsidRPr="0021667E">
        <w:rPr>
          <w:rFonts w:eastAsia="Times New Roman" w:cs="Arial"/>
          <w:sz w:val="20"/>
          <w:szCs w:val="20"/>
        </w:rPr>
        <w:t xml:space="preserve"> Applications </w:t>
      </w:r>
      <w:r w:rsidR="00116284" w:rsidRPr="0021667E">
        <w:rPr>
          <w:rFonts w:eastAsia="Times New Roman" w:cs="Arial"/>
          <w:sz w:val="20"/>
          <w:szCs w:val="20"/>
        </w:rPr>
        <w:t>approved by</w:t>
      </w:r>
      <w:r w:rsidR="00BB58DB" w:rsidRPr="0021667E">
        <w:rPr>
          <w:rFonts w:eastAsia="Times New Roman" w:cs="Arial"/>
          <w:sz w:val="20"/>
          <w:szCs w:val="20"/>
        </w:rPr>
        <w:t xml:space="preserve"> </w:t>
      </w:r>
      <w:r w:rsidR="00A56544" w:rsidRPr="0021667E">
        <w:rPr>
          <w:rFonts w:eastAsia="Times New Roman" w:cs="Arial"/>
          <w:sz w:val="20"/>
          <w:szCs w:val="20"/>
        </w:rPr>
        <w:t>the Tribunal</w:t>
      </w:r>
      <w:r w:rsidR="00BB7A5B" w:rsidRPr="0021667E">
        <w:rPr>
          <w:rFonts w:eastAsia="Times New Roman" w:cs="Arial"/>
          <w:sz w:val="20"/>
          <w:szCs w:val="20"/>
        </w:rPr>
        <w:t>.</w:t>
      </w:r>
    </w:p>
    <w:p w14:paraId="7D6C4CBA" w14:textId="4ECA452A" w:rsidR="00B25191" w:rsidRPr="00D53EAB" w:rsidRDefault="00B25191" w:rsidP="00F23292">
      <w:r w:rsidRPr="00A27404">
        <w:t>The larger number of approvals (</w:t>
      </w:r>
      <w:r w:rsidR="00BA6DBB" w:rsidRPr="00A27404">
        <w:t>132</w:t>
      </w:r>
      <w:r w:rsidRPr="00A27404">
        <w:t>) compared to individuals being subjected to the use of personal restrictions (</w:t>
      </w:r>
      <w:r w:rsidR="00116284" w:rsidRPr="00A27404">
        <w:t>10</w:t>
      </w:r>
      <w:r w:rsidR="00BA6DBB" w:rsidRPr="00A27404">
        <w:t>8</w:t>
      </w:r>
      <w:r w:rsidRPr="00A27404">
        <w:t>) reflects the fact that the Act requires each disability support provider to apply to use a restrictive intervention. In the current reporting period</w:t>
      </w:r>
      <w:r w:rsidRPr="00AF39C4">
        <w:t xml:space="preserve"> </w:t>
      </w:r>
      <w:r w:rsidR="00584F6D" w:rsidRPr="00D53EAB">
        <w:t>1</w:t>
      </w:r>
      <w:r w:rsidR="00D53EAB" w:rsidRPr="00D53EAB">
        <w:t>5</w:t>
      </w:r>
      <w:r w:rsidRPr="00D53EAB">
        <w:t>% of individuals with approvals were supported by more than one provider. Th</w:t>
      </w:r>
      <w:r w:rsidR="00326DA0" w:rsidRPr="00D53EAB">
        <w:t>e</w:t>
      </w:r>
      <w:r w:rsidRPr="00D53EAB">
        <w:t xml:space="preserve"> data above represents </w:t>
      </w:r>
      <w:r w:rsidR="00326DA0" w:rsidRPr="00D53EAB">
        <w:t xml:space="preserve">slight </w:t>
      </w:r>
      <w:r w:rsidRPr="00D53EAB">
        <w:t xml:space="preserve">increases of </w:t>
      </w:r>
      <w:r w:rsidR="00D53EAB" w:rsidRPr="00D53EAB">
        <w:t>1</w:t>
      </w:r>
      <w:r w:rsidRPr="00D53EAB">
        <w:t xml:space="preserve">% for individuals and </w:t>
      </w:r>
      <w:r w:rsidR="00584F6D" w:rsidRPr="00D53EAB">
        <w:t>3</w:t>
      </w:r>
      <w:r w:rsidRPr="00D53EAB">
        <w:t>%</w:t>
      </w:r>
      <w:r w:rsidR="00D53EAB" w:rsidRPr="00D53EAB">
        <w:t xml:space="preserve"> </w:t>
      </w:r>
      <w:r w:rsidRPr="00D53EAB">
        <w:t xml:space="preserve">for approvals compared to the previous reporting period. </w:t>
      </w:r>
    </w:p>
    <w:p w14:paraId="3EC881EB" w14:textId="3CA3B17C" w:rsidR="00B25191" w:rsidRPr="00D53EAB" w:rsidRDefault="00340BF3" w:rsidP="00F23292">
      <w:r w:rsidRPr="00D53EAB">
        <w:t xml:space="preserve">Of the </w:t>
      </w:r>
      <w:r w:rsidR="00D53EAB" w:rsidRPr="00D53EAB">
        <w:t>ten</w:t>
      </w:r>
      <w:r w:rsidR="00B25191" w:rsidRPr="00D53EAB">
        <w:t xml:space="preserve"> application</w:t>
      </w:r>
      <w:r w:rsidRPr="00D53EAB">
        <w:t xml:space="preserve">s that were </w:t>
      </w:r>
      <w:r w:rsidR="00B25191" w:rsidRPr="00D53EAB">
        <w:t>not renewed</w:t>
      </w:r>
      <w:r w:rsidRPr="00D53EAB">
        <w:t xml:space="preserve">: </w:t>
      </w:r>
      <w:r w:rsidR="00D53EAB" w:rsidRPr="00D53EAB">
        <w:t>six</w:t>
      </w:r>
      <w:r w:rsidRPr="00D53EAB">
        <w:t xml:space="preserve"> ceased as the restrictions were no longer required</w:t>
      </w:r>
      <w:r w:rsidR="00D53EAB" w:rsidRPr="00D53EAB">
        <w:t xml:space="preserve"> and four </w:t>
      </w:r>
      <w:r w:rsidR="00B25191" w:rsidRPr="00D53EAB">
        <w:t>NDIS participant</w:t>
      </w:r>
      <w:r w:rsidR="00D53EAB" w:rsidRPr="00D53EAB">
        <w:t>s</w:t>
      </w:r>
      <w:r w:rsidR="00B25191" w:rsidRPr="00D53EAB">
        <w:t xml:space="preserve"> moved to a different </w:t>
      </w:r>
      <w:r w:rsidR="0073072B">
        <w:t xml:space="preserve">disability </w:t>
      </w:r>
      <w:r w:rsidR="00B25191" w:rsidRPr="00D53EAB">
        <w:t>support provider</w:t>
      </w:r>
      <w:r w:rsidR="00D53EAB" w:rsidRPr="00D53EAB">
        <w:t>.</w:t>
      </w:r>
      <w:r w:rsidRPr="00D53EAB">
        <w:t xml:space="preserve"> </w:t>
      </w:r>
    </w:p>
    <w:p w14:paraId="69E2269E" w14:textId="428C4251" w:rsidR="00E91B39" w:rsidRPr="00182884" w:rsidRDefault="002D4EB1" w:rsidP="00A238E8">
      <w:pPr>
        <w:pStyle w:val="Heading5"/>
        <w:rPr>
          <w:rFonts w:eastAsia="Times New Roman" w:cs="Arial"/>
          <w:iCs/>
          <w:color w:val="00BCD9" w:themeColor="accent6"/>
          <w:highlight w:val="yellow"/>
        </w:rPr>
      </w:pPr>
      <w:r>
        <w:rPr>
          <w:noProof/>
        </w:rPr>
        <w:drawing>
          <wp:inline distT="0" distB="0" distL="0" distR="0" wp14:anchorId="19D8E690" wp14:editId="46A70BF5">
            <wp:extent cx="5759450" cy="3280410"/>
            <wp:effectExtent l="0" t="0" r="0" b="0"/>
            <wp:docPr id="1012808548" name="Chart 1" descr="Graph showing a breakdown of personal and environmental TASCAT approvals. The details are in the text below.&#10;">
              <a:extLst xmlns:a="http://schemas.openxmlformats.org/drawingml/2006/main">
                <a:ext uri="{FF2B5EF4-FFF2-40B4-BE49-F238E27FC236}">
                  <a16:creationId xmlns:a16="http://schemas.microsoft.com/office/drawing/2014/main" id="{E3002C09-EBCC-682B-02AF-EE570392F3D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6BF41E" w14:textId="4C1D74DD" w:rsidR="00956143" w:rsidRPr="0021667E" w:rsidRDefault="00956143" w:rsidP="00865376">
      <w:pPr>
        <w:tabs>
          <w:tab w:val="left" w:pos="567"/>
          <w:tab w:val="left" w:pos="7440"/>
        </w:tabs>
        <w:spacing w:after="240"/>
        <w:rPr>
          <w:rFonts w:eastAsia="Times New Roman" w:cs="Arial"/>
          <w:sz w:val="20"/>
          <w:szCs w:val="20"/>
        </w:rPr>
      </w:pPr>
      <w:r w:rsidRPr="0021667E">
        <w:rPr>
          <w:rFonts w:eastAsia="Times New Roman" w:cs="Arial"/>
          <w:sz w:val="20"/>
          <w:szCs w:val="20"/>
        </w:rPr>
        <w:t xml:space="preserve">Figure 3: </w:t>
      </w:r>
      <w:r w:rsidR="009436DD" w:rsidRPr="0021667E">
        <w:rPr>
          <w:rFonts w:eastAsia="Times New Roman" w:cs="Arial"/>
          <w:sz w:val="20"/>
          <w:szCs w:val="20"/>
        </w:rPr>
        <w:t>B</w:t>
      </w:r>
      <w:r w:rsidRPr="0021667E">
        <w:rPr>
          <w:rFonts w:eastAsia="Times New Roman" w:cs="Arial"/>
          <w:sz w:val="20"/>
          <w:szCs w:val="20"/>
        </w:rPr>
        <w:t xml:space="preserve">reakdown of type of restrictive intervention approved by </w:t>
      </w:r>
      <w:r w:rsidR="00A56544" w:rsidRPr="0021667E">
        <w:rPr>
          <w:rFonts w:eastAsia="Times New Roman" w:cs="Arial"/>
          <w:sz w:val="20"/>
          <w:szCs w:val="20"/>
        </w:rPr>
        <w:t>the Tribunal</w:t>
      </w:r>
      <w:r w:rsidRPr="0021667E">
        <w:rPr>
          <w:rFonts w:eastAsia="Times New Roman" w:cs="Arial"/>
          <w:sz w:val="20"/>
          <w:szCs w:val="20"/>
        </w:rPr>
        <w:t xml:space="preserve"> for 202</w:t>
      </w:r>
      <w:r w:rsidR="002F5105" w:rsidRPr="0021667E">
        <w:rPr>
          <w:rFonts w:eastAsia="Times New Roman" w:cs="Arial"/>
          <w:sz w:val="20"/>
          <w:szCs w:val="20"/>
        </w:rPr>
        <w:t>3</w:t>
      </w:r>
      <w:r w:rsidRPr="0021667E">
        <w:rPr>
          <w:rFonts w:eastAsia="Times New Roman" w:cs="Arial"/>
          <w:sz w:val="20"/>
          <w:szCs w:val="20"/>
        </w:rPr>
        <w:t>-202</w:t>
      </w:r>
      <w:r w:rsidR="002F5105" w:rsidRPr="0021667E">
        <w:rPr>
          <w:rFonts w:eastAsia="Times New Roman" w:cs="Arial"/>
          <w:sz w:val="20"/>
          <w:szCs w:val="20"/>
        </w:rPr>
        <w:t>4</w:t>
      </w:r>
      <w:r w:rsidR="00BB7A5B" w:rsidRPr="0021667E">
        <w:rPr>
          <w:rFonts w:eastAsia="Times New Roman" w:cs="Arial"/>
          <w:sz w:val="20"/>
          <w:szCs w:val="20"/>
        </w:rPr>
        <w:t>.</w:t>
      </w:r>
    </w:p>
    <w:p w14:paraId="20E7B3BC" w14:textId="51E09BD1" w:rsidR="00956143" w:rsidRPr="001C1E57" w:rsidRDefault="00956143" w:rsidP="00F23292">
      <w:r w:rsidRPr="001C1E57">
        <w:t xml:space="preserve">Figure 3 shows that the most common types of </w:t>
      </w:r>
      <w:r w:rsidR="00A56544">
        <w:t>Tribunal</w:t>
      </w:r>
      <w:r w:rsidR="00684656" w:rsidRPr="001C1E57">
        <w:t>-</w:t>
      </w:r>
      <w:r w:rsidRPr="001C1E57">
        <w:t xml:space="preserve">approved restrictive interventions used by providers in the current reporting period were </w:t>
      </w:r>
      <w:r w:rsidR="004272BF" w:rsidRPr="001C1E57">
        <w:t>l</w:t>
      </w:r>
      <w:r w:rsidR="0008652E" w:rsidRPr="001C1E57">
        <w:t xml:space="preserve">ocking </w:t>
      </w:r>
      <w:r w:rsidR="0073072B">
        <w:t xml:space="preserve">external </w:t>
      </w:r>
      <w:r w:rsidR="0008652E" w:rsidRPr="001C1E57">
        <w:t>exits (1</w:t>
      </w:r>
      <w:r w:rsidR="001C1E57" w:rsidRPr="001C1E57">
        <w:t>7</w:t>
      </w:r>
      <w:r w:rsidR="0008652E" w:rsidRPr="001C1E57">
        <w:t xml:space="preserve">%), </w:t>
      </w:r>
      <w:r w:rsidR="004272BF" w:rsidRPr="001C1E57">
        <w:t>l</w:t>
      </w:r>
      <w:r w:rsidR="0008652E" w:rsidRPr="001C1E57">
        <w:t>ocking gates (1</w:t>
      </w:r>
      <w:r w:rsidR="001C1E57" w:rsidRPr="001C1E57">
        <w:t>6</w:t>
      </w:r>
      <w:r w:rsidR="0008652E" w:rsidRPr="001C1E57">
        <w:t xml:space="preserve">%) </w:t>
      </w:r>
      <w:r w:rsidRPr="001C1E57">
        <w:t xml:space="preserve">and </w:t>
      </w:r>
      <w:r w:rsidR="004272BF" w:rsidRPr="001C1E57">
        <w:t>p</w:t>
      </w:r>
      <w:r w:rsidRPr="001C1E57">
        <w:t>hysical intervention (1</w:t>
      </w:r>
      <w:r w:rsidR="0008652E" w:rsidRPr="001C1E57">
        <w:t>5</w:t>
      </w:r>
      <w:r w:rsidRPr="001C1E57">
        <w:t>%)</w:t>
      </w:r>
      <w:r w:rsidR="007307F1" w:rsidRPr="001C1E57">
        <w:t xml:space="preserve">. </w:t>
      </w:r>
    </w:p>
    <w:p w14:paraId="73E708F0" w14:textId="71BC176D" w:rsidR="00956143" w:rsidRDefault="00956143" w:rsidP="00F23292">
      <w:r w:rsidRPr="001C1E57">
        <w:t xml:space="preserve">Section 42 of the Act enables the </w:t>
      </w:r>
      <w:r w:rsidR="00A56544">
        <w:t>Tribunal</w:t>
      </w:r>
      <w:r w:rsidRPr="001C1E57">
        <w:t xml:space="preserve"> to approve the use of environmental restrictions as well as personal restrictions and in this reporting period the OSP has used this provision to m</w:t>
      </w:r>
      <w:r w:rsidR="002B0199">
        <w:t xml:space="preserve">inimise the regulatory burden for providers and achieve efficiencies for the OSP. </w:t>
      </w:r>
    </w:p>
    <w:p w14:paraId="2C251884" w14:textId="665989C6" w:rsidR="00CB386E" w:rsidRPr="00182884" w:rsidRDefault="00D17A31" w:rsidP="00BB7A5B">
      <w:pPr>
        <w:spacing w:line="276" w:lineRule="auto"/>
        <w:jc w:val="center"/>
        <w:rPr>
          <w:rFonts w:eastAsia="Times New Roman" w:cs="Arial"/>
          <w:iCs/>
          <w:highlight w:val="yellow"/>
        </w:rPr>
      </w:pPr>
      <w:r>
        <w:rPr>
          <w:noProof/>
        </w:rPr>
        <w:drawing>
          <wp:inline distT="0" distB="0" distL="0" distR="0" wp14:anchorId="1407515E" wp14:editId="28D46856">
            <wp:extent cx="5398383" cy="2989691"/>
            <wp:effectExtent l="0" t="0" r="12065" b="1270"/>
            <wp:docPr id="1112122535" name="Chart 1" descr="A graph showing the individuals and total number of Tribunal approvals. The details are in the text below. &#10;">
              <a:extLst xmlns:a="http://schemas.openxmlformats.org/drawingml/2006/main">
                <a:ext uri="{FF2B5EF4-FFF2-40B4-BE49-F238E27FC236}">
                  <a16:creationId xmlns:a16="http://schemas.microsoft.com/office/drawing/2014/main" id="{274DAC01-B46C-C408-CF29-C61A32AD4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92B872B" w14:textId="1A0F1189" w:rsidR="004272BF" w:rsidRPr="0021667E" w:rsidRDefault="004272BF" w:rsidP="00865376">
      <w:pPr>
        <w:spacing w:after="240"/>
        <w:jc w:val="both"/>
        <w:rPr>
          <w:rFonts w:eastAsia="Times New Roman" w:cs="Arial"/>
          <w:iCs/>
          <w:sz w:val="20"/>
          <w:szCs w:val="18"/>
        </w:rPr>
      </w:pPr>
      <w:r w:rsidRPr="0021667E">
        <w:rPr>
          <w:rFonts w:eastAsia="Times New Roman" w:cs="Arial"/>
          <w:iCs/>
          <w:sz w:val="20"/>
          <w:szCs w:val="18"/>
        </w:rPr>
        <w:t xml:space="preserve">Figure 4: </w:t>
      </w:r>
      <w:r w:rsidR="001E3FD4" w:rsidRPr="0021667E">
        <w:rPr>
          <w:rFonts w:eastAsia="Times New Roman" w:cs="Arial"/>
          <w:iCs/>
          <w:sz w:val="20"/>
          <w:szCs w:val="18"/>
        </w:rPr>
        <w:t>Comparison of n</w:t>
      </w:r>
      <w:r w:rsidRPr="0021667E">
        <w:rPr>
          <w:rFonts w:eastAsia="Times New Roman" w:cs="Arial"/>
          <w:iCs/>
          <w:sz w:val="20"/>
          <w:szCs w:val="18"/>
        </w:rPr>
        <w:t xml:space="preserve">umber of </w:t>
      </w:r>
      <w:r w:rsidR="009436DD" w:rsidRPr="0021667E">
        <w:rPr>
          <w:rFonts w:eastAsia="Times New Roman" w:cs="Arial"/>
          <w:iCs/>
          <w:sz w:val="20"/>
          <w:szCs w:val="18"/>
        </w:rPr>
        <w:t xml:space="preserve">individuals and </w:t>
      </w:r>
      <w:r w:rsidRPr="0021667E">
        <w:rPr>
          <w:rFonts w:eastAsia="Times New Roman" w:cs="Arial"/>
          <w:iCs/>
          <w:sz w:val="20"/>
          <w:szCs w:val="18"/>
        </w:rPr>
        <w:t xml:space="preserve">restrictive interventions approved by the Tribunal </w:t>
      </w:r>
      <w:r w:rsidR="009436DD" w:rsidRPr="0021667E">
        <w:rPr>
          <w:rFonts w:eastAsia="Times New Roman" w:cs="Arial"/>
          <w:iCs/>
          <w:sz w:val="20"/>
          <w:szCs w:val="20"/>
        </w:rPr>
        <w:t xml:space="preserve">for </w:t>
      </w:r>
      <w:r w:rsidR="001E3FD4" w:rsidRPr="0021667E">
        <w:rPr>
          <w:rFonts w:eastAsia="Times New Roman" w:cs="Arial"/>
          <w:iCs/>
          <w:sz w:val="20"/>
          <w:szCs w:val="20"/>
        </w:rPr>
        <w:t>2019-2024</w:t>
      </w:r>
      <w:r w:rsidR="00684656" w:rsidRPr="0021667E">
        <w:rPr>
          <w:rFonts w:eastAsia="Times New Roman" w:cs="Arial"/>
          <w:iCs/>
          <w:sz w:val="20"/>
          <w:szCs w:val="20"/>
        </w:rPr>
        <w:t>.</w:t>
      </w:r>
    </w:p>
    <w:p w14:paraId="262A4962" w14:textId="1BE1A5DF" w:rsidR="00CB386E" w:rsidRDefault="00CB386E" w:rsidP="00F23292">
      <w:r w:rsidRPr="001E3FD4">
        <w:t xml:space="preserve">Figure 4 shows the trend over time in applications that have been approved by the Tribunal and the number of individuals subject to the use of restrictive interventions </w:t>
      </w:r>
      <w:r w:rsidR="001E3FD4" w:rsidRPr="001E3FD4">
        <w:t>between</w:t>
      </w:r>
      <w:r w:rsidRPr="001E3FD4">
        <w:t xml:space="preserve"> 201</w:t>
      </w:r>
      <w:r w:rsidR="00F25224" w:rsidRPr="001E3FD4">
        <w:t>9</w:t>
      </w:r>
      <w:r w:rsidRPr="001E3FD4">
        <w:t xml:space="preserve"> to 202</w:t>
      </w:r>
      <w:r w:rsidR="001E3FD4" w:rsidRPr="001E3FD4">
        <w:t>4</w:t>
      </w:r>
      <w:r w:rsidR="007307F1" w:rsidRPr="001E3FD4">
        <w:t xml:space="preserve">. </w:t>
      </w:r>
      <w:r w:rsidR="00714A34" w:rsidRPr="001E3FD4">
        <w:t>Like</w:t>
      </w:r>
      <w:r w:rsidRPr="001E3FD4">
        <w:t xml:space="preserve"> Figure 2</w:t>
      </w:r>
      <w:r w:rsidR="00BB7A5B" w:rsidRPr="001E3FD4">
        <w:t>,</w:t>
      </w:r>
      <w:r w:rsidRPr="001E3FD4">
        <w:t xml:space="preserve"> this graph shows </w:t>
      </w:r>
      <w:r w:rsidR="007A6015">
        <w:t xml:space="preserve">an </w:t>
      </w:r>
      <w:r w:rsidRPr="001E3FD4">
        <w:t xml:space="preserve">increase </w:t>
      </w:r>
      <w:r w:rsidR="007A6015">
        <w:t xml:space="preserve">since 2019 </w:t>
      </w:r>
      <w:r w:rsidRPr="001E3FD4">
        <w:t xml:space="preserve">in </w:t>
      </w:r>
      <w:r w:rsidR="00901DA4">
        <w:t xml:space="preserve">the number of individuals with authorised restrictive practices and </w:t>
      </w:r>
      <w:r w:rsidR="007A6015">
        <w:t xml:space="preserve">in </w:t>
      </w:r>
      <w:r w:rsidR="00901DA4">
        <w:t xml:space="preserve">the number of </w:t>
      </w:r>
      <w:r w:rsidRPr="001E3FD4">
        <w:t>approvals</w:t>
      </w:r>
      <w:r w:rsidR="007307F1" w:rsidRPr="001E3FD4">
        <w:t xml:space="preserve">. </w:t>
      </w:r>
    </w:p>
    <w:p w14:paraId="0CE28A59" w14:textId="77777777" w:rsidR="00E02B2E" w:rsidRPr="00AF39C4" w:rsidRDefault="00E02B2E" w:rsidP="00F23292">
      <w:pPr>
        <w:pStyle w:val="Heading3"/>
        <w:spacing w:before="0"/>
        <w:rPr>
          <w:rFonts w:cs="Arial"/>
        </w:rPr>
      </w:pPr>
      <w:bookmarkStart w:id="27" w:name="_Toc183610780"/>
      <w:bookmarkStart w:id="28" w:name="_Toc185331732"/>
      <w:r w:rsidRPr="00AF39C4">
        <w:rPr>
          <w:rFonts w:cs="Arial"/>
        </w:rPr>
        <w:t>3.4</w:t>
      </w:r>
      <w:r w:rsidRPr="00AF39C4">
        <w:rPr>
          <w:rFonts w:cs="Arial"/>
        </w:rPr>
        <w:tab/>
        <w:t>Unauthorised Restrictive Interventions</w:t>
      </w:r>
      <w:bookmarkEnd w:id="27"/>
      <w:bookmarkEnd w:id="28"/>
    </w:p>
    <w:p w14:paraId="20F201F6" w14:textId="38C6C853" w:rsidR="00E02B2E" w:rsidRDefault="002A4B50" w:rsidP="00F23292">
      <w:r>
        <w:t>Under Section 36 of the Act, i</w:t>
      </w:r>
      <w:r w:rsidR="00D24198" w:rsidRPr="00AF39C4">
        <w:t xml:space="preserve">t may be a defence to </w:t>
      </w:r>
      <w:r w:rsidR="001061BF" w:rsidRPr="00AF39C4">
        <w:t>the</w:t>
      </w:r>
      <w:r w:rsidR="00D24198" w:rsidRPr="00AF39C4">
        <w:t xml:space="preserve"> offence of </w:t>
      </w:r>
      <w:r w:rsidR="001061BF" w:rsidRPr="00AF39C4">
        <w:t>using</w:t>
      </w:r>
      <w:r w:rsidR="00D24198" w:rsidRPr="00AF39C4">
        <w:t xml:space="preserve"> </w:t>
      </w:r>
      <w:r w:rsidR="001061BF" w:rsidRPr="00AF39C4">
        <w:t>an</w:t>
      </w:r>
      <w:r w:rsidR="00D24198" w:rsidRPr="00AF39C4">
        <w:t xml:space="preserve"> </w:t>
      </w:r>
      <w:r w:rsidR="001061BF" w:rsidRPr="00AF39C4">
        <w:t>unauthorised restrictive intervention</w:t>
      </w:r>
      <w:r w:rsidR="00D24198" w:rsidRPr="00AF39C4">
        <w:t xml:space="preserve"> if certain conditions are met</w:t>
      </w:r>
      <w:r w:rsidR="007307F1" w:rsidRPr="00AF39C4">
        <w:t xml:space="preserve">. </w:t>
      </w:r>
      <w:r w:rsidR="00D24198" w:rsidRPr="00AF39C4">
        <w:t xml:space="preserve">Included in those conditions </w:t>
      </w:r>
      <w:r w:rsidR="004272BF" w:rsidRPr="00AF39C4">
        <w:t>is</w:t>
      </w:r>
      <w:r w:rsidR="00D24198" w:rsidRPr="00AF39C4">
        <w:t xml:space="preserve"> the need for the Senior Practitioner to be notified by the disability services provider or funded private person as soon as practicable after a restrictive intervention is </w:t>
      </w:r>
      <w:r w:rsidR="007307F1" w:rsidRPr="00AF39C4">
        <w:t>conducted</w:t>
      </w:r>
      <w:r w:rsidR="00D24198" w:rsidRPr="00AF39C4">
        <w:t xml:space="preserve">. Table 3 </w:t>
      </w:r>
      <w:r w:rsidR="003A64BA" w:rsidRPr="00AF39C4">
        <w:t xml:space="preserve">(see below) </w:t>
      </w:r>
      <w:r w:rsidR="00D24198" w:rsidRPr="00AF39C4">
        <w:t xml:space="preserve">shows those unauthorised interventions notified during </w:t>
      </w:r>
      <w:r w:rsidR="003A3CEE">
        <w:t>2023-2024</w:t>
      </w:r>
      <w:r w:rsidR="00D24198" w:rsidRPr="00AF39C4">
        <w:t>.</w:t>
      </w:r>
    </w:p>
    <w:p w14:paraId="1BBC9AFB" w14:textId="11E1929B" w:rsidR="007B457B" w:rsidRDefault="00A260C9" w:rsidP="00F23292">
      <w:r>
        <w:t xml:space="preserve">The OSP received 892 reports detailing the use of </w:t>
      </w:r>
      <w:r w:rsidRPr="00D859AA">
        <w:t xml:space="preserve">1756 </w:t>
      </w:r>
      <w:r>
        <w:t>unauthorised restrictive practices</w:t>
      </w:r>
      <w:r w:rsidR="00BC2619">
        <w:t xml:space="preserve"> (URPs)</w:t>
      </w:r>
      <w:r>
        <w:t>. A report often includes the use of more than one restriction during an incident</w:t>
      </w:r>
      <w:r w:rsidR="007307F1">
        <w:t xml:space="preserve">. </w:t>
      </w:r>
      <w:r>
        <w:t xml:space="preserve">The total of 1756 </w:t>
      </w:r>
      <w:r w:rsidR="00BC2619">
        <w:t>r</w:t>
      </w:r>
      <w:r w:rsidRPr="00D859AA">
        <w:t>epresents a 24% increase</w:t>
      </w:r>
      <w:r w:rsidRPr="00CB7F20">
        <w:t xml:space="preserve"> when compared to the </w:t>
      </w:r>
      <w:r w:rsidR="00BC2619">
        <w:t>2022-2023 period</w:t>
      </w:r>
      <w:r w:rsidRPr="00CB7F20">
        <w:t>.</w:t>
      </w:r>
      <w:r>
        <w:t xml:space="preserve"> </w:t>
      </w:r>
      <w:r w:rsidR="007B457B" w:rsidRPr="00CB7F20">
        <w:t xml:space="preserve">Of the reports received 84% were personal restrictions compared to 16% for environmental restrictions. This </w:t>
      </w:r>
      <w:r w:rsidR="00EF73B5">
        <w:t>proportion</w:t>
      </w:r>
      <w:r w:rsidR="00E6535A">
        <w:t>al</w:t>
      </w:r>
      <w:r w:rsidR="00EF73B5">
        <w:t xml:space="preserve"> </w:t>
      </w:r>
      <w:r w:rsidR="007B457B" w:rsidRPr="00CB7F20">
        <w:t xml:space="preserve">data </w:t>
      </w:r>
      <w:r w:rsidR="00E6535A" w:rsidRPr="00E6535A">
        <w:t>reflects the reality of supporting people with complex needs, in that physical interventions are sometimes required in situations where the immediate safety and wellbeing of persons must be prioritised, in contrast to environmental restrictions that are more likely to be planned with appropriate approvals obtained</w:t>
      </w:r>
      <w:r w:rsidR="007307F1">
        <w:t>.</w:t>
      </w:r>
      <w:r w:rsidR="007307F1" w:rsidRPr="00CB7F20">
        <w:t xml:space="preserve"> </w:t>
      </w:r>
    </w:p>
    <w:tbl>
      <w:tblPr>
        <w:tblStyle w:val="GridTable2"/>
        <w:tblW w:w="9070" w:type="dxa"/>
        <w:tblLayout w:type="fixed"/>
        <w:tblCellMar>
          <w:top w:w="113" w:type="dxa"/>
          <w:bottom w:w="113" w:type="dxa"/>
        </w:tblCellMar>
        <w:tblLook w:val="04A0" w:firstRow="1" w:lastRow="0" w:firstColumn="1" w:lastColumn="0" w:noHBand="0" w:noVBand="1"/>
      </w:tblPr>
      <w:tblGrid>
        <w:gridCol w:w="1814"/>
        <w:gridCol w:w="1814"/>
        <w:gridCol w:w="1814"/>
        <w:gridCol w:w="1814"/>
        <w:gridCol w:w="1814"/>
      </w:tblGrid>
      <w:tr w:rsidR="004633A0" w:rsidRPr="00442AFB" w14:paraId="2D5E48E1" w14:textId="1294575F" w:rsidTr="00444C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gridSpan w:val="5"/>
          </w:tcPr>
          <w:p w14:paraId="1206041B" w14:textId="77777777" w:rsidR="004633A0" w:rsidRPr="004633A0" w:rsidRDefault="004633A0" w:rsidP="004633A0">
            <w:pPr>
              <w:pStyle w:val="Heading5"/>
              <w:jc w:val="center"/>
              <w:rPr>
                <w:b/>
                <w:bCs/>
                <w:sz w:val="24"/>
                <w:szCs w:val="24"/>
                <w:lang w:val="en-GB"/>
              </w:rPr>
            </w:pPr>
            <w:r w:rsidRPr="004633A0">
              <w:rPr>
                <w:sz w:val="24"/>
                <w:szCs w:val="24"/>
                <w:lang w:val="en-GB"/>
              </w:rPr>
              <w:t xml:space="preserve">Individual reports of unauthorised use of restrictive interventions </w:t>
            </w:r>
          </w:p>
          <w:p w14:paraId="5FE886B7" w14:textId="0BD83383" w:rsidR="004633A0" w:rsidRPr="004633A0" w:rsidRDefault="004633A0" w:rsidP="004633A0">
            <w:pPr>
              <w:pStyle w:val="Heading5"/>
              <w:jc w:val="center"/>
            </w:pPr>
            <w:r w:rsidRPr="004633A0">
              <w:rPr>
                <w:sz w:val="24"/>
                <w:szCs w:val="24"/>
                <w:lang w:val="en-GB"/>
              </w:rPr>
              <w:t>(2022-23 in brackets).</w:t>
            </w:r>
          </w:p>
        </w:tc>
      </w:tr>
      <w:tr w:rsidR="004633A0" w:rsidRPr="00442AFB" w14:paraId="3A8718BB" w14:textId="768504F3" w:rsidTr="00463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151EAF8A" w14:textId="4F21BB47" w:rsidR="004633A0" w:rsidRPr="00A238E8" w:rsidRDefault="004633A0" w:rsidP="005F5C24">
            <w:pPr>
              <w:rPr>
                <w:b w:val="0"/>
                <w:bCs w:val="0"/>
              </w:rPr>
            </w:pPr>
            <w:r>
              <w:rPr>
                <w:b w:val="0"/>
                <w:bCs w:val="0"/>
              </w:rPr>
              <w:t>Type of setting</w:t>
            </w:r>
          </w:p>
        </w:tc>
        <w:tc>
          <w:tcPr>
            <w:tcW w:w="1814" w:type="dxa"/>
          </w:tcPr>
          <w:p w14:paraId="554105C4" w14:textId="69E69581" w:rsidR="004633A0" w:rsidRPr="00665376" w:rsidRDefault="004633A0" w:rsidP="005F5C24">
            <w:pPr>
              <w:jc w:val="center"/>
              <w:cnfStyle w:val="000000100000" w:firstRow="0" w:lastRow="0" w:firstColumn="0" w:lastColumn="0" w:oddVBand="0" w:evenVBand="0" w:oddHBand="1" w:evenHBand="0" w:firstRowFirstColumn="0" w:firstRowLastColumn="0" w:lastRowFirstColumn="0" w:lastRowLastColumn="0"/>
            </w:pPr>
            <w:r>
              <w:t>Personal</w:t>
            </w:r>
          </w:p>
        </w:tc>
        <w:tc>
          <w:tcPr>
            <w:tcW w:w="1814" w:type="dxa"/>
          </w:tcPr>
          <w:p w14:paraId="46A0385C" w14:textId="64F9FC7A" w:rsidR="004633A0" w:rsidRPr="00665376" w:rsidRDefault="004633A0" w:rsidP="005F5C24">
            <w:pPr>
              <w:jc w:val="center"/>
              <w:cnfStyle w:val="000000100000" w:firstRow="0" w:lastRow="0" w:firstColumn="0" w:lastColumn="0" w:oddVBand="0" w:evenVBand="0" w:oddHBand="1" w:evenHBand="0" w:firstRowFirstColumn="0" w:firstRowLastColumn="0" w:lastRowFirstColumn="0" w:lastRowLastColumn="0"/>
            </w:pPr>
            <w:r>
              <w:t>Environmental</w:t>
            </w:r>
          </w:p>
        </w:tc>
        <w:tc>
          <w:tcPr>
            <w:tcW w:w="1814" w:type="dxa"/>
          </w:tcPr>
          <w:p w14:paraId="062EB8F0" w14:textId="75CF5DCD" w:rsidR="004633A0" w:rsidRPr="00665376" w:rsidRDefault="004633A0" w:rsidP="005F5C24">
            <w:pPr>
              <w:jc w:val="center"/>
              <w:cnfStyle w:val="000000100000" w:firstRow="0" w:lastRow="0" w:firstColumn="0" w:lastColumn="0" w:oddVBand="0" w:evenVBand="0" w:oddHBand="1" w:evenHBand="0" w:firstRowFirstColumn="0" w:firstRowLastColumn="0" w:lastRowFirstColumn="0" w:lastRowLastColumn="0"/>
            </w:pPr>
            <w:r>
              <w:t>Personal and Environmental</w:t>
            </w:r>
          </w:p>
        </w:tc>
        <w:tc>
          <w:tcPr>
            <w:tcW w:w="1814" w:type="dxa"/>
          </w:tcPr>
          <w:p w14:paraId="681BE2C0" w14:textId="132F61D0" w:rsidR="004633A0" w:rsidRPr="00665376" w:rsidRDefault="004633A0" w:rsidP="005F5C24">
            <w:pPr>
              <w:jc w:val="center"/>
              <w:cnfStyle w:val="000000100000" w:firstRow="0" w:lastRow="0" w:firstColumn="0" w:lastColumn="0" w:oddVBand="0" w:evenVBand="0" w:oddHBand="1" w:evenHBand="0" w:firstRowFirstColumn="0" w:firstRowLastColumn="0" w:lastRowFirstColumn="0" w:lastRowLastColumn="0"/>
            </w:pPr>
            <w:r>
              <w:t>Overall Total</w:t>
            </w:r>
          </w:p>
        </w:tc>
      </w:tr>
      <w:tr w:rsidR="004633A0" w:rsidRPr="00442AFB" w14:paraId="4C276DA2" w14:textId="10D6BEFD" w:rsidTr="004633A0">
        <w:tc>
          <w:tcPr>
            <w:cnfStyle w:val="001000000000" w:firstRow="0" w:lastRow="0" w:firstColumn="1" w:lastColumn="0" w:oddVBand="0" w:evenVBand="0" w:oddHBand="0" w:evenHBand="0" w:firstRowFirstColumn="0" w:firstRowLastColumn="0" w:lastRowFirstColumn="0" w:lastRowLastColumn="0"/>
            <w:tcW w:w="1814" w:type="dxa"/>
          </w:tcPr>
          <w:p w14:paraId="6BCC8051" w14:textId="36337458" w:rsidR="004633A0" w:rsidRPr="004633A0" w:rsidRDefault="004633A0" w:rsidP="004633A0">
            <w:pPr>
              <w:rPr>
                <w:b w:val="0"/>
                <w:bCs w:val="0"/>
              </w:rPr>
            </w:pPr>
            <w:r w:rsidRPr="004633A0">
              <w:rPr>
                <w:rFonts w:eastAsia="Times New Roman" w:cs="Arial"/>
                <w:b w:val="0"/>
                <w:bCs w:val="0"/>
              </w:rPr>
              <w:t>Accommodation</w:t>
            </w:r>
          </w:p>
        </w:tc>
        <w:tc>
          <w:tcPr>
            <w:tcW w:w="1814" w:type="dxa"/>
          </w:tcPr>
          <w:p w14:paraId="1F63A115" w14:textId="7E90D976"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539 (531)</w:t>
            </w:r>
          </w:p>
        </w:tc>
        <w:tc>
          <w:tcPr>
            <w:tcW w:w="1814" w:type="dxa"/>
          </w:tcPr>
          <w:p w14:paraId="6A93481C" w14:textId="550241D7"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61 (273)</w:t>
            </w:r>
          </w:p>
        </w:tc>
        <w:tc>
          <w:tcPr>
            <w:tcW w:w="1814" w:type="dxa"/>
          </w:tcPr>
          <w:p w14:paraId="55E14211" w14:textId="52F55A66"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370 (40)</w:t>
            </w:r>
          </w:p>
        </w:tc>
        <w:tc>
          <w:tcPr>
            <w:tcW w:w="1814" w:type="dxa"/>
          </w:tcPr>
          <w:p w14:paraId="19699E38" w14:textId="3DDACA0D"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970 (844)</w:t>
            </w:r>
          </w:p>
        </w:tc>
      </w:tr>
      <w:tr w:rsidR="004633A0" w:rsidRPr="00442AFB" w14:paraId="7508E86E" w14:textId="77777777" w:rsidTr="00463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08D2D20C" w14:textId="6F03166D" w:rsidR="004633A0" w:rsidRPr="004633A0" w:rsidRDefault="004633A0" w:rsidP="004633A0">
            <w:pPr>
              <w:rPr>
                <w:b w:val="0"/>
                <w:bCs w:val="0"/>
              </w:rPr>
            </w:pPr>
            <w:r w:rsidRPr="004633A0">
              <w:rPr>
                <w:rFonts w:eastAsia="Times New Roman" w:cs="Arial"/>
                <w:b w:val="0"/>
                <w:bCs w:val="0"/>
              </w:rPr>
              <w:t>Community Access</w:t>
            </w:r>
          </w:p>
        </w:tc>
        <w:tc>
          <w:tcPr>
            <w:tcW w:w="1814" w:type="dxa"/>
          </w:tcPr>
          <w:p w14:paraId="1AD0DEBE" w14:textId="15F37E14"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310</w:t>
            </w:r>
            <w:r>
              <w:rPr>
                <w:rFonts w:eastAsia="Times New Roman" w:cs="Arial"/>
              </w:rPr>
              <w:t xml:space="preserve"> </w:t>
            </w:r>
            <w:r w:rsidRPr="00334367">
              <w:rPr>
                <w:rFonts w:eastAsia="Times New Roman" w:cs="Arial"/>
              </w:rPr>
              <w:t>(160)</w:t>
            </w:r>
          </w:p>
        </w:tc>
        <w:tc>
          <w:tcPr>
            <w:tcW w:w="1814" w:type="dxa"/>
          </w:tcPr>
          <w:p w14:paraId="59FDE455" w14:textId="52A4C559"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37 (10)</w:t>
            </w:r>
          </w:p>
        </w:tc>
        <w:tc>
          <w:tcPr>
            <w:tcW w:w="1814" w:type="dxa"/>
          </w:tcPr>
          <w:p w14:paraId="7C2D6B64" w14:textId="2999CBE7"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11 (0)</w:t>
            </w:r>
          </w:p>
        </w:tc>
        <w:tc>
          <w:tcPr>
            <w:tcW w:w="1814" w:type="dxa"/>
          </w:tcPr>
          <w:p w14:paraId="757DC559" w14:textId="0D8637A2"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358 (170)</w:t>
            </w:r>
          </w:p>
        </w:tc>
      </w:tr>
      <w:tr w:rsidR="004633A0" w:rsidRPr="00442AFB" w14:paraId="6448D171" w14:textId="77777777" w:rsidTr="004633A0">
        <w:tc>
          <w:tcPr>
            <w:cnfStyle w:val="001000000000" w:firstRow="0" w:lastRow="0" w:firstColumn="1" w:lastColumn="0" w:oddVBand="0" w:evenVBand="0" w:oddHBand="0" w:evenHBand="0" w:firstRowFirstColumn="0" w:firstRowLastColumn="0" w:lastRowFirstColumn="0" w:lastRowLastColumn="0"/>
            <w:tcW w:w="1814" w:type="dxa"/>
          </w:tcPr>
          <w:p w14:paraId="6831D4CC" w14:textId="64805838" w:rsidR="004633A0" w:rsidRPr="004633A0" w:rsidRDefault="004633A0" w:rsidP="004633A0">
            <w:pPr>
              <w:rPr>
                <w:b w:val="0"/>
                <w:bCs w:val="0"/>
              </w:rPr>
            </w:pPr>
            <w:r w:rsidRPr="004633A0">
              <w:rPr>
                <w:rFonts w:eastAsia="Times New Roman" w:cs="Arial"/>
                <w:b w:val="0"/>
                <w:bCs w:val="0"/>
              </w:rPr>
              <w:t>Respite</w:t>
            </w:r>
          </w:p>
        </w:tc>
        <w:tc>
          <w:tcPr>
            <w:tcW w:w="1814" w:type="dxa"/>
          </w:tcPr>
          <w:p w14:paraId="5ABD8C33" w14:textId="393882A2"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199 (284)</w:t>
            </w:r>
          </w:p>
        </w:tc>
        <w:tc>
          <w:tcPr>
            <w:tcW w:w="1814" w:type="dxa"/>
          </w:tcPr>
          <w:p w14:paraId="34B85533" w14:textId="1633C4EC"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20 (24)</w:t>
            </w:r>
          </w:p>
        </w:tc>
        <w:tc>
          <w:tcPr>
            <w:tcW w:w="1814" w:type="dxa"/>
          </w:tcPr>
          <w:p w14:paraId="1EA942BF" w14:textId="0C303663"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17 (4)</w:t>
            </w:r>
          </w:p>
        </w:tc>
        <w:tc>
          <w:tcPr>
            <w:tcW w:w="1814" w:type="dxa"/>
          </w:tcPr>
          <w:p w14:paraId="5E725C39" w14:textId="7110EC55"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236 (312)</w:t>
            </w:r>
          </w:p>
        </w:tc>
      </w:tr>
      <w:tr w:rsidR="004633A0" w:rsidRPr="00442AFB" w14:paraId="12B10CD5" w14:textId="77777777" w:rsidTr="00463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2D4043EC" w14:textId="2AC549AA" w:rsidR="004633A0" w:rsidRPr="004633A0" w:rsidRDefault="004633A0" w:rsidP="004633A0">
            <w:pPr>
              <w:rPr>
                <w:b w:val="0"/>
                <w:bCs w:val="0"/>
              </w:rPr>
            </w:pPr>
            <w:r w:rsidRPr="004633A0">
              <w:rPr>
                <w:rFonts w:eastAsia="Times New Roman" w:cs="Arial"/>
                <w:b w:val="0"/>
                <w:bCs w:val="0"/>
              </w:rPr>
              <w:t>In Home</w:t>
            </w:r>
          </w:p>
        </w:tc>
        <w:tc>
          <w:tcPr>
            <w:tcW w:w="1814" w:type="dxa"/>
          </w:tcPr>
          <w:p w14:paraId="157A6DE8" w14:textId="47F851A0"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153 (4)</w:t>
            </w:r>
          </w:p>
        </w:tc>
        <w:tc>
          <w:tcPr>
            <w:tcW w:w="1814" w:type="dxa"/>
          </w:tcPr>
          <w:p w14:paraId="14D72777" w14:textId="5B164030"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25 (0)</w:t>
            </w:r>
          </w:p>
        </w:tc>
        <w:tc>
          <w:tcPr>
            <w:tcW w:w="1814" w:type="dxa"/>
          </w:tcPr>
          <w:p w14:paraId="1D11ACF7" w14:textId="30A322CC"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2 (</w:t>
            </w:r>
            <w:r>
              <w:rPr>
                <w:rFonts w:eastAsia="Times New Roman" w:cs="Arial"/>
              </w:rPr>
              <w:t>0</w:t>
            </w:r>
            <w:r w:rsidRPr="00334367">
              <w:rPr>
                <w:rFonts w:eastAsia="Times New Roman" w:cs="Arial"/>
              </w:rPr>
              <w:t>)</w:t>
            </w:r>
          </w:p>
        </w:tc>
        <w:tc>
          <w:tcPr>
            <w:tcW w:w="1814" w:type="dxa"/>
          </w:tcPr>
          <w:p w14:paraId="4A254411" w14:textId="314778B5"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180 (4)</w:t>
            </w:r>
          </w:p>
        </w:tc>
      </w:tr>
      <w:tr w:rsidR="004633A0" w:rsidRPr="00442AFB" w14:paraId="561261CC" w14:textId="03E78790" w:rsidTr="004633A0">
        <w:tc>
          <w:tcPr>
            <w:cnfStyle w:val="001000000000" w:firstRow="0" w:lastRow="0" w:firstColumn="1" w:lastColumn="0" w:oddVBand="0" w:evenVBand="0" w:oddHBand="0" w:evenHBand="0" w:firstRowFirstColumn="0" w:firstRowLastColumn="0" w:lastRowFirstColumn="0" w:lastRowLastColumn="0"/>
            <w:tcW w:w="1814" w:type="dxa"/>
          </w:tcPr>
          <w:p w14:paraId="1FA5B2E0" w14:textId="6DA7D91E" w:rsidR="004633A0" w:rsidRPr="004633A0" w:rsidRDefault="004633A0" w:rsidP="004633A0">
            <w:pPr>
              <w:rPr>
                <w:b w:val="0"/>
                <w:bCs w:val="0"/>
              </w:rPr>
            </w:pPr>
            <w:r w:rsidRPr="004633A0">
              <w:rPr>
                <w:rFonts w:eastAsia="Times New Roman" w:cs="Arial"/>
                <w:b w:val="0"/>
                <w:bCs w:val="0"/>
              </w:rPr>
              <w:t>Other</w:t>
            </w:r>
          </w:p>
        </w:tc>
        <w:tc>
          <w:tcPr>
            <w:tcW w:w="1814" w:type="dxa"/>
          </w:tcPr>
          <w:p w14:paraId="32CBF8BE" w14:textId="1C6039A0"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12</w:t>
            </w:r>
            <w:r>
              <w:rPr>
                <w:rFonts w:eastAsia="Times New Roman" w:cs="Arial"/>
              </w:rPr>
              <w:t xml:space="preserve"> </w:t>
            </w:r>
            <w:r w:rsidRPr="00334367">
              <w:rPr>
                <w:rFonts w:eastAsia="Times New Roman" w:cs="Arial"/>
              </w:rPr>
              <w:t>(5)</w:t>
            </w:r>
          </w:p>
        </w:tc>
        <w:tc>
          <w:tcPr>
            <w:tcW w:w="1814" w:type="dxa"/>
          </w:tcPr>
          <w:p w14:paraId="1ABAFE4A" w14:textId="7FA962F3"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0 (1)</w:t>
            </w:r>
          </w:p>
        </w:tc>
        <w:tc>
          <w:tcPr>
            <w:tcW w:w="1814" w:type="dxa"/>
          </w:tcPr>
          <w:p w14:paraId="337FBE32" w14:textId="7D7AB3BD"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0</w:t>
            </w:r>
            <w:r>
              <w:rPr>
                <w:rFonts w:eastAsia="Times New Roman" w:cs="Arial"/>
              </w:rPr>
              <w:t xml:space="preserve"> (0)</w:t>
            </w:r>
          </w:p>
        </w:tc>
        <w:tc>
          <w:tcPr>
            <w:tcW w:w="1814" w:type="dxa"/>
          </w:tcPr>
          <w:p w14:paraId="64486226" w14:textId="1DEE8D1A" w:rsidR="004633A0" w:rsidRPr="00665376" w:rsidRDefault="004633A0" w:rsidP="004633A0">
            <w:pPr>
              <w:cnfStyle w:val="000000000000" w:firstRow="0" w:lastRow="0" w:firstColumn="0" w:lastColumn="0" w:oddVBand="0" w:evenVBand="0" w:oddHBand="0" w:evenHBand="0" w:firstRowFirstColumn="0" w:firstRowLastColumn="0" w:lastRowFirstColumn="0" w:lastRowLastColumn="0"/>
            </w:pPr>
            <w:r w:rsidRPr="00334367">
              <w:rPr>
                <w:rFonts w:eastAsia="Times New Roman" w:cs="Arial"/>
              </w:rPr>
              <w:t>12 (6)</w:t>
            </w:r>
          </w:p>
        </w:tc>
      </w:tr>
      <w:tr w:rsidR="004633A0" w:rsidRPr="00442AFB" w14:paraId="491B1162" w14:textId="47EA268B" w:rsidTr="004633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4" w:type="dxa"/>
          </w:tcPr>
          <w:p w14:paraId="1A3EA19C" w14:textId="5B415659" w:rsidR="004633A0" w:rsidRPr="004633A0" w:rsidRDefault="004633A0" w:rsidP="004633A0">
            <w:pPr>
              <w:rPr>
                <w:b w:val="0"/>
                <w:bCs w:val="0"/>
              </w:rPr>
            </w:pPr>
            <w:r w:rsidRPr="004633A0">
              <w:rPr>
                <w:rFonts w:eastAsia="Times New Roman" w:cs="Arial"/>
                <w:b w:val="0"/>
                <w:bCs w:val="0"/>
              </w:rPr>
              <w:t>Total</w:t>
            </w:r>
          </w:p>
        </w:tc>
        <w:tc>
          <w:tcPr>
            <w:tcW w:w="1814" w:type="dxa"/>
          </w:tcPr>
          <w:p w14:paraId="6FCA909F" w14:textId="328F6214"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1213 (984)</w:t>
            </w:r>
          </w:p>
        </w:tc>
        <w:tc>
          <w:tcPr>
            <w:tcW w:w="1814" w:type="dxa"/>
          </w:tcPr>
          <w:p w14:paraId="08B8F816" w14:textId="20460B9A"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143 (308)</w:t>
            </w:r>
          </w:p>
        </w:tc>
        <w:tc>
          <w:tcPr>
            <w:tcW w:w="1814" w:type="dxa"/>
          </w:tcPr>
          <w:p w14:paraId="72BD8FF4" w14:textId="674E4C60"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400 (44)</w:t>
            </w:r>
          </w:p>
        </w:tc>
        <w:tc>
          <w:tcPr>
            <w:tcW w:w="1814" w:type="dxa"/>
          </w:tcPr>
          <w:p w14:paraId="7CD57B0F" w14:textId="63A7CDA6" w:rsidR="004633A0" w:rsidRPr="00665376" w:rsidRDefault="004633A0" w:rsidP="004633A0">
            <w:pPr>
              <w:cnfStyle w:val="000000100000" w:firstRow="0" w:lastRow="0" w:firstColumn="0" w:lastColumn="0" w:oddVBand="0" w:evenVBand="0" w:oddHBand="1" w:evenHBand="0" w:firstRowFirstColumn="0" w:firstRowLastColumn="0" w:lastRowFirstColumn="0" w:lastRowLastColumn="0"/>
            </w:pPr>
            <w:r w:rsidRPr="00334367">
              <w:rPr>
                <w:rFonts w:eastAsia="Times New Roman" w:cs="Arial"/>
              </w:rPr>
              <w:t>1756 (1336)</w:t>
            </w:r>
          </w:p>
        </w:tc>
      </w:tr>
    </w:tbl>
    <w:p w14:paraId="009FC343" w14:textId="044A7E9B" w:rsidR="002D37F2" w:rsidRPr="001D3269" w:rsidRDefault="002D37F2" w:rsidP="00865376">
      <w:pPr>
        <w:tabs>
          <w:tab w:val="left" w:pos="567"/>
        </w:tabs>
        <w:spacing w:after="240"/>
        <w:rPr>
          <w:rFonts w:eastAsia="Times New Roman" w:cs="Arial"/>
          <w:sz w:val="20"/>
          <w:szCs w:val="20"/>
        </w:rPr>
      </w:pPr>
      <w:r w:rsidRPr="001D3269">
        <w:rPr>
          <w:rFonts w:eastAsia="Times New Roman" w:cs="Arial"/>
          <w:sz w:val="20"/>
          <w:szCs w:val="20"/>
        </w:rPr>
        <w:t>Table 3</w:t>
      </w:r>
      <w:r w:rsidR="00BB7A5B" w:rsidRPr="001D3269">
        <w:rPr>
          <w:rFonts w:eastAsia="Times New Roman" w:cs="Arial"/>
          <w:sz w:val="20"/>
          <w:szCs w:val="20"/>
        </w:rPr>
        <w:t>:</w:t>
      </w:r>
      <w:r w:rsidRPr="001D3269">
        <w:rPr>
          <w:rFonts w:eastAsia="Times New Roman" w:cs="Arial"/>
          <w:sz w:val="20"/>
          <w:szCs w:val="20"/>
        </w:rPr>
        <w:t xml:space="preserve"> </w:t>
      </w:r>
      <w:r w:rsidR="00CB7F20" w:rsidRPr="001D3269">
        <w:rPr>
          <w:rFonts w:eastAsia="Times New Roman" w:cs="Arial"/>
          <w:sz w:val="20"/>
          <w:szCs w:val="20"/>
        </w:rPr>
        <w:t>Individual r</w:t>
      </w:r>
      <w:r w:rsidRPr="001D3269">
        <w:rPr>
          <w:rFonts w:eastAsia="Times New Roman" w:cs="Arial"/>
          <w:sz w:val="20"/>
          <w:szCs w:val="20"/>
        </w:rPr>
        <w:t>eports of unauthorised use of restrictive interventions (202</w:t>
      </w:r>
      <w:r w:rsidR="0053606F" w:rsidRPr="001D3269">
        <w:rPr>
          <w:rFonts w:eastAsia="Times New Roman" w:cs="Arial"/>
          <w:sz w:val="20"/>
          <w:szCs w:val="20"/>
        </w:rPr>
        <w:t>2</w:t>
      </w:r>
      <w:r w:rsidRPr="001D3269">
        <w:rPr>
          <w:rFonts w:eastAsia="Times New Roman" w:cs="Arial"/>
          <w:sz w:val="20"/>
          <w:szCs w:val="20"/>
        </w:rPr>
        <w:t>-2</w:t>
      </w:r>
      <w:r w:rsidR="0053606F" w:rsidRPr="001D3269">
        <w:rPr>
          <w:rFonts w:eastAsia="Times New Roman" w:cs="Arial"/>
          <w:sz w:val="20"/>
          <w:szCs w:val="20"/>
        </w:rPr>
        <w:t>3</w:t>
      </w:r>
      <w:r w:rsidRPr="001D3269">
        <w:rPr>
          <w:rFonts w:eastAsia="Times New Roman" w:cs="Arial"/>
          <w:sz w:val="20"/>
          <w:szCs w:val="20"/>
        </w:rPr>
        <w:t xml:space="preserve"> in brackets)</w:t>
      </w:r>
      <w:r w:rsidR="00BB7A5B" w:rsidRPr="001D3269">
        <w:rPr>
          <w:rFonts w:eastAsia="Times New Roman" w:cs="Arial"/>
          <w:sz w:val="20"/>
          <w:szCs w:val="20"/>
        </w:rPr>
        <w:t>.</w:t>
      </w:r>
    </w:p>
    <w:p w14:paraId="33F62BBA" w14:textId="4F3CF551" w:rsidR="0057534A" w:rsidRDefault="0057534A" w:rsidP="00F23292">
      <w:r w:rsidRPr="00CB7F20">
        <w:t>The main function of reporting unauthorised restrictive interventions is to monitor regular usage on an individual basis</w:t>
      </w:r>
      <w:r w:rsidR="007307F1" w:rsidRPr="00CB7F20">
        <w:t xml:space="preserve">. </w:t>
      </w:r>
      <w:r w:rsidRPr="00CB7F20">
        <w:t xml:space="preserve">In this regard the OSP </w:t>
      </w:r>
      <w:r w:rsidR="00334367">
        <w:t>can</w:t>
      </w:r>
      <w:r w:rsidRPr="00CB7F20">
        <w:t xml:space="preserve"> identify individuals where unauthorised restrictions were being used regularly and worked collaboratively with the disability services provider </w:t>
      </w:r>
      <w:r w:rsidR="00334367">
        <w:t xml:space="preserve">and behaviour support practitioner </w:t>
      </w:r>
      <w:r w:rsidRPr="00CB7F20">
        <w:t xml:space="preserve">to </w:t>
      </w:r>
      <w:r>
        <w:t xml:space="preserve">reduce, </w:t>
      </w:r>
      <w:r w:rsidR="00334367">
        <w:t>eliminate,</w:t>
      </w:r>
      <w:r>
        <w:t xml:space="preserve"> or </w:t>
      </w:r>
      <w:r w:rsidRPr="00CB7F20">
        <w:t>gain authorisation</w:t>
      </w:r>
      <w:r>
        <w:t xml:space="preserve"> </w:t>
      </w:r>
      <w:r w:rsidRPr="00CB7F20">
        <w:t xml:space="preserve">for the </w:t>
      </w:r>
      <w:r>
        <w:t>restriction</w:t>
      </w:r>
      <w:r w:rsidRPr="00CB7F20">
        <w:t xml:space="preserve"> being used.</w:t>
      </w:r>
      <w:r>
        <w:t xml:space="preserve"> </w:t>
      </w:r>
      <w:r w:rsidRPr="00AF39C4">
        <w:t xml:space="preserve">A contributing factor </w:t>
      </w:r>
      <w:r w:rsidR="00334367">
        <w:t xml:space="preserve">to the use of unauthorised restrictive practices </w:t>
      </w:r>
      <w:r w:rsidRPr="00AF39C4">
        <w:t>is the length of time needed to authorise a personal restriction through the Tribunal compared to the authorisation of environmental restrictions through the Secretary.</w:t>
      </w:r>
      <w:r w:rsidR="00A37B73">
        <w:t xml:space="preserve"> </w:t>
      </w:r>
      <w:r w:rsidR="000502A3">
        <w:t>A</w:t>
      </w:r>
      <w:r w:rsidR="00396235">
        <w:t xml:space="preserve">uthorisation of </w:t>
      </w:r>
      <w:r w:rsidR="00D31FF3">
        <w:t>e</w:t>
      </w:r>
      <w:r w:rsidR="00930BD3">
        <w:t xml:space="preserve">nvironmental restrictions </w:t>
      </w:r>
      <w:r w:rsidR="00396235">
        <w:t xml:space="preserve">generally </w:t>
      </w:r>
      <w:r w:rsidR="00D31FF3">
        <w:t xml:space="preserve">occur within 2 weeks, whereas authorisation of personal restrictions </w:t>
      </w:r>
      <w:r w:rsidR="007368F0">
        <w:t xml:space="preserve">generally </w:t>
      </w:r>
      <w:r w:rsidR="00467482">
        <w:t>occurs</w:t>
      </w:r>
      <w:r w:rsidR="007368F0">
        <w:t xml:space="preserve"> within 12 weeks.</w:t>
      </w:r>
    </w:p>
    <w:p w14:paraId="60FA1719" w14:textId="1EB303B6" w:rsidR="007B04C5" w:rsidRDefault="00E6535A" w:rsidP="00F23292">
      <w:r>
        <w:t>In</w:t>
      </w:r>
      <w:r w:rsidR="004272BF" w:rsidRPr="00F85CFF">
        <w:t xml:space="preserve"> </w:t>
      </w:r>
      <w:r w:rsidR="007B04C5" w:rsidRPr="00F85CFF">
        <w:t xml:space="preserve">this reporting period a total of </w:t>
      </w:r>
      <w:r w:rsidR="00DF032A" w:rsidRPr="00F85CFF">
        <w:t>3</w:t>
      </w:r>
      <w:r w:rsidR="00F85CFF" w:rsidRPr="00F85CFF">
        <w:t>6</w:t>
      </w:r>
      <w:r w:rsidR="007B04C5" w:rsidRPr="00F85CFF">
        <w:t xml:space="preserve"> service providers notified the OSP about using an unauthorised restrictive intervention compared to </w:t>
      </w:r>
      <w:r w:rsidR="00F85CFF" w:rsidRPr="00F85CFF">
        <w:t>31</w:t>
      </w:r>
      <w:r w:rsidR="007B04C5" w:rsidRPr="00F85CFF">
        <w:t xml:space="preserve"> in the previous reporting period</w:t>
      </w:r>
      <w:r>
        <w:t>,</w:t>
      </w:r>
      <w:r w:rsidR="007B04C5" w:rsidRPr="00F85CFF">
        <w:t xml:space="preserve"> representing a</w:t>
      </w:r>
      <w:r w:rsidR="00DF032A" w:rsidRPr="00F85CFF">
        <w:t xml:space="preserve"> </w:t>
      </w:r>
      <w:r w:rsidR="00F85CFF" w:rsidRPr="00F85CFF">
        <w:t>15</w:t>
      </w:r>
      <w:r w:rsidR="007B04C5" w:rsidRPr="00F85CFF">
        <w:t>% increase</w:t>
      </w:r>
      <w:r>
        <w:t>. During 2023-2024 additional NDIS registered and unregistered providers entered the market</w:t>
      </w:r>
      <w:r w:rsidR="00715F28">
        <w:t>. N</w:t>
      </w:r>
      <w:r w:rsidR="0089346F">
        <w:t xml:space="preserve">DIS data </w:t>
      </w:r>
      <w:r w:rsidR="009E3DC3">
        <w:t>indicate a minimum 38</w:t>
      </w:r>
      <w:r w:rsidR="00FA296B">
        <w:t>% increase in NDIS registered providers in Tasmania</w:t>
      </w:r>
      <w:r w:rsidR="00174B9F">
        <w:t xml:space="preserve"> over 2</w:t>
      </w:r>
      <w:r w:rsidR="00CA112C">
        <w:t>023-2024</w:t>
      </w:r>
      <w:r w:rsidR="00FA296B">
        <w:t>.</w:t>
      </w:r>
      <w:r w:rsidR="00CA112C">
        <w:t xml:space="preserve"> </w:t>
      </w:r>
      <w:r w:rsidR="00CF1B10">
        <w:t xml:space="preserve">Data in relation to unregistered providers </w:t>
      </w:r>
      <w:r w:rsidR="00DB7FC9">
        <w:t xml:space="preserve">is unknown however </w:t>
      </w:r>
      <w:r w:rsidR="00713DF1">
        <w:t xml:space="preserve">six </w:t>
      </w:r>
      <w:r w:rsidR="00634430">
        <w:t xml:space="preserve">previously unknown </w:t>
      </w:r>
      <w:r w:rsidR="00DB7FC9">
        <w:t>unregistered providers sought authorisation for</w:t>
      </w:r>
      <w:r w:rsidR="00F128B1">
        <w:t xml:space="preserve"> the use of unauthorised restrictive practices</w:t>
      </w:r>
      <w:r w:rsidR="00713DF1">
        <w:t xml:space="preserve"> in 2023-2024</w:t>
      </w:r>
      <w:r w:rsidR="007307F1">
        <w:t xml:space="preserve">. </w:t>
      </w:r>
    </w:p>
    <w:p w14:paraId="1499FB3C" w14:textId="77777777" w:rsidR="00E02B2E" w:rsidRPr="004F1ABF" w:rsidRDefault="00E02B2E" w:rsidP="00F23292">
      <w:pPr>
        <w:pStyle w:val="Heading3"/>
        <w:spacing w:before="0"/>
        <w:rPr>
          <w:rFonts w:cs="Arial"/>
        </w:rPr>
      </w:pPr>
      <w:bookmarkStart w:id="29" w:name="_Toc183610781"/>
      <w:bookmarkStart w:id="30" w:name="_Toc185331733"/>
      <w:r w:rsidRPr="00AF39C4">
        <w:rPr>
          <w:rFonts w:cs="Arial"/>
        </w:rPr>
        <w:t>3.5</w:t>
      </w:r>
      <w:r w:rsidRPr="00AF39C4">
        <w:rPr>
          <w:rFonts w:cs="Arial"/>
        </w:rPr>
        <w:tab/>
        <w:t>Consultations</w:t>
      </w:r>
      <w:bookmarkEnd w:id="29"/>
      <w:bookmarkEnd w:id="30"/>
    </w:p>
    <w:p w14:paraId="36FBAA5E" w14:textId="72F2DBA4" w:rsidR="00C05BF3" w:rsidRDefault="00C05BF3" w:rsidP="00F23292">
      <w:r w:rsidRPr="00E372B0">
        <w:t xml:space="preserve">The OSP team responded and gave advice in relation to </w:t>
      </w:r>
      <w:r w:rsidR="00C50184" w:rsidRPr="00E372B0">
        <w:t>1</w:t>
      </w:r>
      <w:r w:rsidR="004F1ABF" w:rsidRPr="00E372B0">
        <w:t>602</w:t>
      </w:r>
      <w:r w:rsidRPr="00E372B0">
        <w:t xml:space="preserve"> (</w:t>
      </w:r>
      <w:r w:rsidR="00C50184" w:rsidRPr="00E372B0">
        <w:t>6</w:t>
      </w:r>
      <w:r w:rsidR="00DE57A0" w:rsidRPr="00E372B0">
        <w:t>72</w:t>
      </w:r>
      <w:r w:rsidRPr="00E372B0">
        <w:t xml:space="preserve">) </w:t>
      </w:r>
      <w:r w:rsidR="004F1ABF" w:rsidRPr="00E372B0">
        <w:t xml:space="preserve">telephone and email </w:t>
      </w:r>
      <w:r w:rsidRPr="00E372B0">
        <w:t>enquires relating to restrictive interventions and related topics in the current reporting period</w:t>
      </w:r>
      <w:r w:rsidR="005418F6" w:rsidRPr="00E372B0">
        <w:t>, representing a</w:t>
      </w:r>
      <w:r w:rsidR="00BC6F2A" w:rsidRPr="00E372B0">
        <w:t>n overall increase of</w:t>
      </w:r>
      <w:r w:rsidR="005418F6" w:rsidRPr="00E372B0">
        <w:t xml:space="preserve"> 13</w:t>
      </w:r>
      <w:r w:rsidR="00BC6F2A" w:rsidRPr="00E372B0">
        <w:t>8</w:t>
      </w:r>
      <w:r w:rsidR="005418F6">
        <w:t xml:space="preserve">% </w:t>
      </w:r>
      <w:r w:rsidR="00BC6F2A">
        <w:t xml:space="preserve">compared to </w:t>
      </w:r>
      <w:r w:rsidR="005418F6">
        <w:t>the previous reporting period</w:t>
      </w:r>
      <w:r w:rsidRPr="004F1ABF">
        <w:t>. T</w:t>
      </w:r>
      <w:r w:rsidR="005418F6">
        <w:t xml:space="preserve">able 4 </w:t>
      </w:r>
      <w:r w:rsidRPr="004F1ABF">
        <w:t>below shows the number of consultations in common categories of enquiry.</w:t>
      </w:r>
    </w:p>
    <w:p w14:paraId="0B51398B" w14:textId="2076191B" w:rsidR="00940EDC" w:rsidRPr="00D81962" w:rsidRDefault="00350879" w:rsidP="00F23292">
      <w:r w:rsidRPr="00482B77">
        <w:t xml:space="preserve">During 2023-2024, </w:t>
      </w:r>
      <w:r w:rsidR="00143F89" w:rsidRPr="00482B77">
        <w:t xml:space="preserve">each disability service provider using approved restrictive practices </w:t>
      </w:r>
      <w:r w:rsidR="00B53502" w:rsidRPr="00482B77">
        <w:t xml:space="preserve">was allocated </w:t>
      </w:r>
      <w:r w:rsidR="00143F89" w:rsidRPr="00482B77">
        <w:t>to a member of the OSP</w:t>
      </w:r>
      <w:r w:rsidR="00B53502" w:rsidRPr="00482B77">
        <w:t xml:space="preserve">, </w:t>
      </w:r>
      <w:r w:rsidR="00482B77" w:rsidRPr="00482B77">
        <w:t>as</w:t>
      </w:r>
      <w:r w:rsidR="00B53502" w:rsidRPr="00482B77">
        <w:t xml:space="preserve"> their primary contact. The increase in consultations, and subsequent decrease in need for training (see 3.6)</w:t>
      </w:r>
      <w:r w:rsidR="00482B77" w:rsidRPr="00482B77">
        <w:t>,</w:t>
      </w:r>
      <w:r w:rsidR="00B53502" w:rsidRPr="00482B77">
        <w:t xml:space="preserve"> </w:t>
      </w:r>
      <w:r w:rsidR="00482B77" w:rsidRPr="00482B77">
        <w:t xml:space="preserve">is likely </w:t>
      </w:r>
      <w:r w:rsidR="00B53502" w:rsidRPr="00482B77">
        <w:t>attributable to th</w:t>
      </w:r>
      <w:r w:rsidR="00151E25" w:rsidRPr="00482B77">
        <w:t xml:space="preserve">e </w:t>
      </w:r>
      <w:r w:rsidR="00482B77" w:rsidRPr="00482B77">
        <w:t xml:space="preserve">provider-centric support. </w:t>
      </w:r>
      <w:r w:rsidR="00940EDC" w:rsidRPr="00482B77">
        <w:t xml:space="preserve">The increased </w:t>
      </w:r>
      <w:r w:rsidR="00482B77" w:rsidRPr="00482B77">
        <w:t>approachability</w:t>
      </w:r>
      <w:r w:rsidR="00940EDC" w:rsidRPr="00482B77">
        <w:t xml:space="preserve"> of the OSP has led to disability service providers and behaviour support practitioners </w:t>
      </w:r>
      <w:r w:rsidR="00DE57A0">
        <w:t xml:space="preserve">supporting persons with disability to </w:t>
      </w:r>
      <w:r w:rsidR="00940EDC" w:rsidRPr="00482B77">
        <w:t>seek advice about topics over and above the use of restrictive interventions and this includes guidance about positive behaviour support (PBS) and feedback relating to policy/procedure issues and documentation.</w:t>
      </w:r>
      <w:r w:rsidR="00940EDC" w:rsidRPr="00D81962">
        <w:t xml:space="preserve"> </w:t>
      </w:r>
    </w:p>
    <w:p w14:paraId="5E5B97A3" w14:textId="77777777" w:rsidR="004C1FCC" w:rsidRDefault="004C1FCC">
      <w:r>
        <w:br w:type="page"/>
      </w:r>
    </w:p>
    <w:tbl>
      <w:tblPr>
        <w:tblStyle w:val="GridTable2"/>
        <w:tblW w:w="9070" w:type="dxa"/>
        <w:tblLayout w:type="fixed"/>
        <w:tblCellMar>
          <w:top w:w="113" w:type="dxa"/>
          <w:bottom w:w="113" w:type="dxa"/>
        </w:tblCellMar>
        <w:tblLook w:val="04A0" w:firstRow="1" w:lastRow="0" w:firstColumn="1" w:lastColumn="0" w:noHBand="0" w:noVBand="1"/>
      </w:tblPr>
      <w:tblGrid>
        <w:gridCol w:w="6237"/>
        <w:gridCol w:w="2833"/>
      </w:tblGrid>
      <w:tr w:rsidR="00EA3838" w:rsidRPr="00442AFB" w14:paraId="4FE95864" w14:textId="77777777" w:rsidTr="005F5C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0" w:type="dxa"/>
            <w:gridSpan w:val="2"/>
          </w:tcPr>
          <w:p w14:paraId="0144D8CB" w14:textId="7313EC42" w:rsidR="00EA3838" w:rsidRPr="00EA3838" w:rsidRDefault="00EA3838" w:rsidP="00EA3838">
            <w:pPr>
              <w:pStyle w:val="Heading5"/>
              <w:jc w:val="center"/>
              <w:rPr>
                <w:b/>
                <w:bCs/>
                <w:sz w:val="24"/>
                <w:szCs w:val="24"/>
              </w:rPr>
            </w:pPr>
            <w:r w:rsidRPr="00EA3838">
              <w:rPr>
                <w:sz w:val="24"/>
                <w:szCs w:val="24"/>
              </w:rPr>
              <w:t xml:space="preserve">Breakdown of category of consultations </w:t>
            </w:r>
          </w:p>
          <w:p w14:paraId="55FC6CDE" w14:textId="1EFBB42F" w:rsidR="00EA3838" w:rsidRPr="00EA3838" w:rsidRDefault="00EA3838" w:rsidP="00EA3838">
            <w:pPr>
              <w:pStyle w:val="Heading5"/>
              <w:jc w:val="center"/>
              <w:rPr>
                <w:i/>
                <w:iCs/>
              </w:rPr>
            </w:pPr>
            <w:r w:rsidRPr="00EA3838">
              <w:rPr>
                <w:sz w:val="24"/>
                <w:szCs w:val="24"/>
              </w:rPr>
              <w:t>(2022-23 in brackets)</w:t>
            </w:r>
          </w:p>
        </w:tc>
      </w:tr>
      <w:tr w:rsidR="00ED03EF" w:rsidRPr="00442AFB" w14:paraId="3BCE6A21" w14:textId="77777777" w:rsidTr="00ED0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45F0C2B4" w14:textId="088655E5" w:rsidR="00ED03EF" w:rsidRPr="00A238E8" w:rsidRDefault="00ED03EF" w:rsidP="00ED03EF">
            <w:pPr>
              <w:rPr>
                <w:b w:val="0"/>
                <w:bCs w:val="0"/>
              </w:rPr>
            </w:pPr>
            <w:r>
              <w:rPr>
                <w:b w:val="0"/>
                <w:bCs w:val="0"/>
              </w:rPr>
              <w:t>Site visits by request</w:t>
            </w:r>
          </w:p>
        </w:tc>
        <w:tc>
          <w:tcPr>
            <w:tcW w:w="2833" w:type="dxa"/>
          </w:tcPr>
          <w:p w14:paraId="099F355A" w14:textId="7121EE82" w:rsidR="00ED03EF" w:rsidRPr="00665376" w:rsidRDefault="00ED03EF" w:rsidP="00ED03EF">
            <w:pPr>
              <w:cnfStyle w:val="000000100000" w:firstRow="0" w:lastRow="0" w:firstColumn="0" w:lastColumn="0" w:oddVBand="0" w:evenVBand="0" w:oddHBand="1" w:evenHBand="0" w:firstRowFirstColumn="0" w:firstRowLastColumn="0" w:lastRowFirstColumn="0" w:lastRowLastColumn="0"/>
            </w:pPr>
            <w:r w:rsidRPr="004F1ABF">
              <w:rPr>
                <w:rFonts w:eastAsia="Times New Roman" w:cs="Arial"/>
              </w:rPr>
              <w:t xml:space="preserve">64 (40) </w:t>
            </w:r>
          </w:p>
        </w:tc>
      </w:tr>
      <w:tr w:rsidR="00ED03EF" w:rsidRPr="00442AFB" w14:paraId="6FEEEF77" w14:textId="77777777" w:rsidTr="00ED03EF">
        <w:tc>
          <w:tcPr>
            <w:cnfStyle w:val="001000000000" w:firstRow="0" w:lastRow="0" w:firstColumn="1" w:lastColumn="0" w:oddVBand="0" w:evenVBand="0" w:oddHBand="0" w:evenHBand="0" w:firstRowFirstColumn="0" w:firstRowLastColumn="0" w:lastRowFirstColumn="0" w:lastRowLastColumn="0"/>
            <w:tcW w:w="6237" w:type="dxa"/>
          </w:tcPr>
          <w:p w14:paraId="78CA42CF" w14:textId="3EF41E8E" w:rsidR="00ED03EF" w:rsidRPr="004633A0" w:rsidRDefault="00ED03EF" w:rsidP="00ED03EF">
            <w:pPr>
              <w:rPr>
                <w:b w:val="0"/>
                <w:bCs w:val="0"/>
              </w:rPr>
            </w:pPr>
            <w:r>
              <w:rPr>
                <w:b w:val="0"/>
                <w:bCs w:val="0"/>
              </w:rPr>
              <w:t>Personal</w:t>
            </w:r>
          </w:p>
        </w:tc>
        <w:tc>
          <w:tcPr>
            <w:tcW w:w="2833" w:type="dxa"/>
          </w:tcPr>
          <w:p w14:paraId="4738FA81" w14:textId="3DC7E2BE" w:rsidR="00ED03EF" w:rsidRPr="00665376" w:rsidRDefault="00ED03EF" w:rsidP="00ED03EF">
            <w:pPr>
              <w:cnfStyle w:val="000000000000" w:firstRow="0" w:lastRow="0" w:firstColumn="0" w:lastColumn="0" w:oddVBand="0" w:evenVBand="0" w:oddHBand="0" w:evenHBand="0" w:firstRowFirstColumn="0" w:firstRowLastColumn="0" w:lastRowFirstColumn="0" w:lastRowLastColumn="0"/>
            </w:pPr>
            <w:r w:rsidRPr="004F1ABF">
              <w:rPr>
                <w:rFonts w:eastAsia="Times New Roman" w:cs="Arial"/>
              </w:rPr>
              <w:t>560 (187)</w:t>
            </w:r>
          </w:p>
        </w:tc>
      </w:tr>
      <w:tr w:rsidR="00ED03EF" w:rsidRPr="00442AFB" w14:paraId="039BB64D" w14:textId="77777777" w:rsidTr="00ED0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3C65A8CF" w14:textId="105D666F" w:rsidR="00ED03EF" w:rsidRPr="004633A0" w:rsidRDefault="00ED03EF" w:rsidP="00ED03EF">
            <w:pPr>
              <w:rPr>
                <w:b w:val="0"/>
                <w:bCs w:val="0"/>
              </w:rPr>
            </w:pPr>
            <w:r>
              <w:rPr>
                <w:b w:val="0"/>
                <w:bCs w:val="0"/>
              </w:rPr>
              <w:t>Environmental</w:t>
            </w:r>
          </w:p>
        </w:tc>
        <w:tc>
          <w:tcPr>
            <w:tcW w:w="2833" w:type="dxa"/>
          </w:tcPr>
          <w:p w14:paraId="249BAF2A" w14:textId="3852740E" w:rsidR="00ED03EF" w:rsidRPr="00665376" w:rsidRDefault="00ED03EF" w:rsidP="00ED03EF">
            <w:pPr>
              <w:cnfStyle w:val="000000100000" w:firstRow="0" w:lastRow="0" w:firstColumn="0" w:lastColumn="0" w:oddVBand="0" w:evenVBand="0" w:oddHBand="1" w:evenHBand="0" w:firstRowFirstColumn="0" w:firstRowLastColumn="0" w:lastRowFirstColumn="0" w:lastRowLastColumn="0"/>
            </w:pPr>
            <w:r w:rsidRPr="004F1ABF">
              <w:rPr>
                <w:rFonts w:eastAsia="Times New Roman" w:cs="Arial"/>
              </w:rPr>
              <w:t>355 (100)</w:t>
            </w:r>
          </w:p>
        </w:tc>
      </w:tr>
      <w:tr w:rsidR="00ED03EF" w:rsidRPr="00442AFB" w14:paraId="12A74EFC" w14:textId="77777777" w:rsidTr="00ED03EF">
        <w:tc>
          <w:tcPr>
            <w:cnfStyle w:val="001000000000" w:firstRow="0" w:lastRow="0" w:firstColumn="1" w:lastColumn="0" w:oddVBand="0" w:evenVBand="0" w:oddHBand="0" w:evenHBand="0" w:firstRowFirstColumn="0" w:firstRowLastColumn="0" w:lastRowFirstColumn="0" w:lastRowLastColumn="0"/>
            <w:tcW w:w="6237" w:type="dxa"/>
          </w:tcPr>
          <w:p w14:paraId="07AD6BDD" w14:textId="2A7E4CF2" w:rsidR="00ED03EF" w:rsidRPr="004633A0" w:rsidRDefault="00ED03EF" w:rsidP="00ED03EF">
            <w:pPr>
              <w:rPr>
                <w:b w:val="0"/>
                <w:bCs w:val="0"/>
              </w:rPr>
            </w:pPr>
            <w:r>
              <w:rPr>
                <w:b w:val="0"/>
                <w:bCs w:val="0"/>
              </w:rPr>
              <w:t>Use of Medication</w:t>
            </w:r>
          </w:p>
        </w:tc>
        <w:tc>
          <w:tcPr>
            <w:tcW w:w="2833" w:type="dxa"/>
          </w:tcPr>
          <w:p w14:paraId="401F7A65" w14:textId="4E3B1F8B" w:rsidR="00ED03EF" w:rsidRPr="00665376" w:rsidRDefault="00ED03EF" w:rsidP="00ED03EF">
            <w:pPr>
              <w:cnfStyle w:val="000000000000" w:firstRow="0" w:lastRow="0" w:firstColumn="0" w:lastColumn="0" w:oddVBand="0" w:evenVBand="0" w:oddHBand="0" w:evenHBand="0" w:firstRowFirstColumn="0" w:firstRowLastColumn="0" w:lastRowFirstColumn="0" w:lastRowLastColumn="0"/>
            </w:pPr>
            <w:r w:rsidRPr="004F1ABF">
              <w:rPr>
                <w:rFonts w:eastAsia="Times New Roman" w:cs="Arial"/>
              </w:rPr>
              <w:t>79 (47)</w:t>
            </w:r>
          </w:p>
        </w:tc>
      </w:tr>
      <w:tr w:rsidR="00ED03EF" w:rsidRPr="00442AFB" w14:paraId="4FBEF0BB" w14:textId="77777777" w:rsidTr="00ED0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378DDF4E" w14:textId="1BE56753" w:rsidR="00ED03EF" w:rsidRPr="004633A0" w:rsidRDefault="00ED03EF" w:rsidP="00ED03EF">
            <w:pPr>
              <w:rPr>
                <w:b w:val="0"/>
                <w:bCs w:val="0"/>
              </w:rPr>
            </w:pPr>
            <w:r>
              <w:rPr>
                <w:b w:val="0"/>
                <w:bCs w:val="0"/>
              </w:rPr>
              <w:t>Policy</w:t>
            </w:r>
          </w:p>
        </w:tc>
        <w:tc>
          <w:tcPr>
            <w:tcW w:w="2833" w:type="dxa"/>
          </w:tcPr>
          <w:p w14:paraId="0DA360A2" w14:textId="4D35E4E6" w:rsidR="00ED03EF" w:rsidRPr="00665376" w:rsidRDefault="00ED03EF" w:rsidP="00ED03EF">
            <w:pPr>
              <w:cnfStyle w:val="000000100000" w:firstRow="0" w:lastRow="0" w:firstColumn="0" w:lastColumn="0" w:oddVBand="0" w:evenVBand="0" w:oddHBand="1" w:evenHBand="0" w:firstRowFirstColumn="0" w:firstRowLastColumn="0" w:lastRowFirstColumn="0" w:lastRowLastColumn="0"/>
            </w:pPr>
            <w:r w:rsidRPr="004F1ABF">
              <w:rPr>
                <w:rFonts w:eastAsia="Times New Roman" w:cs="Arial"/>
              </w:rPr>
              <w:t>254 (132)</w:t>
            </w:r>
          </w:p>
        </w:tc>
      </w:tr>
      <w:tr w:rsidR="00ED03EF" w:rsidRPr="00442AFB" w14:paraId="25BB08A2" w14:textId="77777777" w:rsidTr="00ED03EF">
        <w:tc>
          <w:tcPr>
            <w:cnfStyle w:val="001000000000" w:firstRow="0" w:lastRow="0" w:firstColumn="1" w:lastColumn="0" w:oddVBand="0" w:evenVBand="0" w:oddHBand="0" w:evenHBand="0" w:firstRowFirstColumn="0" w:firstRowLastColumn="0" w:lastRowFirstColumn="0" w:lastRowLastColumn="0"/>
            <w:tcW w:w="6237" w:type="dxa"/>
          </w:tcPr>
          <w:p w14:paraId="6B261384" w14:textId="52F39FC6" w:rsidR="00ED03EF" w:rsidRPr="004633A0" w:rsidRDefault="00ED03EF" w:rsidP="00ED03EF">
            <w:pPr>
              <w:rPr>
                <w:b w:val="0"/>
                <w:bCs w:val="0"/>
              </w:rPr>
            </w:pPr>
            <w:r>
              <w:rPr>
                <w:b w:val="0"/>
                <w:bCs w:val="0"/>
              </w:rPr>
              <w:t>Therapeutic</w:t>
            </w:r>
          </w:p>
        </w:tc>
        <w:tc>
          <w:tcPr>
            <w:tcW w:w="2833" w:type="dxa"/>
          </w:tcPr>
          <w:p w14:paraId="21E9E9CC" w14:textId="279B1762" w:rsidR="00ED03EF" w:rsidRPr="00665376" w:rsidRDefault="00ED03EF" w:rsidP="00ED03EF">
            <w:pPr>
              <w:cnfStyle w:val="000000000000" w:firstRow="0" w:lastRow="0" w:firstColumn="0" w:lastColumn="0" w:oddVBand="0" w:evenVBand="0" w:oddHBand="0" w:evenHBand="0" w:firstRowFirstColumn="0" w:firstRowLastColumn="0" w:lastRowFirstColumn="0" w:lastRowLastColumn="0"/>
            </w:pPr>
            <w:r w:rsidRPr="004F1ABF">
              <w:rPr>
                <w:rFonts w:eastAsia="Times New Roman" w:cs="Arial"/>
              </w:rPr>
              <w:t>87 (45)</w:t>
            </w:r>
          </w:p>
        </w:tc>
      </w:tr>
      <w:tr w:rsidR="00ED03EF" w:rsidRPr="00442AFB" w14:paraId="02B8AFF3" w14:textId="77777777" w:rsidTr="00ED0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236E7A7C" w14:textId="73A86964" w:rsidR="00ED03EF" w:rsidRDefault="00ED03EF" w:rsidP="00ED03EF">
            <w:pPr>
              <w:rPr>
                <w:b w:val="0"/>
                <w:bCs w:val="0"/>
              </w:rPr>
            </w:pPr>
            <w:r>
              <w:rPr>
                <w:b w:val="0"/>
                <w:bCs w:val="0"/>
              </w:rPr>
              <w:t>Positive Behaviour Support</w:t>
            </w:r>
          </w:p>
        </w:tc>
        <w:tc>
          <w:tcPr>
            <w:tcW w:w="2833" w:type="dxa"/>
          </w:tcPr>
          <w:p w14:paraId="605D9F64" w14:textId="03DCDD8D" w:rsidR="00ED03EF" w:rsidRPr="00665376" w:rsidRDefault="00ED03EF" w:rsidP="00ED03EF">
            <w:pPr>
              <w:cnfStyle w:val="000000100000" w:firstRow="0" w:lastRow="0" w:firstColumn="0" w:lastColumn="0" w:oddVBand="0" w:evenVBand="0" w:oddHBand="1" w:evenHBand="0" w:firstRowFirstColumn="0" w:firstRowLastColumn="0" w:lastRowFirstColumn="0" w:lastRowLastColumn="0"/>
            </w:pPr>
            <w:r w:rsidRPr="004F1ABF">
              <w:rPr>
                <w:rFonts w:eastAsia="Times New Roman" w:cs="Arial"/>
              </w:rPr>
              <w:t>131 (69)</w:t>
            </w:r>
          </w:p>
        </w:tc>
      </w:tr>
      <w:tr w:rsidR="00ED03EF" w:rsidRPr="00442AFB" w14:paraId="6B6C9ED1" w14:textId="77777777" w:rsidTr="00ED03EF">
        <w:tc>
          <w:tcPr>
            <w:cnfStyle w:val="001000000000" w:firstRow="0" w:lastRow="0" w:firstColumn="1" w:lastColumn="0" w:oddVBand="0" w:evenVBand="0" w:oddHBand="0" w:evenHBand="0" w:firstRowFirstColumn="0" w:firstRowLastColumn="0" w:lastRowFirstColumn="0" w:lastRowLastColumn="0"/>
            <w:tcW w:w="6237" w:type="dxa"/>
          </w:tcPr>
          <w:p w14:paraId="35E3BE3D" w14:textId="040114D7" w:rsidR="00ED03EF" w:rsidRDefault="00ED03EF" w:rsidP="00ED03EF">
            <w:pPr>
              <w:rPr>
                <w:b w:val="0"/>
                <w:bCs w:val="0"/>
              </w:rPr>
            </w:pPr>
            <w:r>
              <w:rPr>
                <w:b w:val="0"/>
                <w:bCs w:val="0"/>
              </w:rPr>
              <w:t>Transport</w:t>
            </w:r>
          </w:p>
        </w:tc>
        <w:tc>
          <w:tcPr>
            <w:tcW w:w="2833" w:type="dxa"/>
          </w:tcPr>
          <w:p w14:paraId="7D0607F8" w14:textId="4B2C209F" w:rsidR="00ED03EF" w:rsidRPr="00665376" w:rsidRDefault="00ED03EF" w:rsidP="00ED03EF">
            <w:pPr>
              <w:cnfStyle w:val="000000000000" w:firstRow="0" w:lastRow="0" w:firstColumn="0" w:lastColumn="0" w:oddVBand="0" w:evenVBand="0" w:oddHBand="0" w:evenHBand="0" w:firstRowFirstColumn="0" w:firstRowLastColumn="0" w:lastRowFirstColumn="0" w:lastRowLastColumn="0"/>
            </w:pPr>
            <w:r w:rsidRPr="004F1ABF">
              <w:rPr>
                <w:rFonts w:eastAsia="Times New Roman" w:cs="Arial"/>
              </w:rPr>
              <w:t>67 (44)</w:t>
            </w:r>
          </w:p>
        </w:tc>
      </w:tr>
      <w:tr w:rsidR="00ED03EF" w:rsidRPr="00442AFB" w14:paraId="44423419" w14:textId="77777777" w:rsidTr="00ED0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Pr>
          <w:p w14:paraId="407E54C2" w14:textId="0F9D459A" w:rsidR="00ED03EF" w:rsidRDefault="00ED03EF" w:rsidP="00ED03EF">
            <w:pPr>
              <w:rPr>
                <w:b w:val="0"/>
                <w:bCs w:val="0"/>
              </w:rPr>
            </w:pPr>
            <w:r>
              <w:rPr>
                <w:b w:val="0"/>
                <w:bCs w:val="0"/>
              </w:rPr>
              <w:t>Audit</w:t>
            </w:r>
          </w:p>
        </w:tc>
        <w:tc>
          <w:tcPr>
            <w:tcW w:w="2833" w:type="dxa"/>
          </w:tcPr>
          <w:p w14:paraId="498667A0" w14:textId="76EC48A7" w:rsidR="00ED03EF" w:rsidRPr="00665376" w:rsidRDefault="00ED03EF" w:rsidP="00ED03EF">
            <w:pPr>
              <w:cnfStyle w:val="000000100000" w:firstRow="0" w:lastRow="0" w:firstColumn="0" w:lastColumn="0" w:oddVBand="0" w:evenVBand="0" w:oddHBand="1" w:evenHBand="0" w:firstRowFirstColumn="0" w:firstRowLastColumn="0" w:lastRowFirstColumn="0" w:lastRowLastColumn="0"/>
            </w:pPr>
            <w:r w:rsidRPr="004F1ABF">
              <w:rPr>
                <w:rFonts w:eastAsia="Times New Roman" w:cs="Arial"/>
              </w:rPr>
              <w:t>5 (8)</w:t>
            </w:r>
          </w:p>
        </w:tc>
      </w:tr>
      <w:tr w:rsidR="00ED03EF" w:rsidRPr="00442AFB" w14:paraId="6D1CCED4" w14:textId="77777777" w:rsidTr="00ED03EF">
        <w:tc>
          <w:tcPr>
            <w:cnfStyle w:val="001000000000" w:firstRow="0" w:lastRow="0" w:firstColumn="1" w:lastColumn="0" w:oddVBand="0" w:evenVBand="0" w:oddHBand="0" w:evenHBand="0" w:firstRowFirstColumn="0" w:firstRowLastColumn="0" w:lastRowFirstColumn="0" w:lastRowLastColumn="0"/>
            <w:tcW w:w="6237" w:type="dxa"/>
          </w:tcPr>
          <w:p w14:paraId="1346FA4F" w14:textId="161445DD" w:rsidR="00ED03EF" w:rsidRPr="004633A0" w:rsidRDefault="00ED03EF" w:rsidP="00ED03EF">
            <w:pPr>
              <w:rPr>
                <w:b w:val="0"/>
                <w:bCs w:val="0"/>
              </w:rPr>
            </w:pPr>
            <w:r>
              <w:rPr>
                <w:b w:val="0"/>
                <w:bCs w:val="0"/>
              </w:rPr>
              <w:t>Overall Total</w:t>
            </w:r>
          </w:p>
        </w:tc>
        <w:tc>
          <w:tcPr>
            <w:tcW w:w="2833" w:type="dxa"/>
          </w:tcPr>
          <w:p w14:paraId="7FD0175A" w14:textId="61AC2727" w:rsidR="00ED03EF" w:rsidRPr="00665376" w:rsidRDefault="00ED03EF" w:rsidP="00ED03EF">
            <w:pPr>
              <w:cnfStyle w:val="000000000000" w:firstRow="0" w:lastRow="0" w:firstColumn="0" w:lastColumn="0" w:oddVBand="0" w:evenVBand="0" w:oddHBand="0" w:evenHBand="0" w:firstRowFirstColumn="0" w:firstRowLastColumn="0" w:lastRowFirstColumn="0" w:lastRowLastColumn="0"/>
            </w:pPr>
            <w:r w:rsidRPr="004F1ABF">
              <w:rPr>
                <w:rFonts w:eastAsia="Times New Roman" w:cs="Arial"/>
              </w:rPr>
              <w:t>1602 (672)</w:t>
            </w:r>
          </w:p>
        </w:tc>
      </w:tr>
    </w:tbl>
    <w:p w14:paraId="3925F62C" w14:textId="77777777" w:rsidR="00EA3838" w:rsidRPr="00F976BC" w:rsidRDefault="00EA3838" w:rsidP="00EA3838">
      <w:pPr>
        <w:tabs>
          <w:tab w:val="left" w:pos="567"/>
        </w:tabs>
        <w:spacing w:after="240"/>
        <w:jc w:val="both"/>
        <w:rPr>
          <w:rFonts w:eastAsia="Times New Roman" w:cs="Arial"/>
          <w:sz w:val="20"/>
          <w:szCs w:val="20"/>
        </w:rPr>
      </w:pPr>
      <w:r w:rsidRPr="00F976BC">
        <w:rPr>
          <w:rFonts w:eastAsia="Times New Roman" w:cs="Arial"/>
          <w:sz w:val="20"/>
          <w:szCs w:val="20"/>
        </w:rPr>
        <w:t>Table 4: Breakdown of category of consultations (2022-23 in brackets).</w:t>
      </w:r>
    </w:p>
    <w:p w14:paraId="7173AD93" w14:textId="76377663" w:rsidR="00E02B2E" w:rsidRPr="001519B3" w:rsidRDefault="00E02B2E" w:rsidP="00E02B2E">
      <w:pPr>
        <w:pStyle w:val="Heading3"/>
        <w:rPr>
          <w:rFonts w:cs="Arial"/>
        </w:rPr>
      </w:pPr>
      <w:bookmarkStart w:id="31" w:name="_Toc183610782"/>
      <w:bookmarkStart w:id="32" w:name="_Toc185331734"/>
      <w:r w:rsidRPr="001519B3">
        <w:rPr>
          <w:rFonts w:cs="Arial"/>
        </w:rPr>
        <w:t>3.6</w:t>
      </w:r>
      <w:r w:rsidRPr="001519B3">
        <w:rPr>
          <w:rFonts w:cs="Arial"/>
        </w:rPr>
        <w:tab/>
        <w:t>Information and Education</w:t>
      </w:r>
      <w:bookmarkEnd w:id="31"/>
      <w:bookmarkEnd w:id="32"/>
    </w:p>
    <w:p w14:paraId="69A256FF" w14:textId="5F8F6C74" w:rsidR="00FA75F5" w:rsidRPr="00F11C2C" w:rsidRDefault="00DF4382" w:rsidP="00E372B0">
      <w:r>
        <w:t xml:space="preserve">In </w:t>
      </w:r>
      <w:r w:rsidR="00FA75F5" w:rsidRPr="001519B3">
        <w:t>202</w:t>
      </w:r>
      <w:r w:rsidR="003200C0" w:rsidRPr="001519B3">
        <w:t>3</w:t>
      </w:r>
      <w:r w:rsidR="004272BF" w:rsidRPr="001519B3">
        <w:t>-</w:t>
      </w:r>
      <w:r w:rsidR="00FA75F5" w:rsidRPr="001519B3">
        <w:t>202</w:t>
      </w:r>
      <w:r w:rsidR="003200C0" w:rsidRPr="001519B3">
        <w:t>4</w:t>
      </w:r>
      <w:r w:rsidR="00FA75F5" w:rsidRPr="001519B3">
        <w:t xml:space="preserve"> the OSP present</w:t>
      </w:r>
      <w:r>
        <w:t>ed</w:t>
      </w:r>
      <w:r w:rsidR="00FA75F5" w:rsidRPr="001519B3">
        <w:t xml:space="preserve"> </w:t>
      </w:r>
      <w:r w:rsidR="001519B3" w:rsidRPr="001519B3">
        <w:t xml:space="preserve">57 </w:t>
      </w:r>
      <w:r w:rsidR="00FA75F5" w:rsidRPr="001519B3">
        <w:t>information</w:t>
      </w:r>
      <w:r>
        <w:t xml:space="preserve"> and education </w:t>
      </w:r>
      <w:r w:rsidR="00FA75F5" w:rsidRPr="001519B3">
        <w:t xml:space="preserve">sessions to </w:t>
      </w:r>
      <w:r w:rsidR="001519B3" w:rsidRPr="001519B3">
        <w:t>40 g</w:t>
      </w:r>
      <w:r w:rsidR="00FA75F5" w:rsidRPr="001519B3">
        <w:t xml:space="preserve">roups and organisations across </w:t>
      </w:r>
      <w:r>
        <w:t>Tasmania</w:t>
      </w:r>
      <w:r w:rsidR="00FA75F5" w:rsidRPr="001519B3">
        <w:t xml:space="preserve">. These </w:t>
      </w:r>
      <w:r>
        <w:t xml:space="preserve">groups and </w:t>
      </w:r>
      <w:r w:rsidR="00FA75F5" w:rsidRPr="001519B3">
        <w:t xml:space="preserve">organisations were predominantly disability </w:t>
      </w:r>
      <w:r w:rsidR="004272BF" w:rsidRPr="001519B3">
        <w:t>service</w:t>
      </w:r>
      <w:r w:rsidR="00FA75F5" w:rsidRPr="001519B3">
        <w:t xml:space="preserve"> providers but also included </w:t>
      </w:r>
      <w:r>
        <w:t>Tas</w:t>
      </w:r>
      <w:r w:rsidR="00FA75F5" w:rsidRPr="001519B3">
        <w:t xml:space="preserve">TAFE, behaviour support practitioners, </w:t>
      </w:r>
      <w:r w:rsidR="00492425" w:rsidRPr="001519B3">
        <w:t xml:space="preserve">aged care providers </w:t>
      </w:r>
      <w:r w:rsidR="00FA75F5" w:rsidRPr="001519B3">
        <w:t xml:space="preserve">and </w:t>
      </w:r>
      <w:r w:rsidR="00492425" w:rsidRPr="001519B3">
        <w:t>support coordinators</w:t>
      </w:r>
      <w:r w:rsidR="007307F1" w:rsidRPr="001519B3">
        <w:t xml:space="preserve">. </w:t>
      </w:r>
      <w:r w:rsidR="00FA75F5" w:rsidRPr="001519B3">
        <w:t>This activity was a</w:t>
      </w:r>
      <w:r w:rsidR="001519B3" w:rsidRPr="001519B3">
        <w:t xml:space="preserve"> decrease </w:t>
      </w:r>
      <w:r w:rsidR="00FA75F5" w:rsidRPr="001519B3">
        <w:t xml:space="preserve">in the number of sessions and groups compared to the previous reporting period, </w:t>
      </w:r>
      <w:r w:rsidR="001519B3" w:rsidRPr="001519B3">
        <w:t>74</w:t>
      </w:r>
      <w:r w:rsidR="00FA75F5" w:rsidRPr="001519B3">
        <w:t xml:space="preserve"> and </w:t>
      </w:r>
      <w:r w:rsidR="007307F1" w:rsidRPr="001519B3">
        <w:t>44,</w:t>
      </w:r>
      <w:r w:rsidR="00FA75F5" w:rsidRPr="001519B3">
        <w:t xml:space="preserve"> respectively</w:t>
      </w:r>
      <w:r w:rsidR="007307F1" w:rsidRPr="001519B3">
        <w:t xml:space="preserve">. </w:t>
      </w:r>
      <w:r w:rsidR="00FA75F5" w:rsidRPr="001519B3">
        <w:t xml:space="preserve">In </w:t>
      </w:r>
      <w:r w:rsidR="00F25715" w:rsidRPr="001519B3">
        <w:t>addition,</w:t>
      </w:r>
      <w:r w:rsidR="00FA75F5" w:rsidRPr="001519B3">
        <w:t xml:space="preserve"> the total number of people</w:t>
      </w:r>
      <w:r w:rsidR="004272BF" w:rsidRPr="001519B3">
        <w:t xml:space="preserve"> who attended </w:t>
      </w:r>
      <w:r w:rsidR="001519B3" w:rsidRPr="001519B3">
        <w:t>decreased</w:t>
      </w:r>
      <w:r w:rsidR="00F25715" w:rsidRPr="001519B3">
        <w:t xml:space="preserve"> </w:t>
      </w:r>
      <w:r w:rsidR="00FA75F5" w:rsidRPr="001519B3">
        <w:t>from 7</w:t>
      </w:r>
      <w:r w:rsidR="001519B3" w:rsidRPr="001519B3">
        <w:t>52</w:t>
      </w:r>
      <w:r w:rsidR="00FA75F5" w:rsidRPr="001519B3">
        <w:t xml:space="preserve"> </w:t>
      </w:r>
      <w:r w:rsidR="00FA75F5" w:rsidRPr="00F11C2C">
        <w:t>(202</w:t>
      </w:r>
      <w:r w:rsidR="001519B3" w:rsidRPr="00F11C2C">
        <w:t>2</w:t>
      </w:r>
      <w:r w:rsidR="00FA75F5" w:rsidRPr="00F11C2C">
        <w:t>/2</w:t>
      </w:r>
      <w:r w:rsidR="001519B3" w:rsidRPr="00F11C2C">
        <w:t>3</w:t>
      </w:r>
      <w:r w:rsidR="00FA75F5" w:rsidRPr="00F11C2C">
        <w:t xml:space="preserve">) to </w:t>
      </w:r>
      <w:r w:rsidR="001519B3" w:rsidRPr="00F11C2C">
        <w:t>518</w:t>
      </w:r>
      <w:r w:rsidR="00FA75F5" w:rsidRPr="00F11C2C">
        <w:t xml:space="preserve"> (202</w:t>
      </w:r>
      <w:r w:rsidR="001519B3" w:rsidRPr="00F11C2C">
        <w:t>3</w:t>
      </w:r>
      <w:r w:rsidR="00FA75F5" w:rsidRPr="00F11C2C">
        <w:t>/2</w:t>
      </w:r>
      <w:r w:rsidR="001519B3" w:rsidRPr="00F11C2C">
        <w:t>4</w:t>
      </w:r>
      <w:r w:rsidR="00FA75F5" w:rsidRPr="00F11C2C">
        <w:t xml:space="preserve">). </w:t>
      </w:r>
      <w:r>
        <w:t>Information and education were also provided during monthly Communities of Practice (see 4.1.1).</w:t>
      </w:r>
    </w:p>
    <w:p w14:paraId="75059ACA" w14:textId="3281682B" w:rsidR="00FA75F5" w:rsidRDefault="00FA75F5" w:rsidP="00E372B0">
      <w:r w:rsidRPr="00F11C2C">
        <w:t>The core work of the OSP is reviewing and processing applications</w:t>
      </w:r>
      <w:r w:rsidR="00A25083" w:rsidRPr="00F11C2C">
        <w:t>. T</w:t>
      </w:r>
      <w:r w:rsidRPr="00F11C2C">
        <w:t>he</w:t>
      </w:r>
      <w:r w:rsidR="00F11C2C" w:rsidRPr="00F11C2C">
        <w:t xml:space="preserve"> </w:t>
      </w:r>
      <w:r w:rsidR="00DF4382">
        <w:t xml:space="preserve">allocation of a primary contact person to disability support providers and the significant increase in consultations likely attributed to the reduced demand for education. </w:t>
      </w:r>
      <w:r w:rsidRPr="001519B3">
        <w:t>Topics requested by and presented to providers</w:t>
      </w:r>
      <w:r w:rsidR="003A4799" w:rsidRPr="001519B3">
        <w:t xml:space="preserve">, behaviour support practitioners and support coordinators </w:t>
      </w:r>
      <w:r w:rsidRPr="001519B3">
        <w:t xml:space="preserve">were predominantly ‘Restrictive Interventions and Rights’ with </w:t>
      </w:r>
      <w:r w:rsidR="00A25083" w:rsidRPr="001519B3">
        <w:t>several</w:t>
      </w:r>
      <w:r w:rsidRPr="001519B3">
        <w:t xml:space="preserve"> requests for ‘Positive Behaviour Support’</w:t>
      </w:r>
      <w:r w:rsidR="003A4799" w:rsidRPr="001519B3">
        <w:t xml:space="preserve"> from TasTAFE (nursing, disability support &amp; aged care)</w:t>
      </w:r>
      <w:r w:rsidRPr="001519B3">
        <w:t xml:space="preserve">. </w:t>
      </w:r>
    </w:p>
    <w:p w14:paraId="71FA3047" w14:textId="77777777" w:rsidR="00093D2B" w:rsidRPr="001519B3" w:rsidRDefault="00093D2B" w:rsidP="00E372B0">
      <w:pPr>
        <w:pStyle w:val="Heading1"/>
      </w:pPr>
      <w:bookmarkStart w:id="33" w:name="_Toc183610783"/>
      <w:bookmarkStart w:id="34" w:name="_Toc185331735"/>
      <w:bookmarkStart w:id="35" w:name="_Toc534274096"/>
      <w:bookmarkEnd w:id="14"/>
      <w:r w:rsidRPr="001519B3">
        <w:t>4 Key Issues</w:t>
      </w:r>
      <w:bookmarkEnd w:id="33"/>
      <w:bookmarkEnd w:id="34"/>
    </w:p>
    <w:p w14:paraId="261AFA99" w14:textId="77777777" w:rsidR="00093D2B" w:rsidRPr="00436983" w:rsidRDefault="00093D2B" w:rsidP="00F23292">
      <w:pPr>
        <w:pStyle w:val="Heading2"/>
        <w:spacing w:before="0"/>
        <w:rPr>
          <w:sz w:val="32"/>
          <w:szCs w:val="32"/>
        </w:rPr>
      </w:pPr>
      <w:bookmarkStart w:id="36" w:name="_Toc183610784"/>
      <w:bookmarkStart w:id="37" w:name="_Toc185331736"/>
      <w:r w:rsidRPr="00436983">
        <w:rPr>
          <w:sz w:val="32"/>
          <w:szCs w:val="32"/>
        </w:rPr>
        <w:t>4.1</w:t>
      </w:r>
      <w:r w:rsidRPr="00436983">
        <w:rPr>
          <w:sz w:val="32"/>
          <w:szCs w:val="32"/>
        </w:rPr>
        <w:tab/>
        <w:t>Unauthorised use of a restrictive intervention</w:t>
      </w:r>
      <w:bookmarkEnd w:id="36"/>
      <w:bookmarkEnd w:id="37"/>
    </w:p>
    <w:p w14:paraId="312247C3" w14:textId="2A319A59" w:rsidR="00E90DFA" w:rsidRPr="001519B3" w:rsidRDefault="005928AC" w:rsidP="00F23292">
      <w:r w:rsidRPr="001519B3">
        <w:t xml:space="preserve">During this reporting period the OSP has continued </w:t>
      </w:r>
      <w:r w:rsidR="00E90DFA" w:rsidRPr="001519B3">
        <w:t xml:space="preserve">to work with the Commission to ensure consistency of reporting of </w:t>
      </w:r>
      <w:r w:rsidR="00406FAD" w:rsidRPr="001519B3">
        <w:t xml:space="preserve">unauthorised use of restrictive interventions </w:t>
      </w:r>
      <w:r w:rsidR="00E90DFA" w:rsidRPr="001519B3">
        <w:t>across the sector.</w:t>
      </w:r>
    </w:p>
    <w:p w14:paraId="4D72A2FE" w14:textId="77777777" w:rsidR="00093D2B" w:rsidRPr="00436983" w:rsidRDefault="00093D2B" w:rsidP="00F23292">
      <w:pPr>
        <w:pStyle w:val="Heading2"/>
        <w:spacing w:before="0"/>
        <w:rPr>
          <w:sz w:val="32"/>
          <w:szCs w:val="32"/>
        </w:rPr>
      </w:pPr>
      <w:bookmarkStart w:id="38" w:name="_Toc183610785"/>
      <w:bookmarkStart w:id="39" w:name="_Toc185331737"/>
      <w:r w:rsidRPr="00436983">
        <w:rPr>
          <w:sz w:val="32"/>
          <w:szCs w:val="32"/>
        </w:rPr>
        <w:t>4.2</w:t>
      </w:r>
      <w:r w:rsidRPr="00436983">
        <w:rPr>
          <w:sz w:val="32"/>
          <w:szCs w:val="32"/>
        </w:rPr>
        <w:tab/>
        <w:t>National Action Plan – Developing the NDIS Specialist Behaviour Support Market</w:t>
      </w:r>
      <w:bookmarkEnd w:id="38"/>
      <w:bookmarkEnd w:id="39"/>
    </w:p>
    <w:p w14:paraId="41E3C889" w14:textId="3A461AF9" w:rsidR="00093D2B" w:rsidRDefault="00093D2B" w:rsidP="00F23292">
      <w:pPr>
        <w:tabs>
          <w:tab w:val="left" w:pos="567"/>
        </w:tabs>
        <w:jc w:val="both"/>
        <w:rPr>
          <w:rFonts w:eastAsia="Times New Roman" w:cs="Arial"/>
        </w:rPr>
      </w:pPr>
      <w:r w:rsidRPr="001519B3">
        <w:rPr>
          <w:rFonts w:eastAsia="Times New Roman" w:cs="Arial"/>
        </w:rPr>
        <w:t>The aim of the National Action Plan is to ensure that NDIS participants with behaviour support needs have timely access to quality specialist behaviour support services in a robust provider market</w:t>
      </w:r>
      <w:r w:rsidR="007307F1" w:rsidRPr="001519B3">
        <w:rPr>
          <w:rFonts w:eastAsia="Times New Roman" w:cs="Arial"/>
        </w:rPr>
        <w:t xml:space="preserve">. </w:t>
      </w:r>
      <w:r w:rsidRPr="001519B3">
        <w:rPr>
          <w:rFonts w:eastAsia="Times New Roman" w:cs="Arial"/>
        </w:rPr>
        <w:t xml:space="preserve">Tasmania endorsed the Action Plan in December 2020 and during this reporting period the OSP continued </w:t>
      </w:r>
      <w:r w:rsidR="001519B3" w:rsidRPr="001519B3">
        <w:rPr>
          <w:rFonts w:eastAsia="Times New Roman" w:cs="Arial"/>
        </w:rPr>
        <w:t>one</w:t>
      </w:r>
      <w:r w:rsidRPr="001519B3">
        <w:rPr>
          <w:rFonts w:eastAsia="Times New Roman" w:cs="Arial"/>
        </w:rPr>
        <w:t xml:space="preserve"> project to support Objective 3 of the Plan, namely </w:t>
      </w:r>
      <w:r w:rsidRPr="001519B3">
        <w:rPr>
          <w:rFonts w:eastAsia="Times New Roman" w:cs="Arial"/>
          <w:i/>
          <w:iCs/>
        </w:rPr>
        <w:t>‘</w:t>
      </w:r>
      <w:r w:rsidRPr="007307F1">
        <w:rPr>
          <w:rFonts w:eastAsia="Times New Roman" w:cs="Arial"/>
        </w:rPr>
        <w:t>Build behaviour support provider and practitioner capability – improving quality of behaviour support.’</w:t>
      </w:r>
      <w:r w:rsidRPr="001519B3">
        <w:rPr>
          <w:rFonts w:eastAsia="Times New Roman" w:cs="Arial"/>
          <w:i/>
          <w:iCs/>
        </w:rPr>
        <w:t xml:space="preserve">  </w:t>
      </w:r>
      <w:r w:rsidRPr="001519B3">
        <w:rPr>
          <w:rFonts w:eastAsia="Times New Roman" w:cs="Arial"/>
        </w:rPr>
        <w:t>Th</w:t>
      </w:r>
      <w:r w:rsidR="001519B3" w:rsidRPr="001519B3">
        <w:rPr>
          <w:rFonts w:eastAsia="Times New Roman" w:cs="Arial"/>
        </w:rPr>
        <w:t xml:space="preserve">is is </w:t>
      </w:r>
      <w:r w:rsidRPr="001519B3">
        <w:rPr>
          <w:rFonts w:eastAsia="Times New Roman" w:cs="Arial"/>
        </w:rPr>
        <w:t>described below</w:t>
      </w:r>
      <w:r w:rsidR="00E372B0">
        <w:rPr>
          <w:rFonts w:eastAsia="Times New Roman" w:cs="Arial"/>
        </w:rPr>
        <w:t>.</w:t>
      </w:r>
    </w:p>
    <w:p w14:paraId="6060B825" w14:textId="624568E2" w:rsidR="00093D2B" w:rsidRPr="001519B3" w:rsidRDefault="006A3C37" w:rsidP="00F23292">
      <w:pPr>
        <w:pStyle w:val="Heading3"/>
        <w:spacing w:before="0"/>
      </w:pPr>
      <w:bookmarkStart w:id="40" w:name="_Toc183610786"/>
      <w:bookmarkStart w:id="41" w:name="_Toc185331738"/>
      <w:bookmarkStart w:id="42" w:name="_Hlk113261598"/>
      <w:r>
        <w:t>4.3 Communities</w:t>
      </w:r>
      <w:r w:rsidR="00093D2B" w:rsidRPr="001519B3">
        <w:t xml:space="preserve"> of Practice</w:t>
      </w:r>
      <w:bookmarkEnd w:id="40"/>
      <w:bookmarkEnd w:id="41"/>
    </w:p>
    <w:bookmarkEnd w:id="42"/>
    <w:p w14:paraId="3C96C897" w14:textId="21711780" w:rsidR="00B733FE" w:rsidRPr="00182884" w:rsidRDefault="00B733FE" w:rsidP="00F23292">
      <w:pPr>
        <w:rPr>
          <w:highlight w:val="yellow"/>
        </w:rPr>
      </w:pPr>
      <w:r w:rsidRPr="001519B3">
        <w:t>The OSP initiated the creation of two Communities of Practice (CoP) groups (South &amp; North</w:t>
      </w:r>
      <w:r w:rsidR="003866D6">
        <w:t>-</w:t>
      </w:r>
      <w:r w:rsidRPr="001519B3">
        <w:t>West) in the 2019</w:t>
      </w:r>
      <w:r w:rsidR="00406FAD" w:rsidRPr="001519B3">
        <w:t>-</w:t>
      </w:r>
      <w:r w:rsidRPr="001519B3">
        <w:t xml:space="preserve">2020 reporting period and since then has consolidated operations into one state-wide meeting held via MS teams. </w:t>
      </w:r>
      <w:r w:rsidR="005F3A7A" w:rsidRPr="001519B3">
        <w:t>Most</w:t>
      </w:r>
      <w:r w:rsidRPr="001519B3">
        <w:t xml:space="preserve"> members are behaviour support practitioners and average attendance is </w:t>
      </w:r>
      <w:r w:rsidR="003866D6">
        <w:t>70</w:t>
      </w:r>
      <w:r w:rsidRPr="001519B3">
        <w:t xml:space="preserve"> </w:t>
      </w:r>
      <w:r w:rsidR="005F3A7A" w:rsidRPr="001519B3">
        <w:t xml:space="preserve">(range </w:t>
      </w:r>
      <w:r w:rsidR="003866D6">
        <w:t>5</w:t>
      </w:r>
      <w:r w:rsidR="005F3A7A" w:rsidRPr="001519B3">
        <w:t>0-</w:t>
      </w:r>
      <w:r w:rsidR="003866D6">
        <w:t>98</w:t>
      </w:r>
      <w:r w:rsidR="005F3A7A" w:rsidRPr="001519B3">
        <w:t xml:space="preserve">) </w:t>
      </w:r>
      <w:r w:rsidRPr="001519B3">
        <w:t>per monthly meeting</w:t>
      </w:r>
      <w:r w:rsidRPr="003866D6">
        <w:t xml:space="preserve">. This equates to approximately </w:t>
      </w:r>
      <w:r w:rsidR="005F3A7A" w:rsidRPr="003866D6">
        <w:t>60</w:t>
      </w:r>
      <w:r w:rsidRPr="003866D6">
        <w:t>% of all practitioners</w:t>
      </w:r>
      <w:r w:rsidRPr="00F1157B">
        <w:t xml:space="preserve"> registered </w:t>
      </w:r>
      <w:r w:rsidR="003866D6">
        <w:t xml:space="preserve">as practicing primarily </w:t>
      </w:r>
      <w:r w:rsidRPr="00F1157B">
        <w:t xml:space="preserve">in Tasmania. </w:t>
      </w:r>
      <w:r w:rsidR="007C1657" w:rsidRPr="00F1157B">
        <w:t>A representative from the N</w:t>
      </w:r>
      <w:r w:rsidR="00406FAD" w:rsidRPr="00F1157B">
        <w:t xml:space="preserve">DIS </w:t>
      </w:r>
      <w:r w:rsidRPr="00F1157B">
        <w:t>Commission</w:t>
      </w:r>
      <w:r w:rsidR="007C1657" w:rsidRPr="00F1157B">
        <w:t xml:space="preserve"> </w:t>
      </w:r>
      <w:r w:rsidR="00F1157B" w:rsidRPr="00F1157B">
        <w:t>generally attends and</w:t>
      </w:r>
      <w:r w:rsidR="00082E15">
        <w:t xml:space="preserve"> </w:t>
      </w:r>
      <w:r w:rsidRPr="00F1157B">
        <w:t>provides the group with the opportunity to discuss any issues that members have with the operation of the NDIS Behaviour Support Rules.</w:t>
      </w:r>
    </w:p>
    <w:p w14:paraId="574C2AF0" w14:textId="77777777" w:rsidR="00B733FE" w:rsidRPr="00AB7F50" w:rsidRDefault="00B733FE" w:rsidP="00F23292">
      <w:r w:rsidRPr="00AB7F50">
        <w:t>Activities that have occurred over the current reporting period include:</w:t>
      </w:r>
    </w:p>
    <w:p w14:paraId="52B3ADEB" w14:textId="72484EAB" w:rsidR="006B16FE" w:rsidRPr="00AB7F50" w:rsidRDefault="00312B09" w:rsidP="00F23292">
      <w:pPr>
        <w:pStyle w:val="ListParagraph"/>
        <w:numPr>
          <w:ilvl w:val="0"/>
          <w:numId w:val="27"/>
        </w:numPr>
      </w:pPr>
      <w:r>
        <w:t>p</w:t>
      </w:r>
      <w:r w:rsidR="00B733FE" w:rsidRPr="00AB7F50">
        <w:t>resentations of case studies</w:t>
      </w:r>
      <w:r w:rsidR="00BB7A5B" w:rsidRPr="00AB7F50">
        <w:t>.</w:t>
      </w:r>
    </w:p>
    <w:p w14:paraId="5590915F" w14:textId="7EF265DD" w:rsidR="00B733FE" w:rsidRPr="00AB7F50" w:rsidRDefault="00312B09" w:rsidP="00F23292">
      <w:pPr>
        <w:pStyle w:val="ListParagraph"/>
        <w:numPr>
          <w:ilvl w:val="0"/>
          <w:numId w:val="27"/>
        </w:numPr>
      </w:pPr>
      <w:r>
        <w:t>s</w:t>
      </w:r>
      <w:r w:rsidR="00B733FE" w:rsidRPr="00AB7F50">
        <w:t>pecialist topics for discussion (e.g.</w:t>
      </w:r>
      <w:r w:rsidR="00406FAD" w:rsidRPr="00AB7F50">
        <w:t>,</w:t>
      </w:r>
      <w:r w:rsidR="00B733FE" w:rsidRPr="00AB7F50">
        <w:t xml:space="preserve"> </w:t>
      </w:r>
      <w:r w:rsidR="00EB1EBF" w:rsidRPr="00AB7F50">
        <w:t>line of sight</w:t>
      </w:r>
      <w:r w:rsidR="00AB7F50" w:rsidRPr="00AB7F50">
        <w:t>; dignity of risk and capacity of decision making; Meal management capacity; chemical restraint</w:t>
      </w:r>
      <w:r w:rsidR="00CF1B85" w:rsidRPr="00AB7F50">
        <w:t>)</w:t>
      </w:r>
      <w:r w:rsidR="00BB7A5B" w:rsidRPr="00AB7F50">
        <w:t>.</w:t>
      </w:r>
    </w:p>
    <w:p w14:paraId="2625C6A6" w14:textId="2BFEAE7E" w:rsidR="00B733FE" w:rsidRPr="00911A2A" w:rsidRDefault="00312B09" w:rsidP="00F23292">
      <w:pPr>
        <w:pStyle w:val="ListParagraph"/>
        <w:numPr>
          <w:ilvl w:val="0"/>
          <w:numId w:val="27"/>
        </w:numPr>
      </w:pPr>
      <w:r>
        <w:t>g</w:t>
      </w:r>
      <w:r w:rsidR="00B733FE" w:rsidRPr="00AB7F50">
        <w:t>uest speakers (e.g.</w:t>
      </w:r>
      <w:r w:rsidR="00CF1B85" w:rsidRPr="00AB7F50">
        <w:t>,</w:t>
      </w:r>
      <w:r w:rsidR="00B733FE" w:rsidRPr="00AB7F50">
        <w:t xml:space="preserve"> </w:t>
      </w:r>
      <w:r w:rsidR="00EB1EBF" w:rsidRPr="00AB7F50">
        <w:t xml:space="preserve">behaviour support, mealtimes, and restrictions; Dental and Oral Health project; Office of </w:t>
      </w:r>
      <w:r>
        <w:t>t</w:t>
      </w:r>
      <w:r w:rsidR="00EB1EBF" w:rsidRPr="00AB7F50">
        <w:t xml:space="preserve">he Independent Regulator; </w:t>
      </w:r>
      <w:r w:rsidR="00EB1EBF" w:rsidRPr="00576B4E">
        <w:t>Director of Engagement NDIS Commission</w:t>
      </w:r>
      <w:r w:rsidR="00B733FE" w:rsidRPr="00911A2A">
        <w:t>).</w:t>
      </w:r>
    </w:p>
    <w:p w14:paraId="66C4FE3F" w14:textId="4773EE3E" w:rsidR="00312B09" w:rsidRDefault="00312B09" w:rsidP="00F23292">
      <w:r>
        <w:t>In addition, the OSP facilitate monthly face-to-face peer support for behaviour support practitioners in the North and North-west of Tasmania. Following consultation with CoP members, peer support for practitioners in Hobart is being organised.</w:t>
      </w:r>
    </w:p>
    <w:p w14:paraId="16CFD7D3" w14:textId="77777777" w:rsidR="00312B09" w:rsidRDefault="00312B09" w:rsidP="00F23292">
      <w:pPr>
        <w:rPr>
          <w:rFonts w:cs="Arial"/>
        </w:rPr>
      </w:pPr>
      <w:r>
        <w:rPr>
          <w:rFonts w:cs="Arial"/>
        </w:rPr>
        <w:t>Toward</w:t>
      </w:r>
      <w:r w:rsidR="00B733FE" w:rsidRPr="00911A2A">
        <w:rPr>
          <w:rFonts w:cs="Arial"/>
        </w:rPr>
        <w:t xml:space="preserve"> the end of the reporting period the OSP </w:t>
      </w:r>
      <w:r>
        <w:rPr>
          <w:rFonts w:cs="Arial"/>
        </w:rPr>
        <w:t>distributed</w:t>
      </w:r>
      <w:r w:rsidR="00B733FE" w:rsidRPr="00911A2A">
        <w:rPr>
          <w:rFonts w:cs="Arial"/>
        </w:rPr>
        <w:t xml:space="preserve"> a short survey to gauge how well the CoP </w:t>
      </w:r>
      <w:r w:rsidR="00082E15">
        <w:rPr>
          <w:rFonts w:cs="Arial"/>
        </w:rPr>
        <w:t xml:space="preserve">and the Office of the Senior Practitioner </w:t>
      </w:r>
      <w:r w:rsidR="00B733FE" w:rsidRPr="00911A2A">
        <w:rPr>
          <w:rFonts w:cs="Arial"/>
        </w:rPr>
        <w:t xml:space="preserve">is meeting </w:t>
      </w:r>
      <w:r>
        <w:rPr>
          <w:rFonts w:cs="Arial"/>
        </w:rPr>
        <w:t>member’s needs</w:t>
      </w:r>
      <w:r w:rsidR="00B733FE" w:rsidRPr="00911A2A">
        <w:rPr>
          <w:rFonts w:cs="Arial"/>
        </w:rPr>
        <w:t>.</w:t>
      </w:r>
      <w:r w:rsidR="00082E15">
        <w:rPr>
          <w:rFonts w:cs="Arial"/>
        </w:rPr>
        <w:t xml:space="preserve"> </w:t>
      </w:r>
    </w:p>
    <w:p w14:paraId="3E978807" w14:textId="77777777" w:rsidR="00312B09" w:rsidRDefault="00312B09" w:rsidP="00F23292">
      <w:r>
        <w:t xml:space="preserve">In relation to professional experience working in behaviour support: </w:t>
      </w:r>
    </w:p>
    <w:p w14:paraId="564A4E3B" w14:textId="69033CAF" w:rsidR="00312B09" w:rsidRPr="002529E5" w:rsidRDefault="00312B09" w:rsidP="00F23292">
      <w:pPr>
        <w:pStyle w:val="ListParagraph"/>
        <w:numPr>
          <w:ilvl w:val="0"/>
          <w:numId w:val="28"/>
        </w:numPr>
      </w:pPr>
      <w:r w:rsidRPr="002529E5">
        <w:t>10% of CoP members had less than 1 year experience in the sector</w:t>
      </w:r>
    </w:p>
    <w:p w14:paraId="7BA81787" w14:textId="20227335" w:rsidR="00312B09" w:rsidRPr="002529E5" w:rsidRDefault="00312B09" w:rsidP="00F23292">
      <w:pPr>
        <w:pStyle w:val="ListParagraph"/>
        <w:numPr>
          <w:ilvl w:val="0"/>
          <w:numId w:val="28"/>
        </w:numPr>
      </w:pPr>
      <w:r w:rsidRPr="002529E5">
        <w:t>26% had 1-2 years of experience</w:t>
      </w:r>
    </w:p>
    <w:p w14:paraId="7A9B9E09" w14:textId="6FC25406" w:rsidR="00312B09" w:rsidRPr="002529E5" w:rsidRDefault="00312B09" w:rsidP="00F23292">
      <w:pPr>
        <w:pStyle w:val="ListParagraph"/>
        <w:numPr>
          <w:ilvl w:val="0"/>
          <w:numId w:val="28"/>
        </w:numPr>
      </w:pPr>
      <w:r w:rsidRPr="002529E5">
        <w:t>52% had 3-6 years of experienc</w:t>
      </w:r>
      <w:r w:rsidR="00E616C3">
        <w:t>e</w:t>
      </w:r>
    </w:p>
    <w:p w14:paraId="3F0AB32F" w14:textId="77777777" w:rsidR="00312B09" w:rsidRPr="002529E5" w:rsidRDefault="00312B09" w:rsidP="00F23292">
      <w:pPr>
        <w:pStyle w:val="ListParagraph"/>
        <w:numPr>
          <w:ilvl w:val="0"/>
          <w:numId w:val="28"/>
        </w:numPr>
      </w:pPr>
      <w:r w:rsidRPr="002529E5">
        <w:t xml:space="preserve">13% had more than 6 years of experience. </w:t>
      </w:r>
    </w:p>
    <w:p w14:paraId="1888EBEA" w14:textId="77777777" w:rsidR="00312B09" w:rsidRDefault="00312B09" w:rsidP="00F23292">
      <w:r>
        <w:t xml:space="preserve">In relation to practice: </w:t>
      </w:r>
    </w:p>
    <w:p w14:paraId="57CF41AE" w14:textId="0A820EF5" w:rsidR="00312B09" w:rsidRPr="002529E5" w:rsidRDefault="00312B09" w:rsidP="00F23292">
      <w:pPr>
        <w:pStyle w:val="ListParagraph"/>
        <w:numPr>
          <w:ilvl w:val="0"/>
          <w:numId w:val="29"/>
        </w:numPr>
      </w:pPr>
      <w:r w:rsidRPr="002529E5">
        <w:t>3% were employed as contractors</w:t>
      </w:r>
    </w:p>
    <w:p w14:paraId="4517899A" w14:textId="7A810DD5" w:rsidR="00312B09" w:rsidRPr="002529E5" w:rsidRDefault="00312B09" w:rsidP="00F23292">
      <w:pPr>
        <w:pStyle w:val="ListParagraph"/>
        <w:numPr>
          <w:ilvl w:val="0"/>
          <w:numId w:val="29"/>
        </w:numPr>
      </w:pPr>
      <w:r w:rsidRPr="002529E5">
        <w:t>26% were employed in a large Tasmanian-based practice</w:t>
      </w:r>
    </w:p>
    <w:p w14:paraId="3306A72C" w14:textId="16D468AF" w:rsidR="00312B09" w:rsidRPr="002529E5" w:rsidRDefault="00312B09" w:rsidP="00F23292">
      <w:pPr>
        <w:pStyle w:val="ListParagraph"/>
        <w:numPr>
          <w:ilvl w:val="0"/>
          <w:numId w:val="29"/>
        </w:numPr>
      </w:pPr>
      <w:r w:rsidRPr="002529E5">
        <w:t>35% were employed as a sole trader or employed in a small practice</w:t>
      </w:r>
    </w:p>
    <w:p w14:paraId="21480EBD" w14:textId="77777777" w:rsidR="00312B09" w:rsidRDefault="00312B09" w:rsidP="00F23292">
      <w:pPr>
        <w:pStyle w:val="ListParagraph"/>
        <w:numPr>
          <w:ilvl w:val="0"/>
          <w:numId w:val="29"/>
        </w:numPr>
      </w:pPr>
      <w:r w:rsidRPr="002529E5">
        <w:t xml:space="preserve">35% were employed in a nationwide organisation. </w:t>
      </w:r>
    </w:p>
    <w:p w14:paraId="5F7507EF" w14:textId="4266D0C9" w:rsidR="00C35DF9" w:rsidRDefault="00C35DF9" w:rsidP="00F23292">
      <w:pPr>
        <w:jc w:val="both"/>
        <w:rPr>
          <w:rFonts w:cs="Arial"/>
        </w:rPr>
      </w:pPr>
      <w:r w:rsidRPr="00C35DF9">
        <w:rPr>
          <w:rFonts w:cs="Arial"/>
        </w:rPr>
        <w:t>CoP members were also asked about satisfaction in their ability to contact the NDIS Commission (33%) and the Office of the Senior Practitioner (86%) for clarifications or queries. Overall, CoP members indicated a high regard for the CoP in terms of knowledge gain and value to their practice</w:t>
      </w:r>
      <w:r>
        <w:rPr>
          <w:rFonts w:cs="Arial"/>
        </w:rPr>
        <w:t>.</w:t>
      </w:r>
    </w:p>
    <w:p w14:paraId="7EEDD422" w14:textId="2D6AC49D" w:rsidR="00093D2B" w:rsidRPr="00462E7D" w:rsidRDefault="00093D2B" w:rsidP="00F23292">
      <w:pPr>
        <w:pStyle w:val="Heading3"/>
        <w:spacing w:before="0"/>
        <w:rPr>
          <w:rFonts w:cs="Arial"/>
        </w:rPr>
      </w:pPr>
      <w:bookmarkStart w:id="43" w:name="_Toc183610787"/>
      <w:bookmarkStart w:id="44" w:name="_Toc185331739"/>
      <w:r w:rsidRPr="00462E7D">
        <w:rPr>
          <w:rFonts w:cs="Arial"/>
        </w:rPr>
        <w:t>4.</w:t>
      </w:r>
      <w:r w:rsidR="00357656">
        <w:rPr>
          <w:rFonts w:cs="Arial"/>
        </w:rPr>
        <w:t>3</w:t>
      </w:r>
      <w:r w:rsidRPr="00462E7D">
        <w:rPr>
          <w:rFonts w:cs="Arial"/>
        </w:rPr>
        <w:t xml:space="preserve"> Residential Aged Care</w:t>
      </w:r>
      <w:bookmarkEnd w:id="43"/>
      <w:bookmarkEnd w:id="44"/>
      <w:r w:rsidRPr="00462E7D">
        <w:rPr>
          <w:rFonts w:cs="Arial"/>
        </w:rPr>
        <w:t xml:space="preserve"> </w:t>
      </w:r>
    </w:p>
    <w:p w14:paraId="04F0295F" w14:textId="56F7DF36" w:rsidR="00093D2B" w:rsidRPr="00462E7D" w:rsidRDefault="00093D2B" w:rsidP="00F23292">
      <w:r w:rsidRPr="00462E7D">
        <w:t xml:space="preserve">On 1 December 2020, Residential Aged Care (RAC) providers delivering services to </w:t>
      </w:r>
      <w:r w:rsidR="00406FAD" w:rsidRPr="00462E7D">
        <w:t xml:space="preserve">NDIS </w:t>
      </w:r>
      <w:r w:rsidRPr="00462E7D">
        <w:t xml:space="preserve">participants in their facilities became NDIS registered providers. This means that RAC providers supporting NDIS participants are required to meet the obligations of the </w:t>
      </w:r>
      <w:r w:rsidRPr="00462E7D">
        <w:rPr>
          <w:i/>
          <w:iCs/>
        </w:rPr>
        <w:t xml:space="preserve">NDIS Act 2013 </w:t>
      </w:r>
      <w:r w:rsidRPr="00462E7D">
        <w:t xml:space="preserve">and </w:t>
      </w:r>
      <w:r w:rsidRPr="00462E7D">
        <w:rPr>
          <w:i/>
          <w:iCs/>
        </w:rPr>
        <w:t>NDIS (Provider Registration and Practice Standards) Rules 2018,</w:t>
      </w:r>
      <w:r w:rsidRPr="00462E7D">
        <w:t xml:space="preserve"> in relation to the NDIS participants they support</w:t>
      </w:r>
      <w:r w:rsidR="007307F1" w:rsidRPr="00462E7D">
        <w:t xml:space="preserve">. </w:t>
      </w:r>
    </w:p>
    <w:p w14:paraId="38704969" w14:textId="59221A41" w:rsidR="00093D2B" w:rsidRDefault="00093D2B" w:rsidP="00F23292">
      <w:r w:rsidRPr="00EB1EBF">
        <w:t xml:space="preserve">During the current reporting period RAC providers </w:t>
      </w:r>
      <w:r w:rsidR="008F0232" w:rsidRPr="00EB1EBF">
        <w:t xml:space="preserve">and behaviour support practitioners </w:t>
      </w:r>
      <w:r w:rsidRPr="00EB1EBF">
        <w:t xml:space="preserve">have contacted the OSP to discuss the use of restrictive interventions </w:t>
      </w:r>
      <w:r w:rsidR="00406FAD" w:rsidRPr="00EB1EBF">
        <w:t>when supporting</w:t>
      </w:r>
      <w:r w:rsidRPr="00EB1EBF">
        <w:t xml:space="preserve"> NDIS participants </w:t>
      </w:r>
      <w:r w:rsidR="00406FAD" w:rsidRPr="00EB1EBF">
        <w:t>residing in the RAC facility</w:t>
      </w:r>
      <w:r w:rsidR="00D83CAD">
        <w:t xml:space="preserve">. This led to </w:t>
      </w:r>
      <w:r w:rsidR="007307F1">
        <w:t>seven</w:t>
      </w:r>
      <w:r w:rsidRPr="00EB1EBF">
        <w:t xml:space="preserve"> applications to authorise the use </w:t>
      </w:r>
      <w:r w:rsidR="00F55935" w:rsidRPr="00EB1EBF">
        <w:t>of restrictive interventions</w:t>
      </w:r>
      <w:r w:rsidRPr="00EB1EBF">
        <w:t xml:space="preserve"> approved. The OSP will continue this work in the next reporting period.</w:t>
      </w:r>
    </w:p>
    <w:p w14:paraId="733F73FE" w14:textId="77777777" w:rsidR="00ED03EF" w:rsidRPr="00EB1EBF" w:rsidRDefault="00ED03EF" w:rsidP="00F23292"/>
    <w:p w14:paraId="03E81257" w14:textId="0E298A10" w:rsidR="00093D2B" w:rsidRPr="00287441" w:rsidRDefault="00093D2B" w:rsidP="00F23292">
      <w:pPr>
        <w:pStyle w:val="Heading3"/>
        <w:spacing w:before="0"/>
        <w:rPr>
          <w:rFonts w:cs="Arial"/>
        </w:rPr>
      </w:pPr>
      <w:bookmarkStart w:id="45" w:name="_Toc138060257"/>
      <w:bookmarkStart w:id="46" w:name="_Toc183610788"/>
      <w:bookmarkStart w:id="47" w:name="_Toc185331740"/>
      <w:r w:rsidRPr="00287441">
        <w:rPr>
          <w:rFonts w:cs="Arial"/>
        </w:rPr>
        <w:t>4.</w:t>
      </w:r>
      <w:r w:rsidR="00357656">
        <w:rPr>
          <w:rFonts w:cs="Arial"/>
        </w:rPr>
        <w:t>4</w:t>
      </w:r>
      <w:r w:rsidRPr="00287441">
        <w:rPr>
          <w:rFonts w:cs="Arial"/>
        </w:rPr>
        <w:tab/>
        <w:t>Reference Groups</w:t>
      </w:r>
      <w:bookmarkEnd w:id="45"/>
      <w:bookmarkEnd w:id="46"/>
      <w:bookmarkEnd w:id="47"/>
    </w:p>
    <w:bookmarkEnd w:id="35"/>
    <w:p w14:paraId="442B87A6" w14:textId="31AC01CF" w:rsidR="00EE01FC" w:rsidRPr="00462E7D" w:rsidRDefault="00EE01FC" w:rsidP="00F23292">
      <w:r w:rsidRPr="00287441">
        <w:t xml:space="preserve">During this reporting period the Senior Practitioner </w:t>
      </w:r>
      <w:r w:rsidR="00A4428A">
        <w:t>wa</w:t>
      </w:r>
      <w:r w:rsidR="008235F0">
        <w:t>s</w:t>
      </w:r>
      <w:r w:rsidRPr="00287441">
        <w:t xml:space="preserve"> a member of </w:t>
      </w:r>
      <w:r w:rsidR="008235F0">
        <w:t>four</w:t>
      </w:r>
      <w:r w:rsidRPr="00287441">
        <w:t xml:space="preserve"> Reference Groups as follows:</w:t>
      </w:r>
    </w:p>
    <w:p w14:paraId="54FFCFA2" w14:textId="1E4B4781" w:rsidR="00EE01FC" w:rsidRPr="00462E7D" w:rsidRDefault="00EE01FC" w:rsidP="00F23292">
      <w:pPr>
        <w:pStyle w:val="Heading5"/>
      </w:pPr>
      <w:r w:rsidRPr="00462E7D">
        <w:t xml:space="preserve">Expert advisory group on the </w:t>
      </w:r>
      <w:r w:rsidR="00C377ED" w:rsidRPr="00462E7D">
        <w:t xml:space="preserve">Primary Health Care Enhancement for People with Intellectual Disability </w:t>
      </w:r>
    </w:p>
    <w:p w14:paraId="62B9BC33" w14:textId="5B260CC9" w:rsidR="00C377ED" w:rsidRPr="00462E7D" w:rsidRDefault="00C377ED" w:rsidP="00F23292">
      <w:r w:rsidRPr="00462E7D">
        <w:t>The Advisory Group assist</w:t>
      </w:r>
      <w:r w:rsidR="00462E7D" w:rsidRPr="00462E7D">
        <w:t>ed</w:t>
      </w:r>
      <w:r w:rsidRPr="00462E7D">
        <w:t xml:space="preserve"> Primary Health Tasmania to support the development and implementation of several co-design approaches to deliver a range of projects to support better health outcomes for people with intellectual disability in Tasmania.</w:t>
      </w:r>
      <w:r w:rsidR="005F5FEC" w:rsidRPr="00462E7D">
        <w:t xml:space="preserve"> The advisory group met bi-monthly</w:t>
      </w:r>
      <w:r w:rsidR="00DB0F0E" w:rsidRPr="00462E7D">
        <w:t xml:space="preserve"> via MS-teams</w:t>
      </w:r>
      <w:r w:rsidR="005F5FEC" w:rsidRPr="00462E7D">
        <w:t>.</w:t>
      </w:r>
      <w:r w:rsidR="00462E7D" w:rsidRPr="00462E7D">
        <w:t xml:space="preserve"> The project completed on 30 June 2024.</w:t>
      </w:r>
    </w:p>
    <w:p w14:paraId="586BD9C9" w14:textId="12F413AC" w:rsidR="00EE01FC" w:rsidRPr="00462E7D" w:rsidRDefault="00C377ED" w:rsidP="00F23292">
      <w:r w:rsidRPr="00462E7D">
        <w:t>Advisory group members:</w:t>
      </w:r>
    </w:p>
    <w:p w14:paraId="2FE40800" w14:textId="1F015A1F" w:rsidR="00C377ED" w:rsidRPr="00462E7D" w:rsidRDefault="00C377ED" w:rsidP="00F23292">
      <w:pPr>
        <w:pStyle w:val="ListParagraph"/>
        <w:numPr>
          <w:ilvl w:val="0"/>
          <w:numId w:val="30"/>
        </w:numPr>
      </w:pPr>
      <w:r w:rsidRPr="00462E7D">
        <w:t>Assist</w:t>
      </w:r>
      <w:r w:rsidR="00462E7D" w:rsidRPr="00462E7D">
        <w:t>ed</w:t>
      </w:r>
      <w:r w:rsidRPr="00462E7D">
        <w:t xml:space="preserve"> in the identification of best practice activities that </w:t>
      </w:r>
      <w:r w:rsidR="00462E7D" w:rsidRPr="00462E7D">
        <w:t>could</w:t>
      </w:r>
      <w:r w:rsidRPr="00462E7D">
        <w:t xml:space="preserve"> maximise existing resources and support for young people with intellectual disability to transition to adult services</w:t>
      </w:r>
      <w:r w:rsidR="00BB7A5B" w:rsidRPr="00462E7D">
        <w:t>.</w:t>
      </w:r>
    </w:p>
    <w:p w14:paraId="4C7D583E" w14:textId="021605AE" w:rsidR="00C377ED" w:rsidRPr="00462E7D" w:rsidRDefault="00C377ED" w:rsidP="00F23292">
      <w:pPr>
        <w:pStyle w:val="ListParagraph"/>
        <w:numPr>
          <w:ilvl w:val="0"/>
          <w:numId w:val="30"/>
        </w:numPr>
      </w:pPr>
      <w:r w:rsidRPr="00462E7D">
        <w:t>Support</w:t>
      </w:r>
      <w:r w:rsidR="00462E7D" w:rsidRPr="00462E7D">
        <w:t>ed</w:t>
      </w:r>
      <w:r w:rsidRPr="00462E7D">
        <w:t xml:space="preserve"> a mapping exercise of current workforce and service providers</w:t>
      </w:r>
      <w:r w:rsidR="00BB7A5B" w:rsidRPr="00462E7D">
        <w:t>.</w:t>
      </w:r>
    </w:p>
    <w:p w14:paraId="07B23012" w14:textId="3E4B45A9" w:rsidR="00C377ED" w:rsidRPr="00462E7D" w:rsidRDefault="00C377ED" w:rsidP="00F23292">
      <w:pPr>
        <w:pStyle w:val="ListParagraph"/>
        <w:numPr>
          <w:ilvl w:val="0"/>
          <w:numId w:val="30"/>
        </w:numPr>
      </w:pPr>
      <w:r w:rsidRPr="00462E7D">
        <w:t>Identif</w:t>
      </w:r>
      <w:r w:rsidR="00462E7D" w:rsidRPr="00462E7D">
        <w:t>ied</w:t>
      </w:r>
      <w:r w:rsidRPr="00462E7D">
        <w:t xml:space="preserve"> and advise</w:t>
      </w:r>
      <w:r w:rsidR="00462E7D" w:rsidRPr="00462E7D">
        <w:t>d</w:t>
      </w:r>
      <w:r w:rsidRPr="00462E7D">
        <w:t xml:space="preserve"> where modifications </w:t>
      </w:r>
      <w:r w:rsidR="00462E7D" w:rsidRPr="00462E7D">
        <w:t>were</w:t>
      </w:r>
      <w:r w:rsidRPr="00462E7D">
        <w:t xml:space="preserve"> required to improve and enhance the interface with public hospitals, NDIS, primary and secondary care providers</w:t>
      </w:r>
      <w:r w:rsidR="00BB7A5B" w:rsidRPr="00462E7D">
        <w:t>.</w:t>
      </w:r>
    </w:p>
    <w:p w14:paraId="55018695" w14:textId="2F959200" w:rsidR="00C377ED" w:rsidRPr="00462E7D" w:rsidRDefault="00C377ED" w:rsidP="00F23292">
      <w:pPr>
        <w:pStyle w:val="ListParagraph"/>
        <w:numPr>
          <w:ilvl w:val="0"/>
          <w:numId w:val="30"/>
        </w:numPr>
      </w:pPr>
      <w:r w:rsidRPr="00462E7D">
        <w:t>Identif</w:t>
      </w:r>
      <w:r w:rsidR="00462E7D" w:rsidRPr="00462E7D">
        <w:t>ied</w:t>
      </w:r>
      <w:r w:rsidRPr="00462E7D">
        <w:t xml:space="preserve"> and consider</w:t>
      </w:r>
      <w:r w:rsidR="00462E7D" w:rsidRPr="00462E7D">
        <w:t>ed</w:t>
      </w:r>
      <w:r w:rsidRPr="00462E7D">
        <w:t xml:space="preserve"> other activities that </w:t>
      </w:r>
      <w:r w:rsidR="00462E7D" w:rsidRPr="00462E7D">
        <w:t>could</w:t>
      </w:r>
      <w:r w:rsidRPr="00462E7D">
        <w:t xml:space="preserve"> be commissioned to improve the coordination of care for people with intellectual disability, raise awareness of services and increase workforce capability</w:t>
      </w:r>
      <w:r w:rsidR="00BB7A5B" w:rsidRPr="00462E7D">
        <w:t>.</w:t>
      </w:r>
    </w:p>
    <w:p w14:paraId="66A13A63" w14:textId="180EE710" w:rsidR="00C377ED" w:rsidRPr="00462E7D" w:rsidRDefault="00287797" w:rsidP="00F23292">
      <w:pPr>
        <w:pStyle w:val="ListParagraph"/>
        <w:numPr>
          <w:ilvl w:val="0"/>
          <w:numId w:val="30"/>
        </w:numPr>
      </w:pPr>
      <w:r w:rsidRPr="00462E7D">
        <w:t>Contribute</w:t>
      </w:r>
      <w:r w:rsidR="00462E7D" w:rsidRPr="00462E7D">
        <w:t>d</w:t>
      </w:r>
      <w:r w:rsidRPr="00462E7D">
        <w:t xml:space="preserve"> to the development of intellectual disability specific Tasmanian Health Pathways</w:t>
      </w:r>
      <w:r w:rsidR="00BB7A5B" w:rsidRPr="00462E7D">
        <w:t>.</w:t>
      </w:r>
    </w:p>
    <w:p w14:paraId="185B7B2E" w14:textId="63977B14" w:rsidR="00287797" w:rsidRDefault="00287797" w:rsidP="00F23292">
      <w:pPr>
        <w:pStyle w:val="ListParagraph"/>
        <w:numPr>
          <w:ilvl w:val="0"/>
          <w:numId w:val="30"/>
        </w:numPr>
      </w:pPr>
      <w:r w:rsidRPr="00462E7D">
        <w:t>Provide</w:t>
      </w:r>
      <w:r w:rsidR="00462E7D" w:rsidRPr="00462E7D">
        <w:t>d</w:t>
      </w:r>
      <w:r w:rsidRPr="00462E7D">
        <w:t xml:space="preserve"> feedback to assist with the national evaluation of the Primary Care </w:t>
      </w:r>
      <w:r w:rsidRPr="00E954B9">
        <w:t>Enhancement for People with Intellectual Disability Program.</w:t>
      </w:r>
    </w:p>
    <w:p w14:paraId="3C8ECC6F" w14:textId="4266B1CB" w:rsidR="00EE01FC" w:rsidRPr="00E954B9" w:rsidRDefault="00EE01FC" w:rsidP="00F23292">
      <w:pPr>
        <w:pStyle w:val="Heading5"/>
      </w:pPr>
      <w:r w:rsidRPr="00E954B9">
        <w:t>The Roadmap Implementation Governance Group (RIGG)</w:t>
      </w:r>
    </w:p>
    <w:p w14:paraId="4D45A50D" w14:textId="3BC9C3ED" w:rsidR="00EE01FC" w:rsidRPr="00E954B9" w:rsidRDefault="00EE01FC" w:rsidP="00F23292">
      <w:r w:rsidRPr="00E954B9">
        <w:t>The RIGG is a governance group that the Commonwealth Department of Health established in November 2021 to oversee and provide advice on the implementation of the National Roadmap for Improving the Health of People with Intellectual Disability (the Roadmap).</w:t>
      </w:r>
      <w:r w:rsidR="005F5FEC" w:rsidRPr="00E954B9">
        <w:t xml:space="preserve"> Members of RIGGs meet</w:t>
      </w:r>
      <w:r w:rsidR="00DB0F0E" w:rsidRPr="00E954B9">
        <w:t xml:space="preserve"> monthly via MS-teams.</w:t>
      </w:r>
      <w:r w:rsidR="00462E7D" w:rsidRPr="00E954B9">
        <w:t xml:space="preserve"> The Senior Practitioner </w:t>
      </w:r>
      <w:r w:rsidR="00E954B9" w:rsidRPr="00E954B9">
        <w:t xml:space="preserve">represented Tasmania until June 2024 when the Department of Health nominated as the Tasmanian representative. </w:t>
      </w:r>
    </w:p>
    <w:p w14:paraId="3DC99FCC" w14:textId="77777777" w:rsidR="00EE01FC" w:rsidRPr="00E954B9" w:rsidRDefault="00EE01FC" w:rsidP="00F23292">
      <w:r w:rsidRPr="00E954B9">
        <w:t>The aims of the RIGG are:</w:t>
      </w:r>
    </w:p>
    <w:p w14:paraId="7B041EE9" w14:textId="4F03FCD5" w:rsidR="00EE01FC" w:rsidRPr="00E954B9" w:rsidRDefault="00EE01FC" w:rsidP="00F23292">
      <w:pPr>
        <w:pStyle w:val="ListParagraph"/>
        <w:numPr>
          <w:ilvl w:val="0"/>
          <w:numId w:val="31"/>
        </w:numPr>
      </w:pPr>
      <w:r w:rsidRPr="00E954B9">
        <w:t>Oversee implementation of the Roadmap</w:t>
      </w:r>
      <w:r w:rsidR="00BB7A5B" w:rsidRPr="00E954B9">
        <w:t>.</w:t>
      </w:r>
    </w:p>
    <w:p w14:paraId="6822CD9F" w14:textId="77777777" w:rsidR="00EE01FC" w:rsidRPr="00E954B9" w:rsidRDefault="00EE01FC" w:rsidP="00F23292">
      <w:pPr>
        <w:pStyle w:val="ListParagraph"/>
        <w:numPr>
          <w:ilvl w:val="0"/>
          <w:numId w:val="31"/>
        </w:numPr>
      </w:pPr>
      <w:r w:rsidRPr="00E954B9">
        <w:t xml:space="preserve">Provide advice on implementation of the Roadmap and the actions within it. </w:t>
      </w:r>
    </w:p>
    <w:p w14:paraId="1A374C11" w14:textId="1D92F0BA" w:rsidR="00EE01FC" w:rsidRPr="00E954B9" w:rsidRDefault="00EE01FC" w:rsidP="00F23292">
      <w:pPr>
        <w:pStyle w:val="ListParagraph"/>
        <w:numPr>
          <w:ilvl w:val="0"/>
          <w:numId w:val="31"/>
        </w:numPr>
      </w:pPr>
      <w:r w:rsidRPr="00E954B9">
        <w:t>Consult with people with intellectual disability and their families and carers</w:t>
      </w:r>
      <w:r w:rsidR="00BB7A5B" w:rsidRPr="00E954B9">
        <w:t>.</w:t>
      </w:r>
    </w:p>
    <w:p w14:paraId="566DF2F4" w14:textId="77777777" w:rsidR="00EE01FC" w:rsidRDefault="00EE01FC" w:rsidP="00F23292">
      <w:pPr>
        <w:pStyle w:val="ListParagraph"/>
        <w:numPr>
          <w:ilvl w:val="0"/>
          <w:numId w:val="31"/>
        </w:numPr>
      </w:pPr>
      <w:r w:rsidRPr="00E954B9">
        <w:t xml:space="preserve">Provide guidance on strategies to mitigate implementation challenges that arise, if required. </w:t>
      </w:r>
    </w:p>
    <w:p w14:paraId="6FBE2397" w14:textId="01817FA5" w:rsidR="00287441" w:rsidRDefault="00287441" w:rsidP="00F23292">
      <w:pPr>
        <w:pStyle w:val="Heading5"/>
      </w:pPr>
      <w:r w:rsidRPr="00287441">
        <w:t>The Right Direction: Strengthening participant and provider Connections to improve Behaviour Support Outcomes</w:t>
      </w:r>
    </w:p>
    <w:p w14:paraId="690E1E9D" w14:textId="67FA5B7B" w:rsidR="00803CA8" w:rsidRDefault="00803CA8" w:rsidP="00F23292">
      <w:r w:rsidRPr="00803CA8">
        <w:t>The Right Direction: Strengthening participant and provider connections to improve behaviour support outcomes project, is a national project commissioned by the NDIS Quality and Safeguards Commission (NQSC) to co-design, test, and deliver resources to support communication and consultation with people with disability concerning their behaviour support plans and any proposed or actual use of regulated restrictive practices.</w:t>
      </w:r>
      <w:r>
        <w:t xml:space="preserve"> The Senior Practitioner is a member of the Advisory Group who meet bi-monthly </w:t>
      </w:r>
      <w:r w:rsidRPr="00803CA8">
        <w:t>provid</w:t>
      </w:r>
      <w:r>
        <w:t>ing</w:t>
      </w:r>
      <w:r w:rsidRPr="00803CA8">
        <w:t xml:space="preserve"> strategic advice throughout the project and assistance with planning the launch and dissemination of the final products</w:t>
      </w:r>
      <w:r>
        <w:t>.</w:t>
      </w:r>
      <w:r w:rsidRPr="00803CA8">
        <w:t xml:space="preserve"> </w:t>
      </w:r>
    </w:p>
    <w:p w14:paraId="67834337" w14:textId="1C335E63" w:rsidR="00D62700" w:rsidRPr="004331B0" w:rsidRDefault="004331B0" w:rsidP="00F23292">
      <w:pPr>
        <w:pStyle w:val="Heading5"/>
      </w:pPr>
      <w:r w:rsidRPr="004331B0">
        <w:t>Senior Practitioner Leadership Group.</w:t>
      </w:r>
    </w:p>
    <w:p w14:paraId="291317CD" w14:textId="15D08A09" w:rsidR="00ED03EF" w:rsidRDefault="004331B0" w:rsidP="00F23292">
      <w:r w:rsidRPr="004331B0">
        <w:t>The Senior Practitioner is a member of the Senior Practitioner Leadership Group</w:t>
      </w:r>
      <w:r w:rsidR="00C73C5C">
        <w:t>, a</w:t>
      </w:r>
      <w:r w:rsidRPr="004331B0">
        <w:t xml:space="preserve"> committee chaired by the Senior Practitioner, NDIS Commission. The primary purpose is to a practice-focused collective developing contemporary evidence-based best practice advice, aligned with the Convention on the Rights of People with Disability, </w:t>
      </w:r>
      <w:r w:rsidR="00C73C5C" w:rsidRPr="004331B0">
        <w:t>regarding</w:t>
      </w:r>
      <w:r w:rsidRPr="004331B0">
        <w:t xml:space="preserve"> behaviour support and the reduction and elimination of restrictive practices in the NDIS and to achieve National consistency. Meetings are held quarterly </w:t>
      </w:r>
      <w:r w:rsidR="00C73C5C">
        <w:t xml:space="preserve">with meeting </w:t>
      </w:r>
      <w:r w:rsidRPr="004331B0">
        <w:t>locations rotated through the States and Territories.</w:t>
      </w:r>
    </w:p>
    <w:p w14:paraId="673652B5" w14:textId="102C776D" w:rsidR="006B35C5" w:rsidRPr="00EB1EBF" w:rsidRDefault="006B35C5" w:rsidP="00F23292">
      <w:pPr>
        <w:pStyle w:val="Heading1"/>
        <w:spacing w:before="0"/>
        <w:rPr>
          <w:sz w:val="24"/>
        </w:rPr>
      </w:pPr>
      <w:bookmarkStart w:id="48" w:name="_Toc183610789"/>
      <w:bookmarkStart w:id="49" w:name="_Toc185331741"/>
      <w:r w:rsidRPr="00EB1EBF">
        <w:t>5 Priorities for 202</w:t>
      </w:r>
      <w:r w:rsidR="00287441" w:rsidRPr="00EB1EBF">
        <w:t>4</w:t>
      </w:r>
      <w:r w:rsidRPr="00EB1EBF">
        <w:t xml:space="preserve"> -202</w:t>
      </w:r>
      <w:r w:rsidR="00287441" w:rsidRPr="00EB1EBF">
        <w:t>5</w:t>
      </w:r>
      <w:bookmarkEnd w:id="48"/>
      <w:bookmarkEnd w:id="49"/>
    </w:p>
    <w:p w14:paraId="115E2AB6" w14:textId="14526A07" w:rsidR="00651DDE" w:rsidRPr="005D32B4" w:rsidRDefault="00651DDE" w:rsidP="00F23292">
      <w:pPr>
        <w:pStyle w:val="Heading2"/>
        <w:spacing w:before="0"/>
        <w:rPr>
          <w:sz w:val="24"/>
        </w:rPr>
      </w:pPr>
      <w:bookmarkStart w:id="50" w:name="_Toc79756118"/>
      <w:bookmarkStart w:id="51" w:name="_Toc183610790"/>
      <w:bookmarkStart w:id="52" w:name="_Toc185331742"/>
      <w:bookmarkStart w:id="53" w:name="_Hlk79753083"/>
      <w:r w:rsidRPr="005D32B4">
        <w:t>5.1</w:t>
      </w:r>
      <w:r w:rsidRPr="005D32B4">
        <w:tab/>
        <w:t xml:space="preserve">Disability </w:t>
      </w:r>
      <w:r w:rsidR="00202C15">
        <w:t xml:space="preserve">Rights, </w:t>
      </w:r>
      <w:r w:rsidR="000F7CAC" w:rsidRPr="005D32B4">
        <w:t xml:space="preserve">Inclusion </w:t>
      </w:r>
      <w:bookmarkEnd w:id="50"/>
      <w:r w:rsidR="00202C15">
        <w:t xml:space="preserve">and Safeguarding </w:t>
      </w:r>
      <w:r w:rsidR="005E234E">
        <w:t>Act</w:t>
      </w:r>
      <w:r w:rsidR="000F7CAC" w:rsidRPr="005D32B4">
        <w:t xml:space="preserve"> 202</w:t>
      </w:r>
      <w:r w:rsidR="00202C15">
        <w:t>4</w:t>
      </w:r>
      <w:bookmarkEnd w:id="51"/>
      <w:bookmarkEnd w:id="52"/>
    </w:p>
    <w:bookmarkEnd w:id="53"/>
    <w:p w14:paraId="13EA4367" w14:textId="77777777" w:rsidR="00EE6867" w:rsidRDefault="00651DDE" w:rsidP="00F23292">
      <w:r w:rsidRPr="005D32B4">
        <w:t xml:space="preserve">The Senior Practitioner will continue working with all relevant stakeholders in the next reporting period to </w:t>
      </w:r>
      <w:r w:rsidR="000F7CAC" w:rsidRPr="005D32B4">
        <w:t xml:space="preserve">advance the human rights of people with disability and to create a safe and inclusive Tasmania for people with disability. </w:t>
      </w:r>
    </w:p>
    <w:p w14:paraId="3A83FBDE" w14:textId="350D290F" w:rsidR="00EE6867" w:rsidRDefault="004F1D51" w:rsidP="00F23292">
      <w:r>
        <w:t xml:space="preserve">Under the new Act, </w:t>
      </w:r>
      <w:r w:rsidRPr="0017074D">
        <w:t xml:space="preserve">the role of the Senior Practitioner </w:t>
      </w:r>
      <w:r>
        <w:t xml:space="preserve">is elevated </w:t>
      </w:r>
      <w:r w:rsidRPr="0017074D">
        <w:t>to that of decision maker for the authorisation of restrictive practices used by disability service providers and regulates the use of restrictive practices by disability service providers</w:t>
      </w:r>
      <w:r w:rsidR="00EE6867">
        <w:t>, including but not limited to:</w:t>
      </w:r>
    </w:p>
    <w:p w14:paraId="3AFF000E" w14:textId="3787FE92" w:rsidR="00EE6867" w:rsidRDefault="00EE6867" w:rsidP="00F23292">
      <w:pPr>
        <w:pStyle w:val="ListParagraph"/>
        <w:numPr>
          <w:ilvl w:val="0"/>
          <w:numId w:val="32"/>
        </w:numPr>
      </w:pPr>
      <w:r>
        <w:t xml:space="preserve">authorising, </w:t>
      </w:r>
      <w:r w:rsidR="009F2118">
        <w:t>overseeing,</w:t>
      </w:r>
      <w:r>
        <w:t xml:space="preserve"> and reporting on the use of restrictive practices</w:t>
      </w:r>
    </w:p>
    <w:p w14:paraId="14C235DE" w14:textId="0AB07E95" w:rsidR="00CE4431" w:rsidRDefault="00CE4431" w:rsidP="00F23292">
      <w:pPr>
        <w:pStyle w:val="ListParagraph"/>
        <w:numPr>
          <w:ilvl w:val="0"/>
          <w:numId w:val="32"/>
        </w:numPr>
      </w:pPr>
      <w:r>
        <w:rPr>
          <w:rFonts w:eastAsia="Times New Roman" w:cs="Arial"/>
        </w:rPr>
        <w:t>regulat</w:t>
      </w:r>
      <w:r w:rsidR="00215EAB">
        <w:rPr>
          <w:rFonts w:eastAsia="Times New Roman" w:cs="Arial"/>
        </w:rPr>
        <w:t>ing</w:t>
      </w:r>
      <w:r>
        <w:rPr>
          <w:rFonts w:eastAsia="Times New Roman" w:cs="Arial"/>
        </w:rPr>
        <w:t xml:space="preserve"> the use of restrictive practices by disability service providers</w:t>
      </w:r>
    </w:p>
    <w:p w14:paraId="54D0BA56" w14:textId="061696DE" w:rsidR="00EE6867" w:rsidRDefault="00EE6867" w:rsidP="00F23292">
      <w:pPr>
        <w:pStyle w:val="ListParagraph"/>
        <w:numPr>
          <w:ilvl w:val="0"/>
          <w:numId w:val="32"/>
        </w:numPr>
      </w:pPr>
      <w:r>
        <w:t>promoting the reduction and elimination of the use of restrictive practice to the greatest extent possible</w:t>
      </w:r>
    </w:p>
    <w:p w14:paraId="62B97AE8" w14:textId="2BDB9E41" w:rsidR="00EE6867" w:rsidRDefault="00CC5069" w:rsidP="00F23292">
      <w:pPr>
        <w:pStyle w:val="ListParagraph"/>
        <w:numPr>
          <w:ilvl w:val="0"/>
          <w:numId w:val="32"/>
        </w:numPr>
      </w:pPr>
      <w:r>
        <w:t>providing</w:t>
      </w:r>
      <w:r w:rsidR="00EE6867">
        <w:t xml:space="preserve"> guidelines and directions in accordance with best practice, including education, advice and information on restrictive practices and the use of behaviour management techniques that may obviate or minimise the need for restrictive practices.</w:t>
      </w:r>
    </w:p>
    <w:p w14:paraId="2E953B0B" w14:textId="04ABDA13" w:rsidR="00F6582B" w:rsidRDefault="000F7CAC" w:rsidP="00F23292">
      <w:pPr>
        <w:rPr>
          <w:rFonts w:cs="Arial"/>
        </w:rPr>
      </w:pPr>
      <w:r w:rsidRPr="005D32B4">
        <w:t xml:space="preserve">The Act </w:t>
      </w:r>
      <w:r w:rsidR="00651DDE" w:rsidRPr="005D32B4">
        <w:t>align</w:t>
      </w:r>
      <w:r w:rsidR="005E3DA6">
        <w:t>s</w:t>
      </w:r>
      <w:r w:rsidR="00651DDE" w:rsidRPr="005D32B4">
        <w:t xml:space="preserve"> with existing NDIS legislation and contemporary practices in disability support</w:t>
      </w:r>
      <w:r w:rsidR="00EE6867">
        <w:t xml:space="preserve"> and </w:t>
      </w:r>
      <w:r w:rsidR="00B14A04">
        <w:t xml:space="preserve">there </w:t>
      </w:r>
      <w:r w:rsidR="00F37B17">
        <w:t xml:space="preserve">will be a </w:t>
      </w:r>
      <w:r w:rsidR="00B14A04">
        <w:t xml:space="preserve">focus on </w:t>
      </w:r>
      <w:r w:rsidR="00ED2E20">
        <w:t xml:space="preserve">implementation of </w:t>
      </w:r>
      <w:r w:rsidR="00444500">
        <w:t xml:space="preserve">the </w:t>
      </w:r>
      <w:r w:rsidR="00B14A04">
        <w:t>new Act</w:t>
      </w:r>
      <w:r w:rsidR="00ED2E20">
        <w:t>.</w:t>
      </w:r>
      <w:r w:rsidR="00F6582B">
        <w:t xml:space="preserve"> In </w:t>
      </w:r>
      <w:r w:rsidR="007307F1">
        <w:t>addition,</w:t>
      </w:r>
      <w:r w:rsidR="00F6582B">
        <w:t xml:space="preserve"> the </w:t>
      </w:r>
      <w:r w:rsidR="00F6582B">
        <w:rPr>
          <w:rFonts w:cs="Arial"/>
        </w:rPr>
        <w:t xml:space="preserve">Act will introduce </w:t>
      </w:r>
      <w:r w:rsidR="00714A34">
        <w:rPr>
          <w:rFonts w:cs="Arial"/>
        </w:rPr>
        <w:t>several</w:t>
      </w:r>
      <w:r w:rsidR="00F6582B">
        <w:rPr>
          <w:rFonts w:cs="Arial"/>
        </w:rPr>
        <w:t xml:space="preserve"> new measures for Tasmania, including:</w:t>
      </w:r>
    </w:p>
    <w:p w14:paraId="2E06DE0D" w14:textId="77777777" w:rsidR="00F6582B" w:rsidRDefault="00F6582B" w:rsidP="00F23292">
      <w:pPr>
        <w:pStyle w:val="ListParagraph"/>
        <w:numPr>
          <w:ilvl w:val="0"/>
          <w:numId w:val="34"/>
        </w:numPr>
        <w:rPr>
          <w:rFonts w:eastAsia="Times New Roman" w:cs="Arial"/>
        </w:rPr>
      </w:pPr>
      <w:r>
        <w:rPr>
          <w:rFonts w:eastAsia="Times New Roman" w:cs="Arial"/>
        </w:rPr>
        <w:t>creating the position of a Tasmanian Disability Commissioner – the first for Tasmania;</w:t>
      </w:r>
    </w:p>
    <w:p w14:paraId="58817662" w14:textId="77777777" w:rsidR="00F6582B" w:rsidRDefault="00F6582B" w:rsidP="00F23292">
      <w:pPr>
        <w:pStyle w:val="ListParagraph"/>
        <w:numPr>
          <w:ilvl w:val="0"/>
          <w:numId w:val="34"/>
        </w:numPr>
        <w:rPr>
          <w:rFonts w:eastAsia="Times New Roman" w:cs="Arial"/>
        </w:rPr>
      </w:pPr>
      <w:r>
        <w:rPr>
          <w:rFonts w:eastAsia="Times New Roman" w:cs="Arial"/>
        </w:rPr>
        <w:t>establishing a mechanism for the formal inclusion of people with disability in leadership through the creation of a Disability Inclusion Advisory Council;</w:t>
      </w:r>
    </w:p>
    <w:p w14:paraId="79A76963" w14:textId="77777777" w:rsidR="00F6582B" w:rsidRDefault="00F6582B" w:rsidP="00F23292">
      <w:pPr>
        <w:pStyle w:val="ListParagraph"/>
        <w:numPr>
          <w:ilvl w:val="0"/>
          <w:numId w:val="34"/>
        </w:numPr>
        <w:rPr>
          <w:rFonts w:eastAsia="Times New Roman" w:cs="Arial"/>
        </w:rPr>
      </w:pPr>
      <w:r>
        <w:rPr>
          <w:rFonts w:eastAsia="Times New Roman" w:cs="Arial"/>
        </w:rPr>
        <w:t>promoting a social model of disability and the human rights expressed within the United Nations Convention on the Rights of Persons with Disability (UNCRPD) and Australia’s Disability Strategy (ADS);</w:t>
      </w:r>
    </w:p>
    <w:p w14:paraId="2682E85D" w14:textId="1D9C46D1" w:rsidR="00F6582B" w:rsidRDefault="00F6582B" w:rsidP="00F23292">
      <w:pPr>
        <w:pStyle w:val="ListParagraph"/>
        <w:numPr>
          <w:ilvl w:val="0"/>
          <w:numId w:val="34"/>
        </w:numPr>
        <w:rPr>
          <w:rFonts w:eastAsia="Times New Roman" w:cs="Arial"/>
        </w:rPr>
      </w:pPr>
      <w:r>
        <w:rPr>
          <w:rFonts w:eastAsia="Times New Roman" w:cs="Arial"/>
        </w:rPr>
        <w:t xml:space="preserve">formalising requirements relating to consultation, </w:t>
      </w:r>
      <w:r w:rsidR="009F2118">
        <w:rPr>
          <w:rFonts w:eastAsia="Times New Roman" w:cs="Arial"/>
        </w:rPr>
        <w:t>planning,</w:t>
      </w:r>
      <w:r>
        <w:rPr>
          <w:rFonts w:eastAsia="Times New Roman" w:cs="Arial"/>
        </w:rPr>
        <w:t xml:space="preserve"> and reporting of progress in delivering actions through a legislated Tasmanian Disability Inclusion Plan and associated action plans for defined entities such as Government Departments and GBEs;</w:t>
      </w:r>
    </w:p>
    <w:p w14:paraId="6325AE14" w14:textId="1FF877E9" w:rsidR="00F6582B" w:rsidRDefault="00F6582B" w:rsidP="00F23292">
      <w:pPr>
        <w:pStyle w:val="ListParagraph"/>
        <w:numPr>
          <w:ilvl w:val="0"/>
          <w:numId w:val="34"/>
        </w:numPr>
        <w:rPr>
          <w:rFonts w:eastAsia="Times New Roman" w:cs="Arial"/>
        </w:rPr>
      </w:pPr>
      <w:r>
        <w:rPr>
          <w:rFonts w:eastAsia="Times New Roman" w:cs="Arial"/>
        </w:rPr>
        <w:t>making provision for a Community Visitor Scheme to be established in the future in response to a recommendation from the Royal Commission into Violence, Abuse, Neglect and Exploitation of People with Disability</w:t>
      </w:r>
      <w:r w:rsidR="00393FF4">
        <w:rPr>
          <w:rFonts w:eastAsia="Times New Roman" w:cs="Arial"/>
        </w:rPr>
        <w:t>;</w:t>
      </w:r>
    </w:p>
    <w:p w14:paraId="3794188C" w14:textId="77777777" w:rsidR="00F6582B" w:rsidRDefault="00F6582B" w:rsidP="00F23292">
      <w:pPr>
        <w:pStyle w:val="ListParagraph"/>
        <w:numPr>
          <w:ilvl w:val="0"/>
          <w:numId w:val="34"/>
        </w:numPr>
        <w:rPr>
          <w:rFonts w:eastAsia="Times New Roman" w:cs="Arial"/>
        </w:rPr>
      </w:pPr>
      <w:r>
        <w:rPr>
          <w:rFonts w:eastAsia="Times New Roman" w:cs="Arial"/>
        </w:rPr>
        <w:t>many measures in the Bill align with the recommendations handed down by the Royal Commission into Violence, Abuse, Neglect and Exploitation of People with Disability.</w:t>
      </w:r>
    </w:p>
    <w:p w14:paraId="4DDDF712" w14:textId="6B585E6E" w:rsidR="00651DDE" w:rsidRPr="005D32B4" w:rsidRDefault="00651DDE" w:rsidP="00F23292">
      <w:pPr>
        <w:pStyle w:val="Heading2"/>
        <w:spacing w:before="0"/>
      </w:pPr>
      <w:bookmarkStart w:id="54" w:name="_Toc183610791"/>
      <w:bookmarkStart w:id="55" w:name="_Toc185331743"/>
      <w:r w:rsidRPr="005D32B4">
        <w:t>5.</w:t>
      </w:r>
      <w:r w:rsidR="00ED2E20">
        <w:t>2</w:t>
      </w:r>
      <w:r w:rsidRPr="005D32B4">
        <w:tab/>
        <w:t>Fact/information sheets</w:t>
      </w:r>
      <w:bookmarkEnd w:id="54"/>
      <w:bookmarkEnd w:id="55"/>
    </w:p>
    <w:p w14:paraId="53B10208" w14:textId="1B88C8A8" w:rsidR="00FB37A3" w:rsidRDefault="00651DDE" w:rsidP="00F23292">
      <w:pPr>
        <w:rPr>
          <w:rFonts w:cs="Arial"/>
        </w:rPr>
      </w:pPr>
      <w:r w:rsidRPr="005D32B4">
        <w:rPr>
          <w:rFonts w:cs="Arial"/>
        </w:rPr>
        <w:t xml:space="preserve">In the next reporting period Fact </w:t>
      </w:r>
      <w:r w:rsidR="00ED2E20">
        <w:rPr>
          <w:rFonts w:cs="Arial"/>
        </w:rPr>
        <w:t>S</w:t>
      </w:r>
      <w:r w:rsidRPr="005D32B4">
        <w:rPr>
          <w:rFonts w:cs="Arial"/>
        </w:rPr>
        <w:t xml:space="preserve">heets and the Policy and Procedures for use of Restrictive Interventions will be reviewed to </w:t>
      </w:r>
      <w:r w:rsidR="00ED2E20">
        <w:rPr>
          <w:rFonts w:cs="Arial"/>
        </w:rPr>
        <w:t xml:space="preserve">incorporate changes in the </w:t>
      </w:r>
      <w:r w:rsidR="0065341F">
        <w:rPr>
          <w:rFonts w:cs="Arial"/>
        </w:rPr>
        <w:t>Disability Rights, Inclusion and Safeguarding Act</w:t>
      </w:r>
      <w:r w:rsidR="00ED2E20">
        <w:rPr>
          <w:rFonts w:cs="Arial"/>
        </w:rPr>
        <w:t xml:space="preserve"> </w:t>
      </w:r>
      <w:r w:rsidR="0065341F">
        <w:rPr>
          <w:rFonts w:cs="Arial"/>
        </w:rPr>
        <w:t xml:space="preserve">2024 </w:t>
      </w:r>
      <w:r w:rsidR="00ED2E20">
        <w:rPr>
          <w:rFonts w:cs="Arial"/>
        </w:rPr>
        <w:t>and to reflect the c</w:t>
      </w:r>
      <w:r w:rsidRPr="005D32B4">
        <w:rPr>
          <w:rFonts w:cs="Arial"/>
        </w:rPr>
        <w:t>ontent</w:t>
      </w:r>
      <w:r w:rsidR="00ED2E20">
        <w:rPr>
          <w:rFonts w:cs="Arial"/>
        </w:rPr>
        <w:t>s</w:t>
      </w:r>
      <w:r w:rsidRPr="005D32B4">
        <w:rPr>
          <w:rFonts w:cs="Arial"/>
        </w:rPr>
        <w:t xml:space="preserve"> of nationally agreed position</w:t>
      </w:r>
      <w:r w:rsidR="00ED2E20">
        <w:rPr>
          <w:rFonts w:cs="Arial"/>
        </w:rPr>
        <w:t>s</w:t>
      </w:r>
      <w:r w:rsidRPr="005D32B4">
        <w:rPr>
          <w:rFonts w:cs="Arial"/>
        </w:rPr>
        <w:t xml:space="preserve"> on </w:t>
      </w:r>
      <w:r w:rsidR="00ED2E20">
        <w:rPr>
          <w:rFonts w:cs="Arial"/>
        </w:rPr>
        <w:t xml:space="preserve">restrictive </w:t>
      </w:r>
      <w:r w:rsidR="00F40610" w:rsidRPr="005D32B4">
        <w:rPr>
          <w:rFonts w:cs="Arial"/>
        </w:rPr>
        <w:t>practices</w:t>
      </w:r>
      <w:r w:rsidR="00ED2E20">
        <w:rPr>
          <w:rFonts w:cs="Arial"/>
        </w:rPr>
        <w:t xml:space="preserve">. </w:t>
      </w:r>
    </w:p>
    <w:p w14:paraId="242478F6" w14:textId="38C16F1A" w:rsidR="00C7146E" w:rsidRDefault="00C7146E" w:rsidP="00F23292">
      <w:pPr>
        <w:pStyle w:val="Heading2"/>
        <w:spacing w:before="0"/>
      </w:pPr>
      <w:bookmarkStart w:id="56" w:name="_Toc183610792"/>
      <w:bookmarkStart w:id="57" w:name="_Toc185331744"/>
      <w:r>
        <w:t>5.3   Continuing  Priorities</w:t>
      </w:r>
      <w:bookmarkEnd w:id="56"/>
      <w:bookmarkEnd w:id="57"/>
    </w:p>
    <w:p w14:paraId="3405CC43" w14:textId="77777777" w:rsidR="00C7146E" w:rsidRPr="00EB1EBF" w:rsidRDefault="00C7146E" w:rsidP="00F23292">
      <w:r w:rsidRPr="00EB1EBF">
        <w:t>Developing information and education presentations on Individual Planning, Active Support and Replacement Behaviour.</w:t>
      </w:r>
    </w:p>
    <w:p w14:paraId="5D79F40A" w14:textId="77777777" w:rsidR="00C7146E" w:rsidRPr="00EB1EBF" w:rsidRDefault="00C7146E" w:rsidP="00F23292">
      <w:r w:rsidRPr="00EB1EBF">
        <w:t>Developing ‘online’ information and education resources.</w:t>
      </w:r>
    </w:p>
    <w:p w14:paraId="2505BDCA" w14:textId="78940E2C" w:rsidR="00C7146E" w:rsidRPr="005D32B4" w:rsidRDefault="00C7146E" w:rsidP="005D32B4">
      <w:pPr>
        <w:spacing w:after="240"/>
        <w:rPr>
          <w:rFonts w:cs="Arial"/>
        </w:rPr>
        <w:sectPr w:rsidR="00C7146E" w:rsidRPr="005D32B4" w:rsidSect="00E616C3">
          <w:footerReference w:type="even" r:id="rId16"/>
          <w:headerReference w:type="first" r:id="rId17"/>
          <w:footerReference w:type="first" r:id="rId18"/>
          <w:pgSz w:w="11900" w:h="16840"/>
          <w:pgMar w:top="1276" w:right="1412" w:bottom="1134" w:left="1418" w:header="709" w:footer="397" w:gutter="0"/>
          <w:cols w:space="708"/>
          <w:docGrid w:linePitch="360"/>
        </w:sectPr>
      </w:pPr>
    </w:p>
    <w:p w14:paraId="684EC36D" w14:textId="3F2CEA92" w:rsidR="00FB37A3" w:rsidRPr="009A73B9" w:rsidRDefault="0098680C" w:rsidP="0098680C">
      <w:pPr>
        <w:spacing w:before="4680" w:after="360"/>
        <w:ind w:left="4253"/>
        <w:rPr>
          <w:rStyle w:val="FootnoteTextChar"/>
          <w:rFonts w:cs="Arial"/>
        </w:rPr>
      </w:pPr>
      <w:r>
        <w:rPr>
          <w:rStyle w:val="FootnoteTextChar"/>
          <w:rFonts w:cs="Arial"/>
          <w:noProof/>
        </w:rPr>
        <w:drawing>
          <wp:inline distT="0" distB="0" distL="0" distR="0" wp14:anchorId="70CDEDCE" wp14:editId="0430D919">
            <wp:extent cx="1019175" cy="1009650"/>
            <wp:effectExtent l="0" t="0" r="0" b="0"/>
            <wp:docPr id="367041020" name="Picture 1" descr="Tasmanian Government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041020" name="Picture 1" descr="Tasmanian Government Logo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9175" cy="1009650"/>
                    </a:xfrm>
                    <a:prstGeom prst="rect">
                      <a:avLst/>
                    </a:prstGeom>
                    <a:noFill/>
                  </pic:spPr>
                </pic:pic>
              </a:graphicData>
            </a:graphic>
          </wp:inline>
        </w:drawing>
      </w:r>
    </w:p>
    <w:p w14:paraId="643D8226" w14:textId="77777777" w:rsidR="000E4EEA" w:rsidRPr="0098680C" w:rsidRDefault="000E4EEA" w:rsidP="0098680C">
      <w:pPr>
        <w:ind w:left="4253"/>
        <w:rPr>
          <w:rFonts w:cs="Arial"/>
          <w:b/>
          <w:bCs/>
          <w:sz w:val="20"/>
          <w:szCs w:val="20"/>
        </w:rPr>
      </w:pPr>
      <w:r w:rsidRPr="0098680C">
        <w:rPr>
          <w:rFonts w:cs="Arial"/>
          <w:b/>
          <w:bCs/>
          <w:sz w:val="20"/>
          <w:szCs w:val="20"/>
        </w:rPr>
        <w:t>Office of the Senior Practitioner</w:t>
      </w:r>
    </w:p>
    <w:p w14:paraId="30AC0CA8" w14:textId="5788D9F8" w:rsidR="00FB37A3" w:rsidRPr="0098680C" w:rsidRDefault="0098680C" w:rsidP="0098680C">
      <w:pPr>
        <w:ind w:left="4253"/>
        <w:rPr>
          <w:rFonts w:cs="Arial"/>
          <w:sz w:val="20"/>
          <w:szCs w:val="20"/>
        </w:rPr>
      </w:pPr>
      <w:r w:rsidRPr="0098680C">
        <w:rPr>
          <w:rFonts w:cs="Arial"/>
          <w:b/>
          <w:bCs/>
          <w:sz w:val="20"/>
          <w:szCs w:val="20"/>
        </w:rPr>
        <w:t>Department of Premier and Cabinet</w:t>
      </w:r>
    </w:p>
    <w:p w14:paraId="6C675ADB" w14:textId="3BA7AD6F" w:rsidR="00202C15" w:rsidRPr="0098680C" w:rsidRDefault="00FB37A3" w:rsidP="0098680C">
      <w:pPr>
        <w:ind w:left="4253"/>
        <w:rPr>
          <w:rFonts w:cs="Arial"/>
          <w:sz w:val="20"/>
          <w:szCs w:val="20"/>
          <w:lang w:val="en-AU"/>
        </w:rPr>
      </w:pPr>
      <w:r w:rsidRPr="0098680C">
        <w:rPr>
          <w:rFonts w:cs="Arial"/>
          <w:b/>
          <w:bCs/>
          <w:sz w:val="20"/>
          <w:szCs w:val="20"/>
        </w:rPr>
        <w:t>Phone</w:t>
      </w:r>
      <w:r w:rsidR="009A73B9" w:rsidRPr="0098680C">
        <w:rPr>
          <w:rFonts w:cs="Arial"/>
          <w:b/>
          <w:bCs/>
          <w:sz w:val="20"/>
          <w:szCs w:val="20"/>
        </w:rPr>
        <w:tab/>
      </w:r>
      <w:r w:rsidR="0045734E">
        <w:rPr>
          <w:rFonts w:cs="Arial"/>
          <w:b/>
          <w:bCs/>
          <w:sz w:val="20"/>
          <w:szCs w:val="20"/>
        </w:rPr>
        <w:t xml:space="preserve"> </w:t>
      </w:r>
      <w:r w:rsidR="00202C15" w:rsidRPr="0098680C">
        <w:rPr>
          <w:rFonts w:cs="Arial"/>
          <w:sz w:val="20"/>
          <w:szCs w:val="20"/>
          <w:lang w:val="en-AU"/>
        </w:rPr>
        <w:t>0428 197 474</w:t>
      </w:r>
    </w:p>
    <w:p w14:paraId="4C0A9FBC" w14:textId="2AB54787" w:rsidR="00FB37A3" w:rsidRPr="0098680C" w:rsidRDefault="00FB37A3" w:rsidP="0098680C">
      <w:pPr>
        <w:ind w:left="4253"/>
        <w:rPr>
          <w:rFonts w:cs="Arial"/>
          <w:sz w:val="20"/>
          <w:szCs w:val="20"/>
        </w:rPr>
      </w:pPr>
      <w:r w:rsidRPr="0098680C">
        <w:rPr>
          <w:rFonts w:cs="Arial"/>
          <w:b/>
          <w:bCs/>
          <w:sz w:val="20"/>
          <w:szCs w:val="20"/>
        </w:rPr>
        <w:t>Email</w:t>
      </w:r>
      <w:r w:rsidR="00DB4336">
        <w:rPr>
          <w:rFonts w:cs="Arial"/>
          <w:b/>
          <w:bCs/>
          <w:sz w:val="20"/>
          <w:szCs w:val="20"/>
        </w:rPr>
        <w:tab/>
      </w:r>
      <w:r w:rsidR="0045734E">
        <w:rPr>
          <w:rFonts w:cs="Arial"/>
          <w:b/>
          <w:bCs/>
          <w:sz w:val="20"/>
          <w:szCs w:val="20"/>
        </w:rPr>
        <w:t xml:space="preserve"> </w:t>
      </w:r>
      <w:r w:rsidR="004A7BAF" w:rsidRPr="0098680C">
        <w:rPr>
          <w:rFonts w:cs="Arial"/>
          <w:sz w:val="20"/>
          <w:szCs w:val="20"/>
        </w:rPr>
        <w:t>seniorpractitionerdisability@dpac.tas.gov.au</w:t>
      </w:r>
    </w:p>
    <w:p w14:paraId="4E9EDC9E" w14:textId="571F2D09" w:rsidR="00FB37A3" w:rsidRPr="00B16E81" w:rsidRDefault="00695C11" w:rsidP="00652378">
      <w:pPr>
        <w:tabs>
          <w:tab w:val="left" w:pos="567"/>
        </w:tabs>
        <w:ind w:left="4253"/>
      </w:pPr>
      <w:r>
        <w:rPr>
          <w:rFonts w:cs="Arial"/>
          <w:b/>
          <w:bCs/>
          <w:sz w:val="20"/>
          <w:szCs w:val="20"/>
        </w:rPr>
        <w:t>Website</w:t>
      </w:r>
      <w:r w:rsidR="00652378">
        <w:rPr>
          <w:rFonts w:cs="Arial"/>
          <w:b/>
          <w:bCs/>
          <w:sz w:val="20"/>
          <w:szCs w:val="20"/>
        </w:rPr>
        <w:tab/>
      </w:r>
      <w:r w:rsidR="00937B2A">
        <w:rPr>
          <w:rFonts w:cs="Arial"/>
          <w:b/>
          <w:bCs/>
          <w:sz w:val="20"/>
          <w:szCs w:val="20"/>
        </w:rPr>
        <w:t xml:space="preserve"> </w:t>
      </w:r>
      <w:r w:rsidR="006147FE" w:rsidRPr="00B16E81">
        <w:rPr>
          <w:rFonts w:cs="Arial"/>
          <w:sz w:val="20"/>
          <w:szCs w:val="20"/>
        </w:rPr>
        <w:t>www.dpac.tas.gov.au/</w:t>
      </w:r>
    </w:p>
    <w:sectPr w:rsidR="00FB37A3" w:rsidRPr="00B16E81" w:rsidSect="000079C9">
      <w:headerReference w:type="even" r:id="rId20"/>
      <w:headerReference w:type="default" r:id="rId21"/>
      <w:footerReference w:type="even" r:id="rId22"/>
      <w:footerReference w:type="default" r:id="rId23"/>
      <w:headerReference w:type="first" r:id="rId24"/>
      <w:footerReference w:type="first" r:id="rId25"/>
      <w:pgSz w:w="11900" w:h="16840"/>
      <w:pgMar w:top="1134" w:right="1134" w:bottom="567" w:left="1134" w:header="709" w:footer="8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676F" w14:textId="77777777" w:rsidR="00EE4CCD" w:rsidRDefault="00EE4CCD" w:rsidP="001C18F2">
      <w:r>
        <w:separator/>
      </w:r>
    </w:p>
  </w:endnote>
  <w:endnote w:type="continuationSeparator" w:id="0">
    <w:p w14:paraId="676FFFDB" w14:textId="77777777" w:rsidR="00EE4CCD" w:rsidRDefault="00EE4CCD" w:rsidP="001C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New Roman (Headings CS)">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78D6" w14:textId="70DC1F90" w:rsidR="009D49F3" w:rsidRPr="00345745" w:rsidRDefault="00345745" w:rsidP="009D49F3">
    <w:pPr>
      <w:spacing w:before="240" w:after="240"/>
      <w:jc w:val="right"/>
      <w:rPr>
        <w:rFonts w:cs="Arial"/>
        <w:color w:val="595959" w:themeColor="text1" w:themeTint="A6"/>
        <w:sz w:val="18"/>
        <w:szCs w:val="18"/>
      </w:rPr>
    </w:pPr>
    <w:r w:rsidRPr="00345745">
      <w:rPr>
        <w:rFonts w:cs="Arial"/>
        <w:color w:val="595959" w:themeColor="text1" w:themeTint="A6"/>
        <w:sz w:val="18"/>
        <w:szCs w:val="18"/>
      </w:rPr>
      <w:t xml:space="preserve">Office of the Senior Practitioner – Annual Report 2023 </w:t>
    </w:r>
    <w:r>
      <w:rPr>
        <w:rFonts w:cs="Arial"/>
        <w:color w:val="595959" w:themeColor="text1" w:themeTint="A6"/>
        <w:sz w:val="18"/>
        <w:szCs w:val="18"/>
      </w:rPr>
      <w:t>–</w:t>
    </w:r>
    <w:r w:rsidRPr="00345745">
      <w:rPr>
        <w:rFonts w:cs="Arial"/>
        <w:color w:val="595959" w:themeColor="text1" w:themeTint="A6"/>
        <w:sz w:val="18"/>
        <w:szCs w:val="18"/>
      </w:rPr>
      <w:t xml:space="preserve"> 2024</w:t>
    </w:r>
    <w:r>
      <w:rPr>
        <w:rFonts w:cs="Arial"/>
        <w:color w:val="595959" w:themeColor="text1" w:themeTint="A6"/>
        <w:sz w:val="18"/>
        <w:szCs w:val="18"/>
      </w:rPr>
      <w:tab/>
    </w:r>
    <w:r>
      <w:rPr>
        <w:rFonts w:cs="Arial"/>
        <w:color w:val="595959" w:themeColor="text1" w:themeTint="A6"/>
        <w:sz w:val="18"/>
        <w:szCs w:val="18"/>
      </w:rPr>
      <w:tab/>
    </w:r>
    <w:r>
      <w:rPr>
        <w:rFonts w:cs="Arial"/>
        <w:color w:val="595959" w:themeColor="text1" w:themeTint="A6"/>
        <w:sz w:val="18"/>
        <w:szCs w:val="18"/>
      </w:rPr>
      <w:tab/>
    </w:r>
    <w:r>
      <w:rPr>
        <w:rFonts w:cs="Arial"/>
        <w:color w:val="595959" w:themeColor="text1" w:themeTint="A6"/>
        <w:sz w:val="18"/>
        <w:szCs w:val="18"/>
      </w:rPr>
      <w:tab/>
    </w:r>
    <w:r>
      <w:rPr>
        <w:rFonts w:cs="Arial"/>
        <w:color w:val="595959" w:themeColor="text1" w:themeTint="A6"/>
        <w:sz w:val="18"/>
        <w:szCs w:val="18"/>
      </w:rPr>
      <w:tab/>
    </w:r>
    <w:r w:rsidR="00F501A9" w:rsidRPr="00345745">
      <w:rPr>
        <w:rStyle w:val="PageNumber"/>
        <w:rFonts w:ascii="Arial" w:hAnsi="Arial" w:cs="Arial"/>
        <w:b w:val="0"/>
        <w:bCs/>
        <w:color w:val="595959" w:themeColor="text1" w:themeTint="A6"/>
        <w:sz w:val="18"/>
        <w:szCs w:val="18"/>
      </w:rPr>
      <w:t xml:space="preserve">Page </w:t>
    </w:r>
    <w:r w:rsidR="00F501A9" w:rsidRPr="00345745">
      <w:rPr>
        <w:rStyle w:val="PageNumber"/>
        <w:rFonts w:ascii="Arial" w:hAnsi="Arial" w:cs="Arial"/>
        <w:b w:val="0"/>
        <w:bCs/>
        <w:color w:val="595959" w:themeColor="text1" w:themeTint="A6"/>
        <w:sz w:val="18"/>
        <w:szCs w:val="18"/>
      </w:rPr>
      <w:fldChar w:fldCharType="begin"/>
    </w:r>
    <w:r w:rsidR="00F501A9" w:rsidRPr="00345745">
      <w:rPr>
        <w:rStyle w:val="PageNumber"/>
        <w:rFonts w:ascii="Arial" w:hAnsi="Arial" w:cs="Arial"/>
        <w:b w:val="0"/>
        <w:bCs/>
        <w:color w:val="595959" w:themeColor="text1" w:themeTint="A6"/>
        <w:sz w:val="18"/>
        <w:szCs w:val="18"/>
      </w:rPr>
      <w:instrText xml:space="preserve"> PAGE </w:instrText>
    </w:r>
    <w:r w:rsidR="00F501A9" w:rsidRPr="00345745">
      <w:rPr>
        <w:rStyle w:val="PageNumber"/>
        <w:rFonts w:ascii="Arial" w:hAnsi="Arial" w:cs="Arial"/>
        <w:b w:val="0"/>
        <w:bCs/>
        <w:color w:val="595959" w:themeColor="text1" w:themeTint="A6"/>
        <w:sz w:val="18"/>
        <w:szCs w:val="18"/>
      </w:rPr>
      <w:fldChar w:fldCharType="separate"/>
    </w:r>
    <w:r w:rsidR="00F501A9" w:rsidRPr="00345745">
      <w:rPr>
        <w:rStyle w:val="PageNumber"/>
        <w:rFonts w:ascii="Arial" w:hAnsi="Arial" w:cs="Arial"/>
        <w:b w:val="0"/>
        <w:bCs/>
        <w:noProof/>
        <w:color w:val="595959" w:themeColor="text1" w:themeTint="A6"/>
        <w:sz w:val="18"/>
        <w:szCs w:val="18"/>
      </w:rPr>
      <w:t>3</w:t>
    </w:r>
    <w:r w:rsidR="00F501A9" w:rsidRPr="00345745">
      <w:rPr>
        <w:rStyle w:val="PageNumber"/>
        <w:rFonts w:ascii="Arial" w:hAnsi="Arial" w:cs="Arial"/>
        <w:b w:val="0"/>
        <w:bCs/>
        <w:color w:val="595959" w:themeColor="text1" w:themeTint="A6"/>
        <w:sz w:val="18"/>
        <w:szCs w:val="18"/>
      </w:rPr>
      <w:fldChar w:fldCharType="end"/>
    </w:r>
    <w:r w:rsidR="00F501A9" w:rsidRPr="00345745">
      <w:rPr>
        <w:rStyle w:val="PageNumber"/>
        <w:rFonts w:ascii="Arial" w:hAnsi="Arial" w:cs="Arial"/>
        <w:b w:val="0"/>
        <w:bCs/>
        <w:color w:val="595959" w:themeColor="text1" w:themeTint="A6"/>
        <w:sz w:val="18"/>
        <w:szCs w:val="18"/>
      </w:rPr>
      <w:t xml:space="preserve"> of </w:t>
    </w:r>
    <w:r w:rsidR="00F501A9" w:rsidRPr="00345745">
      <w:rPr>
        <w:rStyle w:val="PageNumber"/>
        <w:rFonts w:ascii="Arial" w:hAnsi="Arial" w:cs="Arial"/>
        <w:b w:val="0"/>
        <w:bCs/>
        <w:color w:val="595959" w:themeColor="text1" w:themeTint="A6"/>
        <w:sz w:val="18"/>
        <w:szCs w:val="18"/>
      </w:rPr>
      <w:fldChar w:fldCharType="begin"/>
    </w:r>
    <w:r w:rsidR="00F501A9" w:rsidRPr="00345745">
      <w:rPr>
        <w:rStyle w:val="PageNumber"/>
        <w:rFonts w:ascii="Arial" w:hAnsi="Arial" w:cs="Arial"/>
        <w:b w:val="0"/>
        <w:bCs/>
        <w:color w:val="595959" w:themeColor="text1" w:themeTint="A6"/>
        <w:sz w:val="18"/>
        <w:szCs w:val="18"/>
      </w:rPr>
      <w:instrText xml:space="preserve"> NUMPAGES </w:instrText>
    </w:r>
    <w:r w:rsidR="00F501A9" w:rsidRPr="00345745">
      <w:rPr>
        <w:rStyle w:val="PageNumber"/>
        <w:rFonts w:ascii="Arial" w:hAnsi="Arial" w:cs="Arial"/>
        <w:b w:val="0"/>
        <w:bCs/>
        <w:color w:val="595959" w:themeColor="text1" w:themeTint="A6"/>
        <w:sz w:val="18"/>
        <w:szCs w:val="18"/>
      </w:rPr>
      <w:fldChar w:fldCharType="separate"/>
    </w:r>
    <w:r w:rsidR="00F501A9" w:rsidRPr="00345745">
      <w:rPr>
        <w:rStyle w:val="PageNumber"/>
        <w:rFonts w:ascii="Arial" w:hAnsi="Arial" w:cs="Arial"/>
        <w:b w:val="0"/>
        <w:bCs/>
        <w:noProof/>
        <w:color w:val="595959" w:themeColor="text1" w:themeTint="A6"/>
        <w:sz w:val="18"/>
        <w:szCs w:val="18"/>
      </w:rPr>
      <w:t>3</w:t>
    </w:r>
    <w:r w:rsidR="00F501A9" w:rsidRPr="00345745">
      <w:rPr>
        <w:rStyle w:val="PageNumber"/>
        <w:rFonts w:ascii="Arial" w:hAnsi="Arial" w:cs="Arial"/>
        <w:b w:val="0"/>
        <w:bCs/>
        <w:color w:val="595959" w:themeColor="text1" w:themeTint="A6"/>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530E7" w14:textId="5A6443C7" w:rsidR="001C18F2" w:rsidRDefault="00BE56F0" w:rsidP="000C1BEB">
    <w:pPr>
      <w:pStyle w:val="TasGovDepartmentName"/>
      <w:tabs>
        <w:tab w:val="left" w:pos="8364"/>
      </w:tabs>
      <w:spacing w:after="0"/>
      <w:ind w:right="-1410"/>
    </w:pPr>
    <w:r>
      <w:tab/>
    </w:r>
    <w:r w:rsidR="001C18F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082A" w14:textId="77777777" w:rsidR="00D26793" w:rsidRPr="006F0DA0" w:rsidRDefault="00D26793" w:rsidP="00882FD1">
    <w:pPr>
      <w:pStyle w:val="Footer"/>
      <w:spacing w:after="360"/>
      <w:ind w:right="1138" w:firstLine="113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8273" w14:textId="77777777" w:rsidR="00D26793" w:rsidRDefault="00D26793" w:rsidP="000079C9">
    <w:pPr>
      <w:pStyle w:val="TasGovDepartmentName"/>
      <w:ind w:left="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0C01" w14:textId="77777777" w:rsidR="0044460D" w:rsidRPr="006F0DA0" w:rsidRDefault="0044460D" w:rsidP="006F0DA0">
    <w:pPr>
      <w:pStyle w:val="Footer"/>
      <w:ind w:right="1138" w:firstLine="113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CFBD" w14:textId="01F082C4" w:rsidR="0044460D" w:rsidRDefault="0044460D" w:rsidP="00375372">
    <w:pPr>
      <w:pStyle w:val="Footer"/>
      <w:ind w:right="113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575A" w14:textId="77777777" w:rsidR="000079C9" w:rsidRDefault="000079C9" w:rsidP="000079C9">
    <w:pPr>
      <w:pStyle w:val="TasGovDepartmentName"/>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42CDF" w14:textId="77777777" w:rsidR="00EE4CCD" w:rsidRDefault="00EE4CCD" w:rsidP="001C18F2">
      <w:r>
        <w:separator/>
      </w:r>
    </w:p>
  </w:footnote>
  <w:footnote w:type="continuationSeparator" w:id="0">
    <w:p w14:paraId="77F4C0F2" w14:textId="77777777" w:rsidR="00EE4CCD" w:rsidRDefault="00EE4CCD" w:rsidP="001C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276B" w14:textId="786FED69" w:rsidR="001B3D6B" w:rsidRPr="001B3D6B" w:rsidRDefault="001B3D6B" w:rsidP="001B3D6B">
    <w:pPr>
      <w:pStyle w:val="Header"/>
    </w:pPr>
    <w:r>
      <w:rPr>
        <w:noProof/>
      </w:rPr>
      <w:drawing>
        <wp:anchor distT="0" distB="0" distL="114300" distR="114300" simplePos="0" relativeHeight="251661312" behindDoc="1" locked="0" layoutInCell="1" allowOverlap="1" wp14:anchorId="78F3D618" wp14:editId="74D0EFE1">
          <wp:simplePos x="0" y="0"/>
          <wp:positionH relativeFrom="page">
            <wp:align>right</wp:align>
          </wp:positionH>
          <wp:positionV relativeFrom="paragraph">
            <wp:posOffset>-448310</wp:posOffset>
          </wp:positionV>
          <wp:extent cx="7692272" cy="10872469"/>
          <wp:effectExtent l="0" t="0" r="4445" b="5715"/>
          <wp:wrapNone/>
          <wp:docPr id="6525328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30269"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2272" cy="108724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3D6A" w14:textId="77777777" w:rsidR="00D26793" w:rsidRDefault="00D26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C768B" w14:textId="77777777" w:rsidR="0044460D" w:rsidRDefault="004446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64C67" w14:textId="77777777" w:rsidR="0044460D" w:rsidRDefault="004446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EBB9" w14:textId="77777777" w:rsidR="0044460D" w:rsidRDefault="00444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0A"/>
    <w:multiLevelType w:val="hybridMultilevel"/>
    <w:tmpl w:val="AC9EB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5F3868"/>
    <w:multiLevelType w:val="hybridMultilevel"/>
    <w:tmpl w:val="5FCC6E8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E9F0DF7"/>
    <w:multiLevelType w:val="hybridMultilevel"/>
    <w:tmpl w:val="F11A2F4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3" w15:restartNumberingAfterBreak="0">
    <w:nsid w:val="137B0D40"/>
    <w:multiLevelType w:val="hybridMultilevel"/>
    <w:tmpl w:val="FDB6E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9A2241"/>
    <w:multiLevelType w:val="hybridMultilevel"/>
    <w:tmpl w:val="7CA66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F81081"/>
    <w:multiLevelType w:val="hybridMultilevel"/>
    <w:tmpl w:val="B47EE7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3D70FD"/>
    <w:multiLevelType w:val="hybridMultilevel"/>
    <w:tmpl w:val="BECE6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E7051A"/>
    <w:multiLevelType w:val="hybridMultilevel"/>
    <w:tmpl w:val="14A0B524"/>
    <w:lvl w:ilvl="0" w:tplc="0C090001">
      <w:start w:val="1"/>
      <w:numFmt w:val="bullet"/>
      <w:lvlText w:val=""/>
      <w:lvlJc w:val="left"/>
      <w:pPr>
        <w:ind w:left="720" w:hanging="360"/>
      </w:pPr>
      <w:rPr>
        <w:rFonts w:ascii="Symbol" w:hAnsi="Symbol" w:hint="default"/>
      </w:rPr>
    </w:lvl>
    <w:lvl w:ilvl="1" w:tplc="D0828A46">
      <w:numFmt w:val="bullet"/>
      <w:lvlText w:val="•"/>
      <w:lvlJc w:val="left"/>
      <w:pPr>
        <w:ind w:left="1440" w:hanging="360"/>
      </w:pPr>
      <w:rPr>
        <w:rFonts w:ascii="Gill Sans MT" w:eastAsiaTheme="minorHAnsi" w:hAnsi="Gill Sans MT" w:cs="Times New Roman (Body C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A72376E"/>
    <w:multiLevelType w:val="hybridMultilevel"/>
    <w:tmpl w:val="75EEA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6175D4"/>
    <w:multiLevelType w:val="multilevel"/>
    <w:tmpl w:val="E3027626"/>
    <w:lvl w:ilvl="0">
      <w:start w:val="1"/>
      <w:numFmt w:val="decimal"/>
      <w:lvlText w:val="%1."/>
      <w:lvlJc w:val="left"/>
      <w:pPr>
        <w:ind w:left="360" w:hanging="360"/>
      </w:pPr>
    </w:lvl>
    <w:lvl w:ilvl="1">
      <w:start w:val="1"/>
      <w:numFmt w:val="decimal"/>
      <w:pStyle w:val="Tablecop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575FA4"/>
    <w:multiLevelType w:val="hybridMultilevel"/>
    <w:tmpl w:val="BC7A4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5027CF0"/>
    <w:multiLevelType w:val="hybridMultilevel"/>
    <w:tmpl w:val="B184C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CA577C"/>
    <w:multiLevelType w:val="hybridMultilevel"/>
    <w:tmpl w:val="EBAA8AD0"/>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3" w15:restartNumberingAfterBreak="0">
    <w:nsid w:val="2A401D30"/>
    <w:multiLevelType w:val="hybridMultilevel"/>
    <w:tmpl w:val="E1168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C1367E"/>
    <w:multiLevelType w:val="hybridMultilevel"/>
    <w:tmpl w:val="9BEAE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6F7BD7"/>
    <w:multiLevelType w:val="hybridMultilevel"/>
    <w:tmpl w:val="8F705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F55E7"/>
    <w:multiLevelType w:val="hybridMultilevel"/>
    <w:tmpl w:val="A328E1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8F1278F"/>
    <w:multiLevelType w:val="hybridMultilevel"/>
    <w:tmpl w:val="1FFC84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4A793B1D"/>
    <w:multiLevelType w:val="hybridMultilevel"/>
    <w:tmpl w:val="38E65040"/>
    <w:lvl w:ilvl="0" w:tplc="0ED8F57C">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4DAE4F5C"/>
    <w:multiLevelType w:val="hybridMultilevel"/>
    <w:tmpl w:val="644C3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DFC0F5C"/>
    <w:multiLevelType w:val="hybridMultilevel"/>
    <w:tmpl w:val="E2E8666E"/>
    <w:lvl w:ilvl="0" w:tplc="5B96FDD0">
      <w:start w:val="1"/>
      <w:numFmt w:val="decimal"/>
      <w:lvlText w:val="%1."/>
      <w:lvlJc w:val="left"/>
      <w:pPr>
        <w:ind w:left="720" w:hanging="360"/>
      </w:pPr>
      <w:rPr>
        <w:rFonts w:hint="default"/>
        <w:b/>
        <w:color w:val="53427E" w:themeColor="text2"/>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30981"/>
    <w:multiLevelType w:val="hybridMultilevel"/>
    <w:tmpl w:val="A4E68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FA25AB"/>
    <w:multiLevelType w:val="hybridMultilevel"/>
    <w:tmpl w:val="3AFC400E"/>
    <w:lvl w:ilvl="0" w:tplc="CC3CB8D4">
      <w:start w:val="5"/>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1E2D25"/>
    <w:multiLevelType w:val="hybridMultilevel"/>
    <w:tmpl w:val="1AF44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367A7E"/>
    <w:multiLevelType w:val="hybridMultilevel"/>
    <w:tmpl w:val="2DDCD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1F6C63"/>
    <w:multiLevelType w:val="hybridMultilevel"/>
    <w:tmpl w:val="0FD4929A"/>
    <w:lvl w:ilvl="0" w:tplc="0F8497F6">
      <w:start w:val="1"/>
      <w:numFmt w:val="decimal"/>
      <w:lvlText w:val="%1."/>
      <w:lvlJc w:val="left"/>
      <w:pPr>
        <w:ind w:left="360" w:hanging="360"/>
      </w:pPr>
      <w:rPr>
        <w:color w:val="005FB1" w:themeColor="accent5"/>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4C6666"/>
    <w:multiLevelType w:val="hybridMultilevel"/>
    <w:tmpl w:val="7F0A2C56"/>
    <w:lvl w:ilvl="0" w:tplc="6FC8E16C">
      <w:start w:val="1"/>
      <w:numFmt w:val="decimal"/>
      <w:lvlText w:val="%1."/>
      <w:lvlJc w:val="left"/>
      <w:pPr>
        <w:tabs>
          <w:tab w:val="num" w:pos="567"/>
        </w:tabs>
        <w:ind w:left="567" w:hanging="567"/>
      </w:pPr>
      <w:rPr>
        <w:rFonts w:hint="default"/>
      </w:rPr>
    </w:lvl>
    <w:lvl w:ilvl="1" w:tplc="6166F23A">
      <w:start w:val="1"/>
      <w:numFmt w:val="lowerLetter"/>
      <w:lvlText w:val="%2."/>
      <w:lvlJc w:val="left"/>
      <w:pPr>
        <w:tabs>
          <w:tab w:val="num" w:pos="1134"/>
        </w:tabs>
        <w:ind w:left="1134" w:hanging="567"/>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F53930"/>
    <w:multiLevelType w:val="hybridMultilevel"/>
    <w:tmpl w:val="5E2E9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82766B"/>
    <w:multiLevelType w:val="hybridMultilevel"/>
    <w:tmpl w:val="741A6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4F5B8F"/>
    <w:multiLevelType w:val="hybridMultilevel"/>
    <w:tmpl w:val="77A6A6D8"/>
    <w:lvl w:ilvl="0" w:tplc="2A0C902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837420"/>
    <w:multiLevelType w:val="hybridMultilevel"/>
    <w:tmpl w:val="92809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6C5093"/>
    <w:multiLevelType w:val="hybridMultilevel"/>
    <w:tmpl w:val="DE06120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E9D2AF3"/>
    <w:multiLevelType w:val="hybridMultilevel"/>
    <w:tmpl w:val="D12C41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FAF3E8D"/>
    <w:multiLevelType w:val="hybridMultilevel"/>
    <w:tmpl w:val="C5AAB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2538896">
    <w:abstractNumId w:val="26"/>
  </w:num>
  <w:num w:numId="2" w16cid:durableId="1441990872">
    <w:abstractNumId w:val="29"/>
  </w:num>
  <w:num w:numId="3" w16cid:durableId="1083144630">
    <w:abstractNumId w:val="18"/>
  </w:num>
  <w:num w:numId="4" w16cid:durableId="777144083">
    <w:abstractNumId w:val="2"/>
  </w:num>
  <w:num w:numId="5" w16cid:durableId="875310850">
    <w:abstractNumId w:val="20"/>
  </w:num>
  <w:num w:numId="6" w16cid:durableId="274293088">
    <w:abstractNumId w:val="24"/>
  </w:num>
  <w:num w:numId="7" w16cid:durableId="1617521890">
    <w:abstractNumId w:val="7"/>
  </w:num>
  <w:num w:numId="8" w16cid:durableId="1565095237">
    <w:abstractNumId w:val="17"/>
  </w:num>
  <w:num w:numId="9" w16cid:durableId="478572742">
    <w:abstractNumId w:val="32"/>
  </w:num>
  <w:num w:numId="10" w16cid:durableId="1352730928">
    <w:abstractNumId w:val="14"/>
  </w:num>
  <w:num w:numId="11" w16cid:durableId="1284195987">
    <w:abstractNumId w:val="12"/>
  </w:num>
  <w:num w:numId="12" w16cid:durableId="1785728471">
    <w:abstractNumId w:val="13"/>
  </w:num>
  <w:num w:numId="13" w16cid:durableId="1006444582">
    <w:abstractNumId w:val="31"/>
  </w:num>
  <w:num w:numId="14" w16cid:durableId="495389879">
    <w:abstractNumId w:val="1"/>
  </w:num>
  <w:num w:numId="15" w16cid:durableId="889390329">
    <w:abstractNumId w:val="25"/>
  </w:num>
  <w:num w:numId="16" w16cid:durableId="935673325">
    <w:abstractNumId w:val="28"/>
  </w:num>
  <w:num w:numId="17" w16cid:durableId="1788506534">
    <w:abstractNumId w:val="19"/>
  </w:num>
  <w:num w:numId="18" w16cid:durableId="1207837747">
    <w:abstractNumId w:val="23"/>
  </w:num>
  <w:num w:numId="19" w16cid:durableId="1729953895">
    <w:abstractNumId w:val="15"/>
  </w:num>
  <w:num w:numId="20" w16cid:durableId="1411583900">
    <w:abstractNumId w:val="5"/>
  </w:num>
  <w:num w:numId="21" w16cid:durableId="1332180144">
    <w:abstractNumId w:val="22"/>
  </w:num>
  <w:num w:numId="22" w16cid:durableId="35469032">
    <w:abstractNumId w:val="6"/>
  </w:num>
  <w:num w:numId="23" w16cid:durableId="1241213324">
    <w:abstractNumId w:val="0"/>
  </w:num>
  <w:num w:numId="24" w16cid:durableId="977491963">
    <w:abstractNumId w:val="3"/>
  </w:num>
  <w:num w:numId="25" w16cid:durableId="621229258">
    <w:abstractNumId w:val="30"/>
  </w:num>
  <w:num w:numId="26" w16cid:durableId="971834926">
    <w:abstractNumId w:val="21"/>
  </w:num>
  <w:num w:numId="27" w16cid:durableId="667026916">
    <w:abstractNumId w:val="10"/>
  </w:num>
  <w:num w:numId="28" w16cid:durableId="2135564413">
    <w:abstractNumId w:val="11"/>
  </w:num>
  <w:num w:numId="29" w16cid:durableId="123237436">
    <w:abstractNumId w:val="27"/>
  </w:num>
  <w:num w:numId="30" w16cid:durableId="1115978380">
    <w:abstractNumId w:val="4"/>
  </w:num>
  <w:num w:numId="31" w16cid:durableId="1949850310">
    <w:abstractNumId w:val="8"/>
  </w:num>
  <w:num w:numId="32" w16cid:durableId="853958395">
    <w:abstractNumId w:val="33"/>
  </w:num>
  <w:num w:numId="33" w16cid:durableId="1805007155">
    <w:abstractNumId w:val="9"/>
  </w:num>
  <w:num w:numId="34" w16cid:durableId="12857757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0C3"/>
    <w:rsid w:val="0000266C"/>
    <w:rsid w:val="000073A6"/>
    <w:rsid w:val="000079C9"/>
    <w:rsid w:val="000103DF"/>
    <w:rsid w:val="00010B3A"/>
    <w:rsid w:val="00016935"/>
    <w:rsid w:val="000327B1"/>
    <w:rsid w:val="0003787B"/>
    <w:rsid w:val="0004307E"/>
    <w:rsid w:val="00044E06"/>
    <w:rsid w:val="000502A3"/>
    <w:rsid w:val="00053689"/>
    <w:rsid w:val="00055F73"/>
    <w:rsid w:val="00063EEF"/>
    <w:rsid w:val="00071FAC"/>
    <w:rsid w:val="00076265"/>
    <w:rsid w:val="00080C82"/>
    <w:rsid w:val="00082775"/>
    <w:rsid w:val="00082E15"/>
    <w:rsid w:val="0008652E"/>
    <w:rsid w:val="000873BC"/>
    <w:rsid w:val="000912CC"/>
    <w:rsid w:val="00093D2B"/>
    <w:rsid w:val="00096DA9"/>
    <w:rsid w:val="000A7B3B"/>
    <w:rsid w:val="000B02F5"/>
    <w:rsid w:val="000B5B02"/>
    <w:rsid w:val="000B5EEC"/>
    <w:rsid w:val="000B72E3"/>
    <w:rsid w:val="000B7538"/>
    <w:rsid w:val="000C0116"/>
    <w:rsid w:val="000C1BEB"/>
    <w:rsid w:val="000C1FBF"/>
    <w:rsid w:val="000C421C"/>
    <w:rsid w:val="000D026B"/>
    <w:rsid w:val="000D0B60"/>
    <w:rsid w:val="000D5BA9"/>
    <w:rsid w:val="000D5DCC"/>
    <w:rsid w:val="000D7506"/>
    <w:rsid w:val="000E2467"/>
    <w:rsid w:val="000E4CE1"/>
    <w:rsid w:val="000E4EEA"/>
    <w:rsid w:val="000E6996"/>
    <w:rsid w:val="000E7ABB"/>
    <w:rsid w:val="000F1F6B"/>
    <w:rsid w:val="000F2727"/>
    <w:rsid w:val="000F54CA"/>
    <w:rsid w:val="000F5BC8"/>
    <w:rsid w:val="000F7CAC"/>
    <w:rsid w:val="000F7E29"/>
    <w:rsid w:val="0010078B"/>
    <w:rsid w:val="001061BF"/>
    <w:rsid w:val="00116284"/>
    <w:rsid w:val="001165D4"/>
    <w:rsid w:val="001176A3"/>
    <w:rsid w:val="00140A5B"/>
    <w:rsid w:val="00143F89"/>
    <w:rsid w:val="001519B3"/>
    <w:rsid w:val="00151E25"/>
    <w:rsid w:val="001623FE"/>
    <w:rsid w:val="00165923"/>
    <w:rsid w:val="00172696"/>
    <w:rsid w:val="00174B9F"/>
    <w:rsid w:val="00182884"/>
    <w:rsid w:val="00182FC6"/>
    <w:rsid w:val="0018405A"/>
    <w:rsid w:val="00187B3E"/>
    <w:rsid w:val="00190B65"/>
    <w:rsid w:val="001911E1"/>
    <w:rsid w:val="001B28B5"/>
    <w:rsid w:val="001B3D6B"/>
    <w:rsid w:val="001C18F2"/>
    <w:rsid w:val="001C1E57"/>
    <w:rsid w:val="001C210E"/>
    <w:rsid w:val="001C768B"/>
    <w:rsid w:val="001D0309"/>
    <w:rsid w:val="001D3269"/>
    <w:rsid w:val="001E28E4"/>
    <w:rsid w:val="001E3FD4"/>
    <w:rsid w:val="00202C15"/>
    <w:rsid w:val="00213F47"/>
    <w:rsid w:val="00215EAB"/>
    <w:rsid w:val="0021667E"/>
    <w:rsid w:val="00222508"/>
    <w:rsid w:val="00224C96"/>
    <w:rsid w:val="002254DB"/>
    <w:rsid w:val="002361D9"/>
    <w:rsid w:val="002362E8"/>
    <w:rsid w:val="00244093"/>
    <w:rsid w:val="002534C8"/>
    <w:rsid w:val="0025645E"/>
    <w:rsid w:val="00256C22"/>
    <w:rsid w:val="00276C0D"/>
    <w:rsid w:val="00277402"/>
    <w:rsid w:val="00280E9F"/>
    <w:rsid w:val="00281657"/>
    <w:rsid w:val="00286E92"/>
    <w:rsid w:val="00287441"/>
    <w:rsid w:val="00287797"/>
    <w:rsid w:val="0029008A"/>
    <w:rsid w:val="0029517D"/>
    <w:rsid w:val="00296D9E"/>
    <w:rsid w:val="002A22A1"/>
    <w:rsid w:val="002A4B50"/>
    <w:rsid w:val="002B0199"/>
    <w:rsid w:val="002B2848"/>
    <w:rsid w:val="002B5507"/>
    <w:rsid w:val="002B5E5A"/>
    <w:rsid w:val="002C02B1"/>
    <w:rsid w:val="002C238B"/>
    <w:rsid w:val="002D37F2"/>
    <w:rsid w:val="002D3860"/>
    <w:rsid w:val="002D4EB1"/>
    <w:rsid w:val="002E676F"/>
    <w:rsid w:val="002E719E"/>
    <w:rsid w:val="002F5105"/>
    <w:rsid w:val="0030099D"/>
    <w:rsid w:val="00306221"/>
    <w:rsid w:val="00312B09"/>
    <w:rsid w:val="00314F4D"/>
    <w:rsid w:val="0031703E"/>
    <w:rsid w:val="003200C0"/>
    <w:rsid w:val="00323883"/>
    <w:rsid w:val="00326DA0"/>
    <w:rsid w:val="0033166E"/>
    <w:rsid w:val="00332B20"/>
    <w:rsid w:val="00334367"/>
    <w:rsid w:val="003343CD"/>
    <w:rsid w:val="00340BF3"/>
    <w:rsid w:val="003439E5"/>
    <w:rsid w:val="00345745"/>
    <w:rsid w:val="00345B83"/>
    <w:rsid w:val="00350879"/>
    <w:rsid w:val="00350FD7"/>
    <w:rsid w:val="00352625"/>
    <w:rsid w:val="00357656"/>
    <w:rsid w:val="00360691"/>
    <w:rsid w:val="00366140"/>
    <w:rsid w:val="003679CC"/>
    <w:rsid w:val="00375372"/>
    <w:rsid w:val="0038033A"/>
    <w:rsid w:val="00383F3B"/>
    <w:rsid w:val="00384063"/>
    <w:rsid w:val="003866D6"/>
    <w:rsid w:val="00390BEC"/>
    <w:rsid w:val="00393FF4"/>
    <w:rsid w:val="00396235"/>
    <w:rsid w:val="003A1C9B"/>
    <w:rsid w:val="003A3CEE"/>
    <w:rsid w:val="003A46C9"/>
    <w:rsid w:val="003A4799"/>
    <w:rsid w:val="003A64BA"/>
    <w:rsid w:val="003A708A"/>
    <w:rsid w:val="003B7A15"/>
    <w:rsid w:val="003C00E4"/>
    <w:rsid w:val="003D0F96"/>
    <w:rsid w:val="003D26CA"/>
    <w:rsid w:val="003D2B7A"/>
    <w:rsid w:val="003D3CA2"/>
    <w:rsid w:val="003E0B18"/>
    <w:rsid w:val="003E2E76"/>
    <w:rsid w:val="003E65FE"/>
    <w:rsid w:val="004001F3"/>
    <w:rsid w:val="00401172"/>
    <w:rsid w:val="00402298"/>
    <w:rsid w:val="00405C5C"/>
    <w:rsid w:val="00406FAD"/>
    <w:rsid w:val="00414F7E"/>
    <w:rsid w:val="0042140D"/>
    <w:rsid w:val="004242EB"/>
    <w:rsid w:val="00425BB8"/>
    <w:rsid w:val="004268A7"/>
    <w:rsid w:val="004272BF"/>
    <w:rsid w:val="00432701"/>
    <w:rsid w:val="004331B0"/>
    <w:rsid w:val="00436983"/>
    <w:rsid w:val="00440BBA"/>
    <w:rsid w:val="00441833"/>
    <w:rsid w:val="00444500"/>
    <w:rsid w:val="0044460D"/>
    <w:rsid w:val="00444CEA"/>
    <w:rsid w:val="00453599"/>
    <w:rsid w:val="00455E18"/>
    <w:rsid w:val="00455EA2"/>
    <w:rsid w:val="0045734E"/>
    <w:rsid w:val="00457D63"/>
    <w:rsid w:val="00462E7D"/>
    <w:rsid w:val="004633A0"/>
    <w:rsid w:val="004640C8"/>
    <w:rsid w:val="00465461"/>
    <w:rsid w:val="0046552B"/>
    <w:rsid w:val="00467482"/>
    <w:rsid w:val="004732A4"/>
    <w:rsid w:val="004806EB"/>
    <w:rsid w:val="00482B77"/>
    <w:rsid w:val="00492425"/>
    <w:rsid w:val="00493259"/>
    <w:rsid w:val="004A7BAF"/>
    <w:rsid w:val="004B20EC"/>
    <w:rsid w:val="004C1FCC"/>
    <w:rsid w:val="004C4165"/>
    <w:rsid w:val="004C724C"/>
    <w:rsid w:val="004C7D17"/>
    <w:rsid w:val="004D3D7D"/>
    <w:rsid w:val="004D58F5"/>
    <w:rsid w:val="004E4E9C"/>
    <w:rsid w:val="004F1ABF"/>
    <w:rsid w:val="004F1D51"/>
    <w:rsid w:val="004F4863"/>
    <w:rsid w:val="0051035C"/>
    <w:rsid w:val="00511136"/>
    <w:rsid w:val="00523AF1"/>
    <w:rsid w:val="005245C8"/>
    <w:rsid w:val="00527869"/>
    <w:rsid w:val="0053606F"/>
    <w:rsid w:val="00540A95"/>
    <w:rsid w:val="005418F6"/>
    <w:rsid w:val="00547D54"/>
    <w:rsid w:val="005508C3"/>
    <w:rsid w:val="005517BF"/>
    <w:rsid w:val="00552CDF"/>
    <w:rsid w:val="00555527"/>
    <w:rsid w:val="00555D3C"/>
    <w:rsid w:val="005642C9"/>
    <w:rsid w:val="00571E2B"/>
    <w:rsid w:val="005728FF"/>
    <w:rsid w:val="0057534A"/>
    <w:rsid w:val="00576B4E"/>
    <w:rsid w:val="00582EB0"/>
    <w:rsid w:val="00584F6D"/>
    <w:rsid w:val="00586223"/>
    <w:rsid w:val="0058672C"/>
    <w:rsid w:val="0059030E"/>
    <w:rsid w:val="005923F3"/>
    <w:rsid w:val="005927FE"/>
    <w:rsid w:val="005928AC"/>
    <w:rsid w:val="00594FC3"/>
    <w:rsid w:val="00595919"/>
    <w:rsid w:val="005C0F8D"/>
    <w:rsid w:val="005D32B4"/>
    <w:rsid w:val="005D7C5A"/>
    <w:rsid w:val="005E234E"/>
    <w:rsid w:val="005E2597"/>
    <w:rsid w:val="005E3DA6"/>
    <w:rsid w:val="005E75B2"/>
    <w:rsid w:val="005F268C"/>
    <w:rsid w:val="005F3A7A"/>
    <w:rsid w:val="005F5FEC"/>
    <w:rsid w:val="0060365F"/>
    <w:rsid w:val="00605606"/>
    <w:rsid w:val="00613856"/>
    <w:rsid w:val="006147FE"/>
    <w:rsid w:val="00614AE5"/>
    <w:rsid w:val="00616739"/>
    <w:rsid w:val="00616AF2"/>
    <w:rsid w:val="00623B8F"/>
    <w:rsid w:val="00627B1D"/>
    <w:rsid w:val="00634430"/>
    <w:rsid w:val="0063796A"/>
    <w:rsid w:val="00641634"/>
    <w:rsid w:val="006429DF"/>
    <w:rsid w:val="00642EDD"/>
    <w:rsid w:val="00643093"/>
    <w:rsid w:val="006506D1"/>
    <w:rsid w:val="00651DDE"/>
    <w:rsid w:val="00652378"/>
    <w:rsid w:val="0065341F"/>
    <w:rsid w:val="00653A46"/>
    <w:rsid w:val="00655878"/>
    <w:rsid w:val="0066170C"/>
    <w:rsid w:val="00664463"/>
    <w:rsid w:val="00665092"/>
    <w:rsid w:val="006675B2"/>
    <w:rsid w:val="0066778A"/>
    <w:rsid w:val="00673711"/>
    <w:rsid w:val="006836BD"/>
    <w:rsid w:val="00684656"/>
    <w:rsid w:val="00687D7E"/>
    <w:rsid w:val="0069137D"/>
    <w:rsid w:val="00691C38"/>
    <w:rsid w:val="00694BA9"/>
    <w:rsid w:val="00695C11"/>
    <w:rsid w:val="00696AD5"/>
    <w:rsid w:val="00697576"/>
    <w:rsid w:val="006A396C"/>
    <w:rsid w:val="006A3C37"/>
    <w:rsid w:val="006B0BB7"/>
    <w:rsid w:val="006B16FE"/>
    <w:rsid w:val="006B35C5"/>
    <w:rsid w:val="006C51ED"/>
    <w:rsid w:val="006D7CA8"/>
    <w:rsid w:val="006E1B64"/>
    <w:rsid w:val="006F11C5"/>
    <w:rsid w:val="006F1F0A"/>
    <w:rsid w:val="006F27C6"/>
    <w:rsid w:val="0070054E"/>
    <w:rsid w:val="00701CCE"/>
    <w:rsid w:val="00702FE3"/>
    <w:rsid w:val="007042A7"/>
    <w:rsid w:val="00704D61"/>
    <w:rsid w:val="00711D55"/>
    <w:rsid w:val="0071284E"/>
    <w:rsid w:val="00713DF1"/>
    <w:rsid w:val="00714A34"/>
    <w:rsid w:val="007151FB"/>
    <w:rsid w:val="00715F28"/>
    <w:rsid w:val="00716356"/>
    <w:rsid w:val="00720EC1"/>
    <w:rsid w:val="007271C1"/>
    <w:rsid w:val="0073072B"/>
    <w:rsid w:val="007307F1"/>
    <w:rsid w:val="007353D3"/>
    <w:rsid w:val="007368F0"/>
    <w:rsid w:val="007430C3"/>
    <w:rsid w:val="00760083"/>
    <w:rsid w:val="00763F97"/>
    <w:rsid w:val="007662D7"/>
    <w:rsid w:val="0077354A"/>
    <w:rsid w:val="00773A93"/>
    <w:rsid w:val="00780C97"/>
    <w:rsid w:val="007832FE"/>
    <w:rsid w:val="007838F0"/>
    <w:rsid w:val="007A3952"/>
    <w:rsid w:val="007A6015"/>
    <w:rsid w:val="007A7E5E"/>
    <w:rsid w:val="007B04C5"/>
    <w:rsid w:val="007B2FDF"/>
    <w:rsid w:val="007B4568"/>
    <w:rsid w:val="007B457B"/>
    <w:rsid w:val="007C1657"/>
    <w:rsid w:val="007C2E31"/>
    <w:rsid w:val="007C545B"/>
    <w:rsid w:val="007D01ED"/>
    <w:rsid w:val="007D0A42"/>
    <w:rsid w:val="007E00E2"/>
    <w:rsid w:val="007E647F"/>
    <w:rsid w:val="007E6A9A"/>
    <w:rsid w:val="00803CA8"/>
    <w:rsid w:val="00813EBB"/>
    <w:rsid w:val="0081437A"/>
    <w:rsid w:val="00814D52"/>
    <w:rsid w:val="00822961"/>
    <w:rsid w:val="008235F0"/>
    <w:rsid w:val="0084481F"/>
    <w:rsid w:val="0086375D"/>
    <w:rsid w:val="00865376"/>
    <w:rsid w:val="00865DEE"/>
    <w:rsid w:val="00867DB9"/>
    <w:rsid w:val="00872CDF"/>
    <w:rsid w:val="00873288"/>
    <w:rsid w:val="00876F91"/>
    <w:rsid w:val="00880DA1"/>
    <w:rsid w:val="00886275"/>
    <w:rsid w:val="008865A9"/>
    <w:rsid w:val="00890BE9"/>
    <w:rsid w:val="0089173E"/>
    <w:rsid w:val="00891B76"/>
    <w:rsid w:val="00892133"/>
    <w:rsid w:val="0089346F"/>
    <w:rsid w:val="008B5E46"/>
    <w:rsid w:val="008C4026"/>
    <w:rsid w:val="008D2677"/>
    <w:rsid w:val="008D2FDE"/>
    <w:rsid w:val="008E33B3"/>
    <w:rsid w:val="008E6B7D"/>
    <w:rsid w:val="008F0232"/>
    <w:rsid w:val="008F62F9"/>
    <w:rsid w:val="00901769"/>
    <w:rsid w:val="00901DA4"/>
    <w:rsid w:val="00911A2A"/>
    <w:rsid w:val="00925D57"/>
    <w:rsid w:val="00930BD3"/>
    <w:rsid w:val="00937407"/>
    <w:rsid w:val="00937B2A"/>
    <w:rsid w:val="009401A2"/>
    <w:rsid w:val="00940EDC"/>
    <w:rsid w:val="009436DD"/>
    <w:rsid w:val="00954D9D"/>
    <w:rsid w:val="00956143"/>
    <w:rsid w:val="0095656A"/>
    <w:rsid w:val="00960D3D"/>
    <w:rsid w:val="00964A06"/>
    <w:rsid w:val="009664B1"/>
    <w:rsid w:val="0096744E"/>
    <w:rsid w:val="00976434"/>
    <w:rsid w:val="0098274D"/>
    <w:rsid w:val="0098444E"/>
    <w:rsid w:val="00985109"/>
    <w:rsid w:val="0098680C"/>
    <w:rsid w:val="009875D0"/>
    <w:rsid w:val="00992AAC"/>
    <w:rsid w:val="009A46EF"/>
    <w:rsid w:val="009A73B9"/>
    <w:rsid w:val="009B0AA3"/>
    <w:rsid w:val="009B31EE"/>
    <w:rsid w:val="009C5F62"/>
    <w:rsid w:val="009D473D"/>
    <w:rsid w:val="009D49F3"/>
    <w:rsid w:val="009D622A"/>
    <w:rsid w:val="009E39B5"/>
    <w:rsid w:val="009E3DC3"/>
    <w:rsid w:val="009E7AEE"/>
    <w:rsid w:val="009F09A4"/>
    <w:rsid w:val="009F2118"/>
    <w:rsid w:val="00A050B1"/>
    <w:rsid w:val="00A078B4"/>
    <w:rsid w:val="00A15F29"/>
    <w:rsid w:val="00A227C8"/>
    <w:rsid w:val="00A238E8"/>
    <w:rsid w:val="00A25083"/>
    <w:rsid w:val="00A260C9"/>
    <w:rsid w:val="00A27404"/>
    <w:rsid w:val="00A27575"/>
    <w:rsid w:val="00A36ABA"/>
    <w:rsid w:val="00A37B73"/>
    <w:rsid w:val="00A4428A"/>
    <w:rsid w:val="00A463DC"/>
    <w:rsid w:val="00A56544"/>
    <w:rsid w:val="00A611C6"/>
    <w:rsid w:val="00A71536"/>
    <w:rsid w:val="00A71659"/>
    <w:rsid w:val="00A75B66"/>
    <w:rsid w:val="00AA1453"/>
    <w:rsid w:val="00AA4A71"/>
    <w:rsid w:val="00AB6D78"/>
    <w:rsid w:val="00AB6D88"/>
    <w:rsid w:val="00AB7F50"/>
    <w:rsid w:val="00AC01D3"/>
    <w:rsid w:val="00AC6446"/>
    <w:rsid w:val="00AD304D"/>
    <w:rsid w:val="00AE4843"/>
    <w:rsid w:val="00AE6A88"/>
    <w:rsid w:val="00AE7063"/>
    <w:rsid w:val="00AE786F"/>
    <w:rsid w:val="00AF2A1F"/>
    <w:rsid w:val="00AF3869"/>
    <w:rsid w:val="00AF39C4"/>
    <w:rsid w:val="00AF708C"/>
    <w:rsid w:val="00B04BBC"/>
    <w:rsid w:val="00B14A04"/>
    <w:rsid w:val="00B16E81"/>
    <w:rsid w:val="00B179CC"/>
    <w:rsid w:val="00B2468E"/>
    <w:rsid w:val="00B24C83"/>
    <w:rsid w:val="00B25191"/>
    <w:rsid w:val="00B31313"/>
    <w:rsid w:val="00B376A5"/>
    <w:rsid w:val="00B52334"/>
    <w:rsid w:val="00B53502"/>
    <w:rsid w:val="00B733FE"/>
    <w:rsid w:val="00B77683"/>
    <w:rsid w:val="00B83AF5"/>
    <w:rsid w:val="00B863D0"/>
    <w:rsid w:val="00B91B2C"/>
    <w:rsid w:val="00B94FA6"/>
    <w:rsid w:val="00BA1D72"/>
    <w:rsid w:val="00BA469D"/>
    <w:rsid w:val="00BA47FF"/>
    <w:rsid w:val="00BA4CB7"/>
    <w:rsid w:val="00BA6DBB"/>
    <w:rsid w:val="00BB43C7"/>
    <w:rsid w:val="00BB58DB"/>
    <w:rsid w:val="00BB7A5B"/>
    <w:rsid w:val="00BC2619"/>
    <w:rsid w:val="00BC3EB8"/>
    <w:rsid w:val="00BC6F2A"/>
    <w:rsid w:val="00BD30C5"/>
    <w:rsid w:val="00BD5442"/>
    <w:rsid w:val="00BE3C7D"/>
    <w:rsid w:val="00BE56F0"/>
    <w:rsid w:val="00C01074"/>
    <w:rsid w:val="00C0125B"/>
    <w:rsid w:val="00C03F75"/>
    <w:rsid w:val="00C04BB5"/>
    <w:rsid w:val="00C05BF3"/>
    <w:rsid w:val="00C20F27"/>
    <w:rsid w:val="00C22008"/>
    <w:rsid w:val="00C35DF9"/>
    <w:rsid w:val="00C377ED"/>
    <w:rsid w:val="00C37E7E"/>
    <w:rsid w:val="00C4241A"/>
    <w:rsid w:val="00C44BA3"/>
    <w:rsid w:val="00C50184"/>
    <w:rsid w:val="00C51226"/>
    <w:rsid w:val="00C542A8"/>
    <w:rsid w:val="00C7146E"/>
    <w:rsid w:val="00C715A5"/>
    <w:rsid w:val="00C73C5C"/>
    <w:rsid w:val="00C76DED"/>
    <w:rsid w:val="00C76F24"/>
    <w:rsid w:val="00C77394"/>
    <w:rsid w:val="00C817DB"/>
    <w:rsid w:val="00C818EA"/>
    <w:rsid w:val="00C83449"/>
    <w:rsid w:val="00C85D0D"/>
    <w:rsid w:val="00C87EDF"/>
    <w:rsid w:val="00C92F78"/>
    <w:rsid w:val="00C9319A"/>
    <w:rsid w:val="00C96257"/>
    <w:rsid w:val="00CA0786"/>
    <w:rsid w:val="00CA112C"/>
    <w:rsid w:val="00CA20E6"/>
    <w:rsid w:val="00CB386E"/>
    <w:rsid w:val="00CB4144"/>
    <w:rsid w:val="00CB7F20"/>
    <w:rsid w:val="00CC0FED"/>
    <w:rsid w:val="00CC31BA"/>
    <w:rsid w:val="00CC5069"/>
    <w:rsid w:val="00CC7523"/>
    <w:rsid w:val="00CD49BA"/>
    <w:rsid w:val="00CE1580"/>
    <w:rsid w:val="00CE2D47"/>
    <w:rsid w:val="00CE4431"/>
    <w:rsid w:val="00CF1B10"/>
    <w:rsid w:val="00CF1B85"/>
    <w:rsid w:val="00CF4522"/>
    <w:rsid w:val="00D017DF"/>
    <w:rsid w:val="00D17A31"/>
    <w:rsid w:val="00D20C36"/>
    <w:rsid w:val="00D24198"/>
    <w:rsid w:val="00D26793"/>
    <w:rsid w:val="00D31FF3"/>
    <w:rsid w:val="00D35EDB"/>
    <w:rsid w:val="00D36CF8"/>
    <w:rsid w:val="00D426B1"/>
    <w:rsid w:val="00D459E8"/>
    <w:rsid w:val="00D46333"/>
    <w:rsid w:val="00D53EAB"/>
    <w:rsid w:val="00D54444"/>
    <w:rsid w:val="00D62700"/>
    <w:rsid w:val="00D734A4"/>
    <w:rsid w:val="00D754EA"/>
    <w:rsid w:val="00D8180A"/>
    <w:rsid w:val="00D81962"/>
    <w:rsid w:val="00D83CAD"/>
    <w:rsid w:val="00D859AA"/>
    <w:rsid w:val="00D9047D"/>
    <w:rsid w:val="00D93CC7"/>
    <w:rsid w:val="00D962B5"/>
    <w:rsid w:val="00DB0F0E"/>
    <w:rsid w:val="00DB18BC"/>
    <w:rsid w:val="00DB4336"/>
    <w:rsid w:val="00DB7B6E"/>
    <w:rsid w:val="00DB7FC9"/>
    <w:rsid w:val="00DC1922"/>
    <w:rsid w:val="00DC4953"/>
    <w:rsid w:val="00DD1248"/>
    <w:rsid w:val="00DD46FF"/>
    <w:rsid w:val="00DE57A0"/>
    <w:rsid w:val="00DF032A"/>
    <w:rsid w:val="00DF4382"/>
    <w:rsid w:val="00DF573E"/>
    <w:rsid w:val="00E02B2E"/>
    <w:rsid w:val="00E0686D"/>
    <w:rsid w:val="00E17076"/>
    <w:rsid w:val="00E20F49"/>
    <w:rsid w:val="00E21C37"/>
    <w:rsid w:val="00E24D51"/>
    <w:rsid w:val="00E33D3A"/>
    <w:rsid w:val="00E352CE"/>
    <w:rsid w:val="00E372B0"/>
    <w:rsid w:val="00E409CD"/>
    <w:rsid w:val="00E418FD"/>
    <w:rsid w:val="00E47386"/>
    <w:rsid w:val="00E47E32"/>
    <w:rsid w:val="00E5051C"/>
    <w:rsid w:val="00E51CD1"/>
    <w:rsid w:val="00E51FC8"/>
    <w:rsid w:val="00E616C3"/>
    <w:rsid w:val="00E6535A"/>
    <w:rsid w:val="00E65AEE"/>
    <w:rsid w:val="00E70F18"/>
    <w:rsid w:val="00E70F7E"/>
    <w:rsid w:val="00E840B6"/>
    <w:rsid w:val="00E872D3"/>
    <w:rsid w:val="00E90DFA"/>
    <w:rsid w:val="00E91B39"/>
    <w:rsid w:val="00E954B9"/>
    <w:rsid w:val="00EA3838"/>
    <w:rsid w:val="00EA3C71"/>
    <w:rsid w:val="00EA5083"/>
    <w:rsid w:val="00EA578E"/>
    <w:rsid w:val="00EB17C0"/>
    <w:rsid w:val="00EB1EBF"/>
    <w:rsid w:val="00EB5CC9"/>
    <w:rsid w:val="00EC4607"/>
    <w:rsid w:val="00ED03EF"/>
    <w:rsid w:val="00ED200C"/>
    <w:rsid w:val="00ED2E20"/>
    <w:rsid w:val="00ED5FDB"/>
    <w:rsid w:val="00EE01FC"/>
    <w:rsid w:val="00EE4CCD"/>
    <w:rsid w:val="00EE5D48"/>
    <w:rsid w:val="00EE6867"/>
    <w:rsid w:val="00EF2383"/>
    <w:rsid w:val="00EF72DD"/>
    <w:rsid w:val="00EF73B5"/>
    <w:rsid w:val="00F025BD"/>
    <w:rsid w:val="00F0362E"/>
    <w:rsid w:val="00F05D61"/>
    <w:rsid w:val="00F1157B"/>
    <w:rsid w:val="00F11C2C"/>
    <w:rsid w:val="00F11CD4"/>
    <w:rsid w:val="00F1223B"/>
    <w:rsid w:val="00F128B1"/>
    <w:rsid w:val="00F210AD"/>
    <w:rsid w:val="00F22DAA"/>
    <w:rsid w:val="00F23292"/>
    <w:rsid w:val="00F2398F"/>
    <w:rsid w:val="00F25224"/>
    <w:rsid w:val="00F25715"/>
    <w:rsid w:val="00F308C6"/>
    <w:rsid w:val="00F3171D"/>
    <w:rsid w:val="00F335E0"/>
    <w:rsid w:val="00F37B17"/>
    <w:rsid w:val="00F40610"/>
    <w:rsid w:val="00F45604"/>
    <w:rsid w:val="00F501A9"/>
    <w:rsid w:val="00F50CBC"/>
    <w:rsid w:val="00F545A0"/>
    <w:rsid w:val="00F55935"/>
    <w:rsid w:val="00F62E80"/>
    <w:rsid w:val="00F6582B"/>
    <w:rsid w:val="00F74F39"/>
    <w:rsid w:val="00F822F7"/>
    <w:rsid w:val="00F85CFF"/>
    <w:rsid w:val="00F93B2C"/>
    <w:rsid w:val="00F9492A"/>
    <w:rsid w:val="00F976BC"/>
    <w:rsid w:val="00FA0E4A"/>
    <w:rsid w:val="00FA296B"/>
    <w:rsid w:val="00FA75F5"/>
    <w:rsid w:val="00FB0C77"/>
    <w:rsid w:val="00FB37A3"/>
    <w:rsid w:val="00FB5F46"/>
    <w:rsid w:val="00FC26E8"/>
    <w:rsid w:val="00FC5CE3"/>
    <w:rsid w:val="00FD3D57"/>
    <w:rsid w:val="00FD7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B3C73"/>
  <w14:defaultImageDpi w14:val="32767"/>
  <w15:chartTrackingRefBased/>
  <w15:docId w15:val="{BF825C51-BE71-4514-B5BB-D19EB433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33A0"/>
    <w:pPr>
      <w:spacing w:after="120" w:line="271" w:lineRule="auto"/>
    </w:pPr>
    <w:rPr>
      <w:rFonts w:ascii="Arial" w:hAnsi="Arial"/>
    </w:rPr>
  </w:style>
  <w:style w:type="paragraph" w:styleId="Heading1">
    <w:name w:val="heading 1"/>
    <w:basedOn w:val="Normal"/>
    <w:next w:val="Normal"/>
    <w:link w:val="Heading1Char"/>
    <w:uiPriority w:val="9"/>
    <w:qFormat/>
    <w:rsid w:val="00345745"/>
    <w:pPr>
      <w:keepNext/>
      <w:keepLines/>
      <w:spacing w:before="240"/>
      <w:outlineLvl w:val="0"/>
    </w:pPr>
    <w:rPr>
      <w:rFonts w:eastAsiaTheme="majorEastAsia" w:cstheme="majorBidi"/>
      <w:b/>
      <w:bCs/>
      <w:color w:val="36335C"/>
      <w:sz w:val="70"/>
      <w:szCs w:val="68"/>
    </w:rPr>
  </w:style>
  <w:style w:type="paragraph" w:styleId="Heading2">
    <w:name w:val="heading 2"/>
    <w:basedOn w:val="Normal"/>
    <w:next w:val="Normal"/>
    <w:link w:val="Heading2Char"/>
    <w:uiPriority w:val="9"/>
    <w:unhideWhenUsed/>
    <w:qFormat/>
    <w:rsid w:val="00345745"/>
    <w:pPr>
      <w:keepNext/>
      <w:keepLines/>
      <w:spacing w:before="480"/>
      <w:outlineLvl w:val="1"/>
    </w:pPr>
    <w:rPr>
      <w:rFonts w:eastAsiaTheme="majorEastAsia" w:cstheme="majorBidi"/>
      <w:b/>
      <w:bCs/>
      <w:color w:val="0E7482"/>
      <w:sz w:val="36"/>
      <w:szCs w:val="48"/>
    </w:rPr>
  </w:style>
  <w:style w:type="paragraph" w:styleId="Heading3">
    <w:name w:val="heading 3"/>
    <w:basedOn w:val="Normal"/>
    <w:next w:val="Normal"/>
    <w:link w:val="Heading3Char"/>
    <w:uiPriority w:val="9"/>
    <w:unhideWhenUsed/>
    <w:qFormat/>
    <w:rsid w:val="00345745"/>
    <w:pPr>
      <w:keepNext/>
      <w:keepLines/>
      <w:spacing w:before="240"/>
      <w:outlineLvl w:val="2"/>
    </w:pPr>
    <w:rPr>
      <w:rFonts w:eastAsiaTheme="majorEastAsia" w:cstheme="majorBidi"/>
      <w:b/>
      <w:color w:val="0E7482"/>
      <w:sz w:val="32"/>
      <w:szCs w:val="36"/>
    </w:rPr>
  </w:style>
  <w:style w:type="paragraph" w:styleId="Heading4">
    <w:name w:val="heading 4"/>
    <w:basedOn w:val="Normal"/>
    <w:next w:val="Normal"/>
    <w:link w:val="Heading4Char"/>
    <w:uiPriority w:val="9"/>
    <w:unhideWhenUsed/>
    <w:qFormat/>
    <w:rsid w:val="00345745"/>
    <w:pPr>
      <w:keepNext/>
      <w:keepLines/>
      <w:outlineLvl w:val="3"/>
    </w:pPr>
    <w:rPr>
      <w:rFonts w:eastAsiaTheme="majorEastAsia" w:cstheme="majorBidi"/>
      <w:b/>
      <w:bCs/>
      <w:iCs/>
      <w:color w:val="0E7482"/>
      <w:sz w:val="28"/>
      <w:szCs w:val="28"/>
    </w:rPr>
  </w:style>
  <w:style w:type="paragraph" w:styleId="Heading5">
    <w:name w:val="heading 5"/>
    <w:basedOn w:val="Normal"/>
    <w:next w:val="Normal"/>
    <w:link w:val="Heading5Char"/>
    <w:uiPriority w:val="9"/>
    <w:unhideWhenUsed/>
    <w:qFormat/>
    <w:rsid w:val="00345745"/>
    <w:pPr>
      <w:keepNext/>
      <w:keepLines/>
      <w:outlineLvl w:val="4"/>
    </w:pPr>
    <w:rPr>
      <w:rFonts w:eastAsiaTheme="majorEastAsia" w:cstheme="majorBidi"/>
      <w:b/>
      <w:bCs/>
      <w:color w:val="0E74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66778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Col">
      <w:rPr>
        <w:b/>
        <w:color w:val="FFFFFF" w:themeColor="background1"/>
      </w:rPr>
      <w:tblPr/>
      <w:tcPr>
        <w:shd w:val="clear" w:color="auto" w:fill="405D16" w:themeFill="accent1"/>
      </w:tcPr>
    </w:tblStylePr>
  </w:style>
  <w:style w:type="paragraph" w:styleId="Header">
    <w:name w:val="header"/>
    <w:basedOn w:val="Normal"/>
    <w:link w:val="HeaderChar"/>
    <w:uiPriority w:val="99"/>
    <w:unhideWhenUsed/>
    <w:rsid w:val="00876F91"/>
    <w:pPr>
      <w:tabs>
        <w:tab w:val="center" w:pos="4513"/>
        <w:tab w:val="right" w:pos="9026"/>
      </w:tabs>
    </w:pPr>
  </w:style>
  <w:style w:type="character" w:customStyle="1" w:styleId="HeaderChar">
    <w:name w:val="Header Char"/>
    <w:basedOn w:val="DefaultParagraphFont"/>
    <w:link w:val="Header"/>
    <w:uiPriority w:val="99"/>
    <w:rsid w:val="00876F91"/>
  </w:style>
  <w:style w:type="paragraph" w:styleId="Footer">
    <w:name w:val="footer"/>
    <w:basedOn w:val="Normal"/>
    <w:link w:val="FooterChar"/>
    <w:uiPriority w:val="99"/>
    <w:unhideWhenUsed/>
    <w:rsid w:val="00876F91"/>
    <w:pPr>
      <w:tabs>
        <w:tab w:val="center" w:pos="4513"/>
        <w:tab w:val="right" w:pos="9026"/>
      </w:tabs>
    </w:pPr>
  </w:style>
  <w:style w:type="character" w:customStyle="1" w:styleId="FooterChar">
    <w:name w:val="Footer Char"/>
    <w:basedOn w:val="DefaultParagraphFont"/>
    <w:link w:val="Footer"/>
    <w:uiPriority w:val="99"/>
    <w:rsid w:val="00876F91"/>
  </w:style>
  <w:style w:type="paragraph" w:customStyle="1" w:styleId="TasGovDepartmentName">
    <w:name w:val="TasGov Department Name"/>
    <w:basedOn w:val="Normal"/>
    <w:qFormat/>
    <w:rsid w:val="00876F91"/>
    <w:pPr>
      <w:spacing w:line="300" w:lineRule="exact"/>
      <w:ind w:left="-850"/>
    </w:pPr>
    <w:rPr>
      <w:rFonts w:cs="Times New Roman (Body CS)"/>
      <w:spacing w:val="26"/>
      <w:sz w:val="22"/>
      <w:lang w:val="en-AU"/>
    </w:rPr>
  </w:style>
  <w:style w:type="character" w:customStyle="1" w:styleId="Heading2Char">
    <w:name w:val="Heading 2 Char"/>
    <w:basedOn w:val="DefaultParagraphFont"/>
    <w:link w:val="Heading2"/>
    <w:uiPriority w:val="9"/>
    <w:rsid w:val="00345745"/>
    <w:rPr>
      <w:rFonts w:ascii="Arial" w:eastAsiaTheme="majorEastAsia" w:hAnsi="Arial" w:cstheme="majorBidi"/>
      <w:b/>
      <w:bCs/>
      <w:color w:val="0E7482"/>
      <w:sz w:val="36"/>
      <w:szCs w:val="48"/>
    </w:rPr>
  </w:style>
  <w:style w:type="paragraph" w:styleId="Subtitle">
    <w:name w:val="Subtitle"/>
    <w:basedOn w:val="Normal"/>
    <w:next w:val="Normal"/>
    <w:link w:val="SubtitleChar"/>
    <w:uiPriority w:val="11"/>
    <w:qFormat/>
    <w:rsid w:val="00873288"/>
    <w:pPr>
      <w:numPr>
        <w:ilvl w:val="1"/>
      </w:numPr>
      <w:spacing w:before="240"/>
      <w:jc w:val="right"/>
    </w:pPr>
    <w:rPr>
      <w:rFonts w:eastAsiaTheme="minorEastAsia"/>
      <w:color w:val="000000" w:themeColor="text1"/>
      <w:spacing w:val="15"/>
      <w:sz w:val="36"/>
      <w:szCs w:val="22"/>
    </w:rPr>
  </w:style>
  <w:style w:type="character" w:customStyle="1" w:styleId="SubtitleChar">
    <w:name w:val="Subtitle Char"/>
    <w:basedOn w:val="DefaultParagraphFont"/>
    <w:link w:val="Subtitle"/>
    <w:uiPriority w:val="11"/>
    <w:rsid w:val="00873288"/>
    <w:rPr>
      <w:rFonts w:eastAsiaTheme="minorEastAsia"/>
      <w:color w:val="000000" w:themeColor="text1"/>
      <w:spacing w:val="15"/>
      <w:sz w:val="36"/>
      <w:szCs w:val="22"/>
    </w:rPr>
  </w:style>
  <w:style w:type="paragraph" w:styleId="Title">
    <w:name w:val="Title"/>
    <w:basedOn w:val="Normal"/>
    <w:next w:val="Normal"/>
    <w:link w:val="TitleChar"/>
    <w:uiPriority w:val="10"/>
    <w:qFormat/>
    <w:rsid w:val="00873288"/>
    <w:pPr>
      <w:contextualSpacing/>
      <w:jc w:val="right"/>
    </w:pPr>
    <w:rPr>
      <w:rFonts w:asciiTheme="majorHAnsi" w:eastAsiaTheme="majorEastAsia" w:hAnsiTheme="majorHAnsi" w:cstheme="majorBidi"/>
      <w:b/>
      <w:bCs/>
      <w:color w:val="005FB1" w:themeColor="accent5"/>
      <w:spacing w:val="-10"/>
      <w:kern w:val="28"/>
      <w:sz w:val="84"/>
      <w:szCs w:val="84"/>
    </w:rPr>
  </w:style>
  <w:style w:type="character" w:customStyle="1" w:styleId="TitleChar">
    <w:name w:val="Title Char"/>
    <w:basedOn w:val="DefaultParagraphFont"/>
    <w:link w:val="Title"/>
    <w:uiPriority w:val="10"/>
    <w:rsid w:val="00873288"/>
    <w:rPr>
      <w:rFonts w:asciiTheme="majorHAnsi" w:eastAsiaTheme="majorEastAsia" w:hAnsiTheme="majorHAnsi" w:cstheme="majorBidi"/>
      <w:b/>
      <w:bCs/>
      <w:color w:val="005FB1" w:themeColor="accent5"/>
      <w:spacing w:val="-10"/>
      <w:kern w:val="28"/>
      <w:sz w:val="84"/>
      <w:szCs w:val="84"/>
    </w:rPr>
  </w:style>
  <w:style w:type="character" w:styleId="PageNumber">
    <w:name w:val="page number"/>
    <w:basedOn w:val="DefaultParagraphFont"/>
    <w:uiPriority w:val="99"/>
    <w:semiHidden/>
    <w:unhideWhenUsed/>
    <w:rsid w:val="00F501A9"/>
    <w:rPr>
      <w:rFonts w:asciiTheme="majorHAnsi" w:hAnsiTheme="majorHAnsi"/>
      <w:b/>
      <w:color w:val="FFFFFF" w:themeColor="background1"/>
      <w:sz w:val="32"/>
    </w:rPr>
  </w:style>
  <w:style w:type="character" w:customStyle="1" w:styleId="Heading1Char">
    <w:name w:val="Heading 1 Char"/>
    <w:basedOn w:val="DefaultParagraphFont"/>
    <w:link w:val="Heading1"/>
    <w:uiPriority w:val="9"/>
    <w:rsid w:val="00345745"/>
    <w:rPr>
      <w:rFonts w:ascii="Arial" w:eastAsiaTheme="majorEastAsia" w:hAnsi="Arial" w:cstheme="majorBidi"/>
      <w:b/>
      <w:bCs/>
      <w:color w:val="36335C"/>
      <w:sz w:val="70"/>
      <w:szCs w:val="68"/>
    </w:rPr>
  </w:style>
  <w:style w:type="character" w:customStyle="1" w:styleId="Heading3Char">
    <w:name w:val="Heading 3 Char"/>
    <w:basedOn w:val="DefaultParagraphFont"/>
    <w:link w:val="Heading3"/>
    <w:uiPriority w:val="9"/>
    <w:rsid w:val="00345745"/>
    <w:rPr>
      <w:rFonts w:ascii="Arial" w:eastAsiaTheme="majorEastAsia" w:hAnsi="Arial" w:cstheme="majorBidi"/>
      <w:b/>
      <w:color w:val="0E7482"/>
      <w:sz w:val="32"/>
      <w:szCs w:val="36"/>
    </w:rPr>
  </w:style>
  <w:style w:type="character" w:customStyle="1" w:styleId="Heading4Char">
    <w:name w:val="Heading 4 Char"/>
    <w:basedOn w:val="DefaultParagraphFont"/>
    <w:link w:val="Heading4"/>
    <w:uiPriority w:val="9"/>
    <w:rsid w:val="00345745"/>
    <w:rPr>
      <w:rFonts w:ascii="Arial" w:eastAsiaTheme="majorEastAsia" w:hAnsi="Arial" w:cstheme="majorBidi"/>
      <w:b/>
      <w:bCs/>
      <w:iCs/>
      <w:color w:val="0E7482"/>
      <w:sz w:val="28"/>
      <w:szCs w:val="28"/>
    </w:rPr>
  </w:style>
  <w:style w:type="character" w:customStyle="1" w:styleId="Heading5Char">
    <w:name w:val="Heading 5 Char"/>
    <w:basedOn w:val="DefaultParagraphFont"/>
    <w:link w:val="Heading5"/>
    <w:uiPriority w:val="9"/>
    <w:rsid w:val="00345745"/>
    <w:rPr>
      <w:rFonts w:ascii="Arial" w:eastAsiaTheme="majorEastAsia" w:hAnsi="Arial" w:cstheme="majorBidi"/>
      <w:b/>
      <w:bCs/>
      <w:color w:val="0E7482"/>
    </w:rPr>
  </w:style>
  <w:style w:type="paragraph" w:styleId="ListParagraph">
    <w:name w:val="List Paragraph"/>
    <w:basedOn w:val="Normal"/>
    <w:uiPriority w:val="34"/>
    <w:qFormat/>
    <w:rsid w:val="001911E1"/>
    <w:rPr>
      <w:rFonts w:cs="Times New Roman (Body CS)"/>
      <w:lang w:val="en-AU"/>
    </w:rPr>
  </w:style>
  <w:style w:type="paragraph" w:styleId="Quote">
    <w:name w:val="Quote"/>
    <w:aliases w:val="Intro Text"/>
    <w:basedOn w:val="Normal"/>
    <w:next w:val="Normal"/>
    <w:link w:val="QuoteChar"/>
    <w:uiPriority w:val="29"/>
    <w:qFormat/>
    <w:rsid w:val="0077354A"/>
    <w:pPr>
      <w:spacing w:before="280" w:after="480"/>
    </w:pPr>
    <w:rPr>
      <w:rFonts w:cs="Times New Roman (Body CS)"/>
      <w:iCs/>
      <w:color w:val="005FB1" w:themeColor="accent5"/>
      <w:sz w:val="32"/>
      <w:lang w:val="en-AU"/>
    </w:rPr>
  </w:style>
  <w:style w:type="character" w:customStyle="1" w:styleId="QuoteChar">
    <w:name w:val="Quote Char"/>
    <w:aliases w:val="Intro Text Char"/>
    <w:basedOn w:val="DefaultParagraphFont"/>
    <w:link w:val="Quote"/>
    <w:uiPriority w:val="29"/>
    <w:rsid w:val="0077354A"/>
    <w:rPr>
      <w:rFonts w:cs="Times New Roman (Body CS)"/>
      <w:iCs/>
      <w:color w:val="005FB1" w:themeColor="accent5"/>
      <w:sz w:val="32"/>
      <w:lang w:val="en-AU"/>
    </w:rPr>
  </w:style>
  <w:style w:type="paragraph" w:styleId="IntenseQuote">
    <w:name w:val="Intense Quote"/>
    <w:aliases w:val="Pullout quote"/>
    <w:basedOn w:val="Normal"/>
    <w:next w:val="Normal"/>
    <w:link w:val="IntenseQuoteChar"/>
    <w:uiPriority w:val="30"/>
    <w:qFormat/>
    <w:rsid w:val="00222508"/>
    <w:pPr>
      <w:pBdr>
        <w:top w:val="single" w:sz="4" w:space="7" w:color="005FB1" w:themeColor="accent5"/>
        <w:bottom w:val="single" w:sz="4" w:space="7" w:color="005FB1" w:themeColor="accent5"/>
      </w:pBdr>
      <w:spacing w:before="480" w:after="360" w:line="360" w:lineRule="exact"/>
      <w:jc w:val="center"/>
    </w:pPr>
    <w:rPr>
      <w:rFonts w:cs="Times New Roman (Body CS)"/>
      <w:i/>
      <w:iCs/>
      <w:color w:val="005FB1" w:themeColor="accent5"/>
      <w:sz w:val="32"/>
      <w:szCs w:val="32"/>
      <w:lang w:val="en-AU"/>
    </w:rPr>
  </w:style>
  <w:style w:type="character" w:customStyle="1" w:styleId="IntenseQuoteChar">
    <w:name w:val="Intense Quote Char"/>
    <w:aliases w:val="Pullout quote Char"/>
    <w:basedOn w:val="DefaultParagraphFont"/>
    <w:link w:val="IntenseQuote"/>
    <w:uiPriority w:val="30"/>
    <w:rsid w:val="00222508"/>
    <w:rPr>
      <w:rFonts w:cs="Times New Roman (Body CS)"/>
      <w:i/>
      <w:iCs/>
      <w:color w:val="005FB1" w:themeColor="accent5"/>
      <w:sz w:val="32"/>
      <w:szCs w:val="32"/>
      <w:lang w:val="en-AU"/>
    </w:rPr>
  </w:style>
  <w:style w:type="paragraph" w:styleId="FootnoteText">
    <w:name w:val="footnote text"/>
    <w:basedOn w:val="Normal"/>
    <w:link w:val="FootnoteTextChar"/>
    <w:uiPriority w:val="99"/>
    <w:unhideWhenUsed/>
    <w:rsid w:val="00D26793"/>
    <w:rPr>
      <w:rFonts w:cs="Times New Roman (Body CS)"/>
      <w:sz w:val="20"/>
      <w:szCs w:val="20"/>
      <w:lang w:val="en-AU"/>
    </w:rPr>
  </w:style>
  <w:style w:type="character" w:customStyle="1" w:styleId="FootnoteTextChar">
    <w:name w:val="Footnote Text Char"/>
    <w:basedOn w:val="DefaultParagraphFont"/>
    <w:link w:val="FootnoteText"/>
    <w:uiPriority w:val="99"/>
    <w:rsid w:val="00D26793"/>
    <w:rPr>
      <w:rFonts w:cs="Times New Roman (Body CS)"/>
      <w:sz w:val="20"/>
      <w:szCs w:val="20"/>
      <w:lang w:val="en-AU"/>
    </w:rPr>
  </w:style>
  <w:style w:type="character" w:styleId="IntenseEmphasis">
    <w:name w:val="Intense Emphasis"/>
    <w:basedOn w:val="DefaultParagraphFont"/>
    <w:uiPriority w:val="21"/>
    <w:qFormat/>
    <w:rsid w:val="00D26793"/>
    <w:rPr>
      <w:i/>
      <w:iCs/>
      <w:color w:val="53427E" w:themeColor="text2"/>
    </w:rPr>
  </w:style>
  <w:style w:type="paragraph" w:styleId="TOCHeading">
    <w:name w:val="TOC Heading"/>
    <w:basedOn w:val="Heading1"/>
    <w:next w:val="Normal"/>
    <w:uiPriority w:val="39"/>
    <w:unhideWhenUsed/>
    <w:qFormat/>
    <w:rsid w:val="0077354A"/>
    <w:pPr>
      <w:spacing w:before="60" w:after="200"/>
      <w:contextualSpacing/>
      <w:outlineLvl w:val="9"/>
    </w:pPr>
    <w:rPr>
      <w:bCs w:val="0"/>
      <w:lang w:val="en-AU"/>
    </w:rPr>
  </w:style>
  <w:style w:type="paragraph" w:styleId="TOC1">
    <w:name w:val="toc 1"/>
    <w:basedOn w:val="Normal"/>
    <w:next w:val="Normal"/>
    <w:autoRedefine/>
    <w:uiPriority w:val="39"/>
    <w:unhideWhenUsed/>
    <w:rsid w:val="002361D9"/>
    <w:pPr>
      <w:spacing w:line="288" w:lineRule="auto"/>
    </w:pPr>
    <w:rPr>
      <w:rFonts w:asciiTheme="majorHAnsi" w:hAnsiTheme="majorHAnsi" w:cs="Times New Roman (Body CS)"/>
      <w:b/>
      <w:bCs/>
      <w:sz w:val="28"/>
      <w:lang w:val="en-AU"/>
    </w:rPr>
  </w:style>
  <w:style w:type="character" w:styleId="Hyperlink">
    <w:name w:val="Hyperlink"/>
    <w:basedOn w:val="DefaultParagraphFont"/>
    <w:uiPriority w:val="99"/>
    <w:unhideWhenUsed/>
    <w:rsid w:val="00D26793"/>
    <w:rPr>
      <w:color w:val="4C4C4C" w:themeColor="hyperlink"/>
      <w:u w:val="single"/>
    </w:rPr>
  </w:style>
  <w:style w:type="table" w:customStyle="1" w:styleId="ListTable41">
    <w:name w:val="List Table 41"/>
    <w:basedOn w:val="TableNormal"/>
    <w:uiPriority w:val="49"/>
    <w:rsid w:val="00D2679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FigureTableHeading">
    <w:name w:val="Figure/Table Heading"/>
    <w:qFormat/>
    <w:rsid w:val="0086375D"/>
    <w:pPr>
      <w:spacing w:before="360" w:after="240"/>
    </w:pPr>
    <w:rPr>
      <w:rFonts w:asciiTheme="majorHAnsi" w:eastAsiaTheme="majorEastAsia" w:hAnsiTheme="majorHAnsi" w:cs="Times New Roman (Headings CS)"/>
      <w:iCs/>
      <w:color w:val="404040" w:themeColor="text1" w:themeTint="BF"/>
      <w:sz w:val="28"/>
      <w:szCs w:val="28"/>
      <w:lang w:val="en-AU"/>
    </w:rPr>
  </w:style>
  <w:style w:type="paragraph" w:styleId="TOC2">
    <w:name w:val="toc 2"/>
    <w:basedOn w:val="Normal"/>
    <w:next w:val="Normal"/>
    <w:autoRedefine/>
    <w:uiPriority w:val="39"/>
    <w:unhideWhenUsed/>
    <w:rsid w:val="008E33B3"/>
    <w:pPr>
      <w:tabs>
        <w:tab w:val="right" w:leader="dot" w:pos="9060"/>
      </w:tabs>
      <w:spacing w:line="288" w:lineRule="auto"/>
      <w:ind w:left="227"/>
    </w:pPr>
    <w:rPr>
      <w:rFonts w:cs="Times New Roman (Body CS)"/>
      <w:noProof/>
      <w:szCs w:val="20"/>
      <w:lang w:val="en-AU"/>
    </w:rPr>
  </w:style>
  <w:style w:type="paragraph" w:styleId="TOC3">
    <w:name w:val="toc 3"/>
    <w:basedOn w:val="Normal"/>
    <w:next w:val="Normal"/>
    <w:autoRedefine/>
    <w:uiPriority w:val="39"/>
    <w:unhideWhenUsed/>
    <w:rsid w:val="00D734A4"/>
    <w:pPr>
      <w:tabs>
        <w:tab w:val="left" w:pos="880"/>
        <w:tab w:val="right" w:leader="dot" w:pos="9060"/>
      </w:tabs>
      <w:spacing w:line="288" w:lineRule="auto"/>
      <w:ind w:left="221"/>
    </w:pPr>
    <w:rPr>
      <w:rFonts w:cs="Times New Roman (Body CS)"/>
      <w:szCs w:val="20"/>
      <w:lang w:val="en-AU"/>
    </w:rPr>
  </w:style>
  <w:style w:type="paragraph" w:styleId="TOC4">
    <w:name w:val="toc 4"/>
    <w:basedOn w:val="Normal"/>
    <w:next w:val="Normal"/>
    <w:autoRedefine/>
    <w:uiPriority w:val="39"/>
    <w:unhideWhenUsed/>
    <w:rsid w:val="002361D9"/>
    <w:pPr>
      <w:spacing w:line="288" w:lineRule="auto"/>
      <w:ind w:left="454"/>
    </w:pPr>
    <w:rPr>
      <w:rFonts w:cs="Times New Roman (Body CS)"/>
      <w:szCs w:val="20"/>
      <w:lang w:val="en-AU"/>
    </w:rPr>
  </w:style>
  <w:style w:type="table" w:styleId="ListTable3-Accent5">
    <w:name w:val="List Table 3 Accent 5"/>
    <w:basedOn w:val="TableNormal"/>
    <w:uiPriority w:val="48"/>
    <w:rsid w:val="0086375D"/>
    <w:tblPr>
      <w:tblStyleRowBandSize w:val="1"/>
      <w:tblStyleColBandSize w:val="1"/>
      <w:tblBorders>
        <w:top w:val="single" w:sz="4" w:space="0" w:color="005FB1" w:themeColor="accent5"/>
        <w:left w:val="single" w:sz="4" w:space="0" w:color="005FB1" w:themeColor="accent5"/>
        <w:bottom w:val="single" w:sz="4" w:space="0" w:color="005FB1" w:themeColor="accent5"/>
        <w:right w:val="single" w:sz="4" w:space="0" w:color="005FB1" w:themeColor="accent5"/>
      </w:tblBorders>
    </w:tblPr>
    <w:tblStylePr w:type="firstRow">
      <w:rPr>
        <w:b/>
        <w:bCs/>
        <w:color w:val="FFFFFF" w:themeColor="background1"/>
      </w:rPr>
      <w:tblPr/>
      <w:tcPr>
        <w:shd w:val="clear" w:color="auto" w:fill="005FB1" w:themeFill="accent5"/>
      </w:tcPr>
    </w:tblStylePr>
    <w:tblStylePr w:type="lastRow">
      <w:rPr>
        <w:b/>
        <w:bCs/>
      </w:rPr>
      <w:tblPr/>
      <w:tcPr>
        <w:tcBorders>
          <w:top w:val="double" w:sz="4" w:space="0" w:color="005FB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FB1" w:themeColor="accent5"/>
          <w:right w:val="single" w:sz="4" w:space="0" w:color="005FB1" w:themeColor="accent5"/>
        </w:tcBorders>
      </w:tcPr>
    </w:tblStylePr>
    <w:tblStylePr w:type="band1Horz">
      <w:tblPr/>
      <w:tcPr>
        <w:tcBorders>
          <w:top w:val="single" w:sz="4" w:space="0" w:color="005FB1" w:themeColor="accent5"/>
          <w:bottom w:val="single" w:sz="4" w:space="0" w:color="005FB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FB1" w:themeColor="accent5"/>
          <w:left w:val="nil"/>
        </w:tcBorders>
      </w:tcPr>
    </w:tblStylePr>
    <w:tblStylePr w:type="swCell">
      <w:tblPr/>
      <w:tcPr>
        <w:tcBorders>
          <w:top w:val="double" w:sz="4" w:space="0" w:color="005FB1" w:themeColor="accent5"/>
          <w:right w:val="nil"/>
        </w:tcBorders>
      </w:tcPr>
    </w:tblStylePr>
  </w:style>
  <w:style w:type="table" w:styleId="ListTable3-Accent1">
    <w:name w:val="List Table 3 Accent 1"/>
    <w:basedOn w:val="TableNormal"/>
    <w:uiPriority w:val="48"/>
    <w:rsid w:val="0086375D"/>
    <w:tblPr>
      <w:tblStyleRowBandSize w:val="1"/>
      <w:tblStyleColBandSize w:val="1"/>
      <w:tblBorders>
        <w:top w:val="single" w:sz="4" w:space="0" w:color="405D16" w:themeColor="accent1"/>
        <w:left w:val="single" w:sz="4" w:space="0" w:color="405D16" w:themeColor="accent1"/>
        <w:bottom w:val="single" w:sz="4" w:space="0" w:color="405D16" w:themeColor="accent1"/>
        <w:right w:val="single" w:sz="4" w:space="0" w:color="405D16" w:themeColor="accent1"/>
      </w:tblBorders>
    </w:tblPr>
    <w:tblStylePr w:type="firstRow">
      <w:rPr>
        <w:b/>
        <w:bCs/>
        <w:color w:val="FFFFFF" w:themeColor="background1"/>
      </w:rPr>
      <w:tblPr/>
      <w:tcPr>
        <w:shd w:val="clear" w:color="auto" w:fill="405D16" w:themeFill="accent1"/>
      </w:tcPr>
    </w:tblStylePr>
    <w:tblStylePr w:type="lastRow">
      <w:rPr>
        <w:b/>
        <w:bCs/>
      </w:rPr>
      <w:tblPr/>
      <w:tcPr>
        <w:tcBorders>
          <w:top w:val="double" w:sz="4" w:space="0" w:color="405D1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5D16" w:themeColor="accent1"/>
          <w:right w:val="single" w:sz="4" w:space="0" w:color="405D16" w:themeColor="accent1"/>
        </w:tcBorders>
      </w:tcPr>
    </w:tblStylePr>
    <w:tblStylePr w:type="band1Horz">
      <w:tblPr/>
      <w:tcPr>
        <w:tcBorders>
          <w:top w:val="single" w:sz="4" w:space="0" w:color="405D16" w:themeColor="accent1"/>
          <w:bottom w:val="single" w:sz="4" w:space="0" w:color="405D1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5D16" w:themeColor="accent1"/>
          <w:left w:val="nil"/>
        </w:tcBorders>
      </w:tcPr>
    </w:tblStylePr>
    <w:tblStylePr w:type="swCell">
      <w:tblPr/>
      <w:tcPr>
        <w:tcBorders>
          <w:top w:val="double" w:sz="4" w:space="0" w:color="405D16" w:themeColor="accent1"/>
          <w:right w:val="nil"/>
        </w:tcBorders>
      </w:tcPr>
    </w:tblStylePr>
  </w:style>
  <w:style w:type="character" w:styleId="IntenseReference">
    <w:name w:val="Intense Reference"/>
    <w:basedOn w:val="DefaultParagraphFont"/>
    <w:uiPriority w:val="32"/>
    <w:qFormat/>
    <w:rsid w:val="0077354A"/>
    <w:rPr>
      <w:b/>
      <w:bCs/>
      <w:smallCaps/>
      <w:color w:val="005FB1" w:themeColor="accent5"/>
      <w:spacing w:val="5"/>
    </w:rPr>
  </w:style>
  <w:style w:type="paragraph" w:styleId="BodyText">
    <w:name w:val="Body Text"/>
    <w:basedOn w:val="Normal"/>
    <w:link w:val="BodyTextChar"/>
    <w:uiPriority w:val="99"/>
    <w:unhideWhenUsed/>
    <w:rsid w:val="007662D7"/>
    <w:pPr>
      <w:spacing w:line="300" w:lineRule="exact"/>
    </w:pPr>
    <w:rPr>
      <w:rFonts w:cs="Times New Roman (Body CS)"/>
      <w:sz w:val="22"/>
      <w:lang w:val="en-AU"/>
    </w:rPr>
  </w:style>
  <w:style w:type="character" w:customStyle="1" w:styleId="BodyTextChar">
    <w:name w:val="Body Text Char"/>
    <w:basedOn w:val="DefaultParagraphFont"/>
    <w:link w:val="BodyText"/>
    <w:uiPriority w:val="99"/>
    <w:rsid w:val="007662D7"/>
    <w:rPr>
      <w:rFonts w:cs="Times New Roman (Body CS)"/>
      <w:sz w:val="22"/>
      <w:lang w:val="en-AU"/>
    </w:rPr>
  </w:style>
  <w:style w:type="table" w:customStyle="1" w:styleId="TableGrid1">
    <w:name w:val="Table Grid1"/>
    <w:basedOn w:val="TableNormal"/>
    <w:next w:val="TableGrid"/>
    <w:uiPriority w:val="59"/>
    <w:rsid w:val="00E02B2E"/>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2B2E"/>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0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0D7506"/>
    <w:rPr>
      <w:color w:val="605E5C"/>
      <w:shd w:val="clear" w:color="auto" w:fill="E1DFDD"/>
    </w:rPr>
  </w:style>
  <w:style w:type="character" w:styleId="FollowedHyperlink">
    <w:name w:val="FollowedHyperlink"/>
    <w:basedOn w:val="DefaultParagraphFont"/>
    <w:uiPriority w:val="99"/>
    <w:semiHidden/>
    <w:unhideWhenUsed/>
    <w:rsid w:val="000E4CE1"/>
    <w:rPr>
      <w:color w:val="999999" w:themeColor="followedHyperlink"/>
      <w:u w:val="single"/>
    </w:rPr>
  </w:style>
  <w:style w:type="table" w:styleId="LightList-Accent3">
    <w:name w:val="Light List Accent 3"/>
    <w:basedOn w:val="TableNormal"/>
    <w:uiPriority w:val="61"/>
    <w:rsid w:val="00552CDF"/>
    <w:rPr>
      <w:rFonts w:eastAsiaTheme="minorEastAsia"/>
      <w:sz w:val="22"/>
      <w:szCs w:val="22"/>
      <w:lang w:val="en-US"/>
    </w:rPr>
    <w:tblPr>
      <w:tblStyleRowBandSize w:val="1"/>
      <w:tblStyleColBandSize w:val="1"/>
      <w:tblBorders>
        <w:top w:val="single" w:sz="8" w:space="0" w:color="CE362F" w:themeColor="accent3"/>
        <w:left w:val="single" w:sz="8" w:space="0" w:color="CE362F" w:themeColor="accent3"/>
        <w:bottom w:val="single" w:sz="8" w:space="0" w:color="CE362F" w:themeColor="accent3"/>
        <w:right w:val="single" w:sz="8" w:space="0" w:color="CE362F" w:themeColor="accent3"/>
      </w:tblBorders>
    </w:tblPr>
    <w:tblStylePr w:type="firstRow">
      <w:pPr>
        <w:spacing w:before="0" w:after="0" w:line="240" w:lineRule="auto"/>
      </w:pPr>
      <w:rPr>
        <w:b/>
        <w:bCs/>
        <w:color w:val="FFFFFF" w:themeColor="background1"/>
      </w:rPr>
      <w:tblPr/>
      <w:tcPr>
        <w:shd w:val="clear" w:color="auto" w:fill="CE362F" w:themeFill="accent3"/>
      </w:tcPr>
    </w:tblStylePr>
    <w:tblStylePr w:type="lastRow">
      <w:pPr>
        <w:spacing w:before="0" w:after="0" w:line="240" w:lineRule="auto"/>
      </w:pPr>
      <w:rPr>
        <w:b/>
        <w:bCs/>
      </w:rPr>
      <w:tblPr/>
      <w:tcPr>
        <w:tcBorders>
          <w:top w:val="double" w:sz="6" w:space="0" w:color="CE362F" w:themeColor="accent3"/>
          <w:left w:val="single" w:sz="8" w:space="0" w:color="CE362F" w:themeColor="accent3"/>
          <w:bottom w:val="single" w:sz="8" w:space="0" w:color="CE362F" w:themeColor="accent3"/>
          <w:right w:val="single" w:sz="8" w:space="0" w:color="CE362F" w:themeColor="accent3"/>
        </w:tcBorders>
      </w:tcPr>
    </w:tblStylePr>
    <w:tblStylePr w:type="firstCol">
      <w:rPr>
        <w:b/>
        <w:bCs/>
      </w:rPr>
    </w:tblStylePr>
    <w:tblStylePr w:type="lastCol">
      <w:rPr>
        <w:b/>
        <w:bCs/>
      </w:rPr>
    </w:tblStylePr>
    <w:tblStylePr w:type="band1Vert">
      <w:tblPr/>
      <w:tcPr>
        <w:tcBorders>
          <w:top w:val="single" w:sz="8" w:space="0" w:color="CE362F" w:themeColor="accent3"/>
          <w:left w:val="single" w:sz="8" w:space="0" w:color="CE362F" w:themeColor="accent3"/>
          <w:bottom w:val="single" w:sz="8" w:space="0" w:color="CE362F" w:themeColor="accent3"/>
          <w:right w:val="single" w:sz="8" w:space="0" w:color="CE362F" w:themeColor="accent3"/>
        </w:tcBorders>
      </w:tcPr>
    </w:tblStylePr>
    <w:tblStylePr w:type="band1Horz">
      <w:tblPr/>
      <w:tcPr>
        <w:tcBorders>
          <w:top w:val="single" w:sz="8" w:space="0" w:color="CE362F" w:themeColor="accent3"/>
          <w:left w:val="single" w:sz="8" w:space="0" w:color="CE362F" w:themeColor="accent3"/>
          <w:bottom w:val="single" w:sz="8" w:space="0" w:color="CE362F" w:themeColor="accent3"/>
          <w:right w:val="single" w:sz="8" w:space="0" w:color="CE362F" w:themeColor="accent3"/>
        </w:tcBorders>
      </w:tcPr>
    </w:tblStylePr>
  </w:style>
  <w:style w:type="paragraph" w:styleId="NormalWeb">
    <w:name w:val="Normal (Web)"/>
    <w:basedOn w:val="Normal"/>
    <w:uiPriority w:val="99"/>
    <w:semiHidden/>
    <w:unhideWhenUsed/>
    <w:rsid w:val="00202C15"/>
    <w:pPr>
      <w:spacing w:before="100" w:beforeAutospacing="1" w:after="100" w:afterAutospacing="1"/>
    </w:pPr>
    <w:rPr>
      <w:rFonts w:ascii="Times New Roman" w:eastAsia="Times New Roman" w:hAnsi="Times New Roman" w:cs="Times New Roman"/>
      <w:lang w:val="en-AU" w:eastAsia="en-AU"/>
    </w:rPr>
  </w:style>
  <w:style w:type="character" w:styleId="CommentReference">
    <w:name w:val="annotation reference"/>
    <w:basedOn w:val="DefaultParagraphFont"/>
    <w:uiPriority w:val="99"/>
    <w:semiHidden/>
    <w:unhideWhenUsed/>
    <w:rsid w:val="00FA0E4A"/>
    <w:rPr>
      <w:sz w:val="16"/>
      <w:szCs w:val="16"/>
    </w:rPr>
  </w:style>
  <w:style w:type="paragraph" w:styleId="CommentText">
    <w:name w:val="annotation text"/>
    <w:basedOn w:val="Normal"/>
    <w:link w:val="CommentTextChar"/>
    <w:uiPriority w:val="99"/>
    <w:unhideWhenUsed/>
    <w:rsid w:val="00FA0E4A"/>
    <w:rPr>
      <w:sz w:val="20"/>
      <w:szCs w:val="20"/>
    </w:rPr>
  </w:style>
  <w:style w:type="character" w:customStyle="1" w:styleId="CommentTextChar">
    <w:name w:val="Comment Text Char"/>
    <w:basedOn w:val="DefaultParagraphFont"/>
    <w:link w:val="CommentText"/>
    <w:uiPriority w:val="99"/>
    <w:rsid w:val="00FA0E4A"/>
    <w:rPr>
      <w:sz w:val="20"/>
      <w:szCs w:val="20"/>
    </w:rPr>
  </w:style>
  <w:style w:type="paragraph" w:styleId="Revision">
    <w:name w:val="Revision"/>
    <w:hidden/>
    <w:uiPriority w:val="99"/>
    <w:semiHidden/>
    <w:rsid w:val="00CC0FED"/>
  </w:style>
  <w:style w:type="paragraph" w:styleId="CommentSubject">
    <w:name w:val="annotation subject"/>
    <w:basedOn w:val="CommentText"/>
    <w:next w:val="CommentText"/>
    <w:link w:val="CommentSubjectChar"/>
    <w:uiPriority w:val="99"/>
    <w:semiHidden/>
    <w:unhideWhenUsed/>
    <w:rsid w:val="00C92F78"/>
    <w:rPr>
      <w:b/>
      <w:bCs/>
    </w:rPr>
  </w:style>
  <w:style w:type="character" w:customStyle="1" w:styleId="CommentSubjectChar">
    <w:name w:val="Comment Subject Char"/>
    <w:basedOn w:val="CommentTextChar"/>
    <w:link w:val="CommentSubject"/>
    <w:uiPriority w:val="99"/>
    <w:semiHidden/>
    <w:rsid w:val="00C92F78"/>
    <w:rPr>
      <w:b/>
      <w:bCs/>
      <w:sz w:val="20"/>
      <w:szCs w:val="20"/>
    </w:rPr>
  </w:style>
  <w:style w:type="paragraph" w:customStyle="1" w:styleId="Tablecopy">
    <w:name w:val="Table copy"/>
    <w:next w:val="Normal"/>
    <w:link w:val="TablecopyChar"/>
    <w:autoRedefine/>
    <w:qFormat/>
    <w:rsid w:val="00444CEA"/>
    <w:pPr>
      <w:numPr>
        <w:ilvl w:val="1"/>
        <w:numId w:val="33"/>
      </w:numPr>
      <w:spacing w:after="40"/>
    </w:pPr>
    <w:rPr>
      <w:rFonts w:cstheme="minorHAnsi"/>
      <w:b/>
      <w:bCs/>
      <w:color w:val="000000" w:themeColor="text1"/>
      <w:kern w:val="2"/>
      <w:sz w:val="20"/>
      <w:szCs w:val="20"/>
      <w:lang w:val="en-AU"/>
      <w14:ligatures w14:val="standardContextual"/>
    </w:rPr>
  </w:style>
  <w:style w:type="character" w:customStyle="1" w:styleId="TablecopyChar">
    <w:name w:val="Table copy Char"/>
    <w:basedOn w:val="DefaultParagraphFont"/>
    <w:link w:val="Tablecopy"/>
    <w:rsid w:val="00444CEA"/>
    <w:rPr>
      <w:rFonts w:cstheme="minorHAnsi"/>
      <w:b/>
      <w:bCs/>
      <w:color w:val="000000" w:themeColor="text1"/>
      <w:kern w:val="2"/>
      <w:sz w:val="20"/>
      <w:szCs w:val="20"/>
      <w:lang w:val="en-AU"/>
      <w14:ligatures w14:val="standardContextual"/>
    </w:rPr>
  </w:style>
  <w:style w:type="table" w:styleId="GridTable2">
    <w:name w:val="Grid Table 2"/>
    <w:basedOn w:val="TableNormal"/>
    <w:uiPriority w:val="47"/>
    <w:rsid w:val="00444CEA"/>
    <w:rPr>
      <w:kern w:val="2"/>
      <w:sz w:val="22"/>
      <w:szCs w:val="22"/>
      <w:lang w:val="en-AU"/>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headingblack">
    <w:name w:val="Table heading black"/>
    <w:basedOn w:val="Normal"/>
    <w:next w:val="Normal"/>
    <w:autoRedefine/>
    <w:qFormat/>
    <w:rsid w:val="00444CEA"/>
    <w:pPr>
      <w:spacing w:after="40" w:line="240" w:lineRule="auto"/>
    </w:pPr>
    <w:rPr>
      <w:rFonts w:asciiTheme="majorHAnsi" w:hAnsiTheme="majorHAnsi"/>
      <w:b/>
      <w:bCs/>
      <w:color w:val="000000" w:themeColor="text1"/>
      <w:kern w:val="2"/>
      <w:sz w:val="20"/>
      <w:szCs w:val="22"/>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5148">
      <w:bodyDiv w:val="1"/>
      <w:marLeft w:val="0"/>
      <w:marRight w:val="0"/>
      <w:marTop w:val="0"/>
      <w:marBottom w:val="0"/>
      <w:divBdr>
        <w:top w:val="none" w:sz="0" w:space="0" w:color="auto"/>
        <w:left w:val="none" w:sz="0" w:space="0" w:color="auto"/>
        <w:bottom w:val="none" w:sz="0" w:space="0" w:color="auto"/>
        <w:right w:val="none" w:sz="0" w:space="0" w:color="auto"/>
      </w:divBdr>
    </w:div>
    <w:div w:id="180167625">
      <w:bodyDiv w:val="1"/>
      <w:marLeft w:val="0"/>
      <w:marRight w:val="0"/>
      <w:marTop w:val="0"/>
      <w:marBottom w:val="0"/>
      <w:divBdr>
        <w:top w:val="none" w:sz="0" w:space="0" w:color="auto"/>
        <w:left w:val="none" w:sz="0" w:space="0" w:color="auto"/>
        <w:bottom w:val="none" w:sz="0" w:space="0" w:color="auto"/>
        <w:right w:val="none" w:sz="0" w:space="0" w:color="auto"/>
      </w:divBdr>
    </w:div>
    <w:div w:id="391806869">
      <w:bodyDiv w:val="1"/>
      <w:marLeft w:val="0"/>
      <w:marRight w:val="0"/>
      <w:marTop w:val="0"/>
      <w:marBottom w:val="0"/>
      <w:divBdr>
        <w:top w:val="none" w:sz="0" w:space="0" w:color="auto"/>
        <w:left w:val="none" w:sz="0" w:space="0" w:color="auto"/>
        <w:bottom w:val="none" w:sz="0" w:space="0" w:color="auto"/>
        <w:right w:val="none" w:sz="0" w:space="0" w:color="auto"/>
      </w:divBdr>
    </w:div>
    <w:div w:id="1143959676">
      <w:bodyDiv w:val="1"/>
      <w:marLeft w:val="0"/>
      <w:marRight w:val="0"/>
      <w:marTop w:val="0"/>
      <w:marBottom w:val="0"/>
      <w:divBdr>
        <w:top w:val="none" w:sz="0" w:space="0" w:color="auto"/>
        <w:left w:val="none" w:sz="0" w:space="0" w:color="auto"/>
        <w:bottom w:val="none" w:sz="0" w:space="0" w:color="auto"/>
        <w:right w:val="none" w:sz="0" w:space="0" w:color="auto"/>
      </w:divBdr>
    </w:div>
    <w:div w:id="12976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pac.tas.gov.au/divisions/cpp/community-and-disability-services/office-of-the-senior-practitioner"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footer" Target="foot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ette.jones\Downloads\TasGov_A4Report_Style1_Blue%20(1).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pac.tas.gov.internal\dfs\Users\Kerry.Neale\I\Senior%20practitioner\Acting%20SP\Annual%20report\Lyn's%20data%20Retired%20-%20Spreadsheet%20-%20OSP%20-%20ERI%20RUR%20and%20TASCAT%20-%202022%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ac.tas.gov.internal\dfs\Users\Kerry.Neale\I\Senior%20practitioner\Acting%20SP\Annual%20report\Lyn's%20data%20Retired%20-%20Spreadsheet%20-%20OSP%20-%20ERI%20RUR%20and%20TASCAT%20-%202022%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pac.tas.gov.internal\dfs\Users\Kerry.Neale\I\Senior%20practitioner\Acting%20SP\Annual%20report\2023-2024\Retired%20-%20Spreadsheet%20-%20OSP%20-%20Applications%20-%20ERI%20-%20TASCAT%20-%202023%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pac.tas.gov.internal\dfs\Users\Kerry.Neale\I\Senior%20practitioner\Acting%20SP\Annual%20report\Lyn's%20data%20Retired%20-%20Spreadsheet%20-%20OSP%20-%20ERI%20RUR%20and%20TASCAT%20-%202022%20202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rgbClr val="0E7482"/>
                </a:solidFill>
                <a:latin typeface="Arial" panose="020B0604020202020204" pitchFamily="34" charset="0"/>
                <a:ea typeface="+mn-ea"/>
                <a:cs typeface="Arial" panose="020B0604020202020204" pitchFamily="34" charset="0"/>
              </a:defRPr>
            </a:pPr>
            <a:r>
              <a:rPr lang="en-AU" sz="1200">
                <a:solidFill>
                  <a:srgbClr val="0E7482"/>
                </a:solidFill>
                <a:latin typeface="Arial" panose="020B0604020202020204" pitchFamily="34" charset="0"/>
                <a:cs typeface="Arial" panose="020B0604020202020204" pitchFamily="34" charset="0"/>
              </a:rPr>
              <a:t>Environmental Restriction Approvals</a:t>
            </a:r>
          </a:p>
        </c:rich>
      </c:tx>
      <c:overlay val="0"/>
      <c:spPr>
        <a:noFill/>
        <a:ln>
          <a:noFill/>
        </a:ln>
        <a:effectLst/>
      </c:spPr>
      <c:txPr>
        <a:bodyPr rot="0" spcFirstLastPara="1" vertOverflow="ellipsis" vert="horz" wrap="square" anchor="ctr" anchorCtr="1"/>
        <a:lstStyle/>
        <a:p>
          <a:pPr>
            <a:defRPr sz="1200" b="0" i="0" u="none" strike="noStrike" kern="1200" spc="0" baseline="0">
              <a:solidFill>
                <a:srgbClr val="0E7482"/>
              </a:solidFill>
              <a:latin typeface="Arial" panose="020B0604020202020204" pitchFamily="34" charset="0"/>
              <a:ea typeface="+mn-ea"/>
              <a:cs typeface="Arial" panose="020B0604020202020204" pitchFamily="34" charset="0"/>
            </a:defRPr>
          </a:pPr>
          <a:endParaRPr lang="en-US"/>
        </a:p>
      </c:txPr>
    </c:title>
    <c:autoTitleDeleted val="0"/>
    <c:plotArea>
      <c:layout/>
      <c:pieChart>
        <c:varyColors val="1"/>
        <c:ser>
          <c:idx val="0"/>
          <c:order val="0"/>
          <c:explosion val="5"/>
          <c:dPt>
            <c:idx val="0"/>
            <c:bubble3D val="0"/>
            <c:spPr>
              <a:solidFill>
                <a:schemeClr val="accent4"/>
              </a:solidFill>
              <a:ln w="19050">
                <a:solidFill>
                  <a:schemeClr val="lt1"/>
                </a:solidFill>
              </a:ln>
              <a:effectLst/>
            </c:spPr>
            <c:extLst>
              <c:ext xmlns:c16="http://schemas.microsoft.com/office/drawing/2014/chart" uri="{C3380CC4-5D6E-409C-BE32-E72D297353CC}">
                <c16:uniqueId val="{00000001-362F-4583-83D0-1E5AED895108}"/>
              </c:ext>
            </c:extLst>
          </c:dPt>
          <c:dPt>
            <c:idx val="1"/>
            <c:bubble3D val="0"/>
            <c:spPr>
              <a:solidFill>
                <a:srgbClr val="36335C"/>
              </a:solidFill>
              <a:ln w="19050">
                <a:solidFill>
                  <a:schemeClr val="lt1"/>
                </a:solidFill>
              </a:ln>
              <a:effectLst/>
            </c:spPr>
            <c:extLst>
              <c:ext xmlns:c16="http://schemas.microsoft.com/office/drawing/2014/chart" uri="{C3380CC4-5D6E-409C-BE32-E72D297353CC}">
                <c16:uniqueId val="{00000003-362F-4583-83D0-1E5AED895108}"/>
              </c:ext>
            </c:extLst>
          </c:dPt>
          <c:dPt>
            <c:idx val="2"/>
            <c:bubble3D val="0"/>
            <c:spPr>
              <a:solidFill>
                <a:srgbClr val="23A2CC"/>
              </a:solidFill>
              <a:ln w="19050">
                <a:solidFill>
                  <a:schemeClr val="lt1"/>
                </a:solidFill>
              </a:ln>
              <a:effectLst/>
            </c:spPr>
            <c:extLst>
              <c:ext xmlns:c16="http://schemas.microsoft.com/office/drawing/2014/chart" uri="{C3380CC4-5D6E-409C-BE32-E72D297353CC}">
                <c16:uniqueId val="{00000005-362F-4583-83D0-1E5AED895108}"/>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362F-4583-83D0-1E5AED895108}"/>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362F-4583-83D0-1E5AED895108}"/>
              </c:ext>
            </c:extLst>
          </c:dPt>
          <c:dPt>
            <c:idx val="5"/>
            <c:bubble3D val="0"/>
            <c:spPr>
              <a:solidFill>
                <a:srgbClr val="0E7482"/>
              </a:solidFill>
              <a:ln w="19050">
                <a:solidFill>
                  <a:schemeClr val="lt1"/>
                </a:solidFill>
              </a:ln>
              <a:effectLst/>
            </c:spPr>
            <c:extLst>
              <c:ext xmlns:c16="http://schemas.microsoft.com/office/drawing/2014/chart" uri="{C3380CC4-5D6E-409C-BE32-E72D297353CC}">
                <c16:uniqueId val="{0000000B-362F-4583-83D0-1E5AED895108}"/>
              </c:ext>
            </c:extLst>
          </c:dPt>
          <c:dPt>
            <c:idx val="6"/>
            <c:bubble3D val="0"/>
            <c:spPr>
              <a:solidFill>
                <a:schemeClr val="accent2">
                  <a:lumMod val="75000"/>
                </a:schemeClr>
              </a:solidFill>
              <a:ln w="19050">
                <a:solidFill>
                  <a:schemeClr val="lt1"/>
                </a:solidFill>
              </a:ln>
              <a:effectLst/>
            </c:spPr>
            <c:extLst>
              <c:ext xmlns:c16="http://schemas.microsoft.com/office/drawing/2014/chart" uri="{C3380CC4-5D6E-409C-BE32-E72D297353CC}">
                <c16:uniqueId val="{0000000D-362F-4583-83D0-1E5AED895108}"/>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1-362F-4583-83D0-1E5AED895108}"/>
                </c:ext>
              </c:extLst>
            </c:dLbl>
            <c:dLbl>
              <c:idx val="1"/>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3-362F-4583-83D0-1E5AED895108}"/>
                </c:ext>
              </c:extLst>
            </c:dLbl>
            <c:dLbl>
              <c:idx val="2"/>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5-362F-4583-83D0-1E5AED895108}"/>
                </c:ext>
              </c:extLst>
            </c:dLbl>
            <c:dLbl>
              <c:idx val="3"/>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7-362F-4583-83D0-1E5AED895108}"/>
                </c:ext>
              </c:extLst>
            </c:dLbl>
            <c:dLbl>
              <c:idx val="5"/>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B-362F-4583-83D0-1E5AED895108}"/>
                </c:ext>
              </c:extLst>
            </c:dLbl>
            <c:dLbl>
              <c:idx val="6"/>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D-362F-4583-83D0-1E5AED89510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'graphs and data'!$E$3:$E$9</c:f>
              <c:strCache>
                <c:ptCount val="7"/>
                <c:pt idx="0">
                  <c:v>Food and drink related</c:v>
                </c:pt>
                <c:pt idx="1">
                  <c:v>Chemical related</c:v>
                </c:pt>
                <c:pt idx="2">
                  <c:v>Cigarette/Lighters</c:v>
                </c:pt>
                <c:pt idx="3">
                  <c:v>IT - TV</c:v>
                </c:pt>
                <c:pt idx="4">
                  <c:v>Locked doors/cupboards</c:v>
                </c:pt>
                <c:pt idx="5">
                  <c:v>Sharps</c:v>
                </c:pt>
                <c:pt idx="6">
                  <c:v>Other</c:v>
                </c:pt>
              </c:strCache>
            </c:strRef>
          </c:cat>
          <c:val>
            <c:numRef>
              <c:f>'graphs and data'!$F$3:$F$9</c:f>
              <c:numCache>
                <c:formatCode>0%</c:formatCode>
                <c:ptCount val="7"/>
                <c:pt idx="0">
                  <c:v>0.27</c:v>
                </c:pt>
                <c:pt idx="1">
                  <c:v>0.09</c:v>
                </c:pt>
                <c:pt idx="2">
                  <c:v>0.17</c:v>
                </c:pt>
                <c:pt idx="3">
                  <c:v>0.08</c:v>
                </c:pt>
                <c:pt idx="4">
                  <c:v>0.02</c:v>
                </c:pt>
                <c:pt idx="5">
                  <c:v>0.22</c:v>
                </c:pt>
                <c:pt idx="6">
                  <c:v>0.15</c:v>
                </c:pt>
              </c:numCache>
            </c:numRef>
          </c:val>
          <c:extLst>
            <c:ext xmlns:c16="http://schemas.microsoft.com/office/drawing/2014/chart" uri="{C3380CC4-5D6E-409C-BE32-E72D297353CC}">
              <c16:uniqueId val="{0000000E-362F-4583-83D0-1E5AED89510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rgbClr val="0E7482"/>
                </a:solidFill>
                <a:latin typeface="Arial" panose="020B0604020202020204" pitchFamily="34" charset="0"/>
                <a:ea typeface="+mn-ea"/>
                <a:cs typeface="Arial" panose="020B0604020202020204" pitchFamily="34" charset="0"/>
              </a:defRPr>
            </a:pPr>
            <a:r>
              <a:rPr lang="en-US" sz="1200">
                <a:solidFill>
                  <a:srgbClr val="0E7482"/>
                </a:solidFill>
              </a:rPr>
              <a:t>Number of Participants with Environmental Restriction Approvals</a:t>
            </a:r>
          </a:p>
        </c:rich>
      </c:tx>
      <c:overlay val="0"/>
      <c:spPr>
        <a:noFill/>
        <a:ln>
          <a:noFill/>
        </a:ln>
        <a:effectLst/>
      </c:spPr>
      <c:txPr>
        <a:bodyPr rot="0" spcFirstLastPara="1" vertOverflow="ellipsis" vert="horz" wrap="square" anchor="ctr" anchorCtr="1"/>
        <a:lstStyle/>
        <a:p>
          <a:pPr>
            <a:defRPr sz="1200" b="0" i="0" u="none" strike="noStrike" kern="1200" spc="0" baseline="0">
              <a:solidFill>
                <a:srgbClr val="0E7482"/>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Sheet2!$N$13</c:f>
              <c:strCache>
                <c:ptCount val="1"/>
                <c:pt idx="0">
                  <c:v>Individuals</c:v>
                </c:pt>
              </c:strCache>
            </c:strRef>
          </c:tx>
          <c:spPr>
            <a:solidFill>
              <a:srgbClr val="23A2CC"/>
            </a:solidFill>
            <a:ln>
              <a:noFill/>
            </a:ln>
            <a:effectLst/>
          </c:spPr>
          <c:invertIfNegative val="0"/>
          <c:cat>
            <c:strRef>
              <c:f>Sheet2!$M$14:$M$18</c:f>
              <c:strCache>
                <c:ptCount val="5"/>
                <c:pt idx="0">
                  <c:v>2019/2020</c:v>
                </c:pt>
                <c:pt idx="1">
                  <c:v>2020/2021</c:v>
                </c:pt>
                <c:pt idx="2">
                  <c:v>2021/2022</c:v>
                </c:pt>
                <c:pt idx="3">
                  <c:v>2022/2023</c:v>
                </c:pt>
                <c:pt idx="4">
                  <c:v>2023/2024</c:v>
                </c:pt>
              </c:strCache>
            </c:strRef>
          </c:cat>
          <c:val>
            <c:numRef>
              <c:f>Sheet2!$N$14:$N$18</c:f>
              <c:numCache>
                <c:formatCode>General</c:formatCode>
                <c:ptCount val="5"/>
                <c:pt idx="0">
                  <c:v>18</c:v>
                </c:pt>
                <c:pt idx="1">
                  <c:v>52</c:v>
                </c:pt>
                <c:pt idx="2">
                  <c:v>66</c:v>
                </c:pt>
                <c:pt idx="3">
                  <c:v>70</c:v>
                </c:pt>
                <c:pt idx="4">
                  <c:v>75</c:v>
                </c:pt>
              </c:numCache>
            </c:numRef>
          </c:val>
          <c:extLst>
            <c:ext xmlns:c16="http://schemas.microsoft.com/office/drawing/2014/chart" uri="{C3380CC4-5D6E-409C-BE32-E72D297353CC}">
              <c16:uniqueId val="{00000000-7444-4817-AFC5-6545B2EAE3A5}"/>
            </c:ext>
          </c:extLst>
        </c:ser>
        <c:ser>
          <c:idx val="1"/>
          <c:order val="1"/>
          <c:tx>
            <c:strRef>
              <c:f>Sheet2!$O$13</c:f>
              <c:strCache>
                <c:ptCount val="1"/>
                <c:pt idx="0">
                  <c:v>Approvals</c:v>
                </c:pt>
              </c:strCache>
            </c:strRef>
          </c:tx>
          <c:spPr>
            <a:solidFill>
              <a:srgbClr val="0E7482"/>
            </a:solidFill>
            <a:ln>
              <a:noFill/>
            </a:ln>
            <a:effectLst/>
          </c:spPr>
          <c:invertIfNegative val="0"/>
          <c:cat>
            <c:strRef>
              <c:f>Sheet2!$M$14:$M$18</c:f>
              <c:strCache>
                <c:ptCount val="5"/>
                <c:pt idx="0">
                  <c:v>2019/2020</c:v>
                </c:pt>
                <c:pt idx="1">
                  <c:v>2020/2021</c:v>
                </c:pt>
                <c:pt idx="2">
                  <c:v>2021/2022</c:v>
                </c:pt>
                <c:pt idx="3">
                  <c:v>2022/2023</c:v>
                </c:pt>
                <c:pt idx="4">
                  <c:v>2023/2024</c:v>
                </c:pt>
              </c:strCache>
            </c:strRef>
          </c:cat>
          <c:val>
            <c:numRef>
              <c:f>Sheet2!$O$14:$O$18</c:f>
              <c:numCache>
                <c:formatCode>General</c:formatCode>
                <c:ptCount val="5"/>
                <c:pt idx="0">
                  <c:v>23</c:v>
                </c:pt>
                <c:pt idx="1">
                  <c:v>139</c:v>
                </c:pt>
                <c:pt idx="2">
                  <c:v>201</c:v>
                </c:pt>
                <c:pt idx="3">
                  <c:v>238</c:v>
                </c:pt>
                <c:pt idx="4">
                  <c:v>258</c:v>
                </c:pt>
              </c:numCache>
            </c:numRef>
          </c:val>
          <c:extLst>
            <c:ext xmlns:c16="http://schemas.microsoft.com/office/drawing/2014/chart" uri="{C3380CC4-5D6E-409C-BE32-E72D297353CC}">
              <c16:uniqueId val="{00000001-7444-4817-AFC5-6545B2EAE3A5}"/>
            </c:ext>
          </c:extLst>
        </c:ser>
        <c:dLbls>
          <c:showLegendKey val="0"/>
          <c:showVal val="0"/>
          <c:showCatName val="0"/>
          <c:showSerName val="0"/>
          <c:showPercent val="0"/>
          <c:showBubbleSize val="0"/>
        </c:dLbls>
        <c:gapWidth val="219"/>
        <c:overlap val="-27"/>
        <c:axId val="1449539376"/>
        <c:axId val="1449548736"/>
      </c:barChart>
      <c:catAx>
        <c:axId val="144953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49548736"/>
        <c:crosses val="autoZero"/>
        <c:auto val="1"/>
        <c:lblAlgn val="ctr"/>
        <c:lblOffset val="100"/>
        <c:noMultiLvlLbl val="0"/>
      </c:catAx>
      <c:valAx>
        <c:axId val="144954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4953937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n-AU" sz="1200" b="0" i="0" u="none" strike="noStrike" kern="1200" spc="0" baseline="0">
                <a:solidFill>
                  <a:srgbClr val="0E7482"/>
                </a:solidFill>
                <a:latin typeface="Arial" panose="020B0604020202020204" pitchFamily="34" charset="0"/>
                <a:cs typeface="Arial" panose="020B0604020202020204" pitchFamily="34" charset="0"/>
              </a:rPr>
              <a:t>Breakdown of personal and environmental TASCAT approvals</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spPr>
            <a:solidFill>
              <a:srgbClr val="23A2CC"/>
            </a:solidFill>
            <a:ln>
              <a:noFill/>
            </a:ln>
            <a:effectLst/>
          </c:spPr>
          <c:invertIfNegative val="0"/>
          <c:cat>
            <c:strRef>
              <c:f>Sheet1!$M$3:$AA$3</c:f>
              <c:strCache>
                <c:ptCount val="15"/>
                <c:pt idx="0">
                  <c:v>  Locked external exits</c:v>
                </c:pt>
                <c:pt idx="1">
                  <c:v>Locked gate</c:v>
                </c:pt>
                <c:pt idx="2">
                  <c:v>Locked door safety</c:v>
                </c:pt>
                <c:pt idx="3">
                  <c:v> Locked internal doors/Cupboards</c:v>
                </c:pt>
                <c:pt idx="4">
                  <c:v>           Food &amp; Drinks</c:v>
                </c:pt>
                <c:pt idx="5">
                  <c:v>Cleaning chemicals</c:v>
                </c:pt>
                <c:pt idx="6">
                  <c:v>               Sharps</c:v>
                </c:pt>
                <c:pt idx="7">
                  <c:v>IT-TV</c:v>
                </c:pt>
                <c:pt idx="8">
                  <c:v>Cigarettes and Lighters</c:v>
                </c:pt>
                <c:pt idx="9">
                  <c:v>Belt Harness</c:v>
                </c:pt>
                <c:pt idx="10">
                  <c:v>     Physical Intervention</c:v>
                </c:pt>
                <c:pt idx="11">
                  <c:v>Community</c:v>
                </c:pt>
                <c:pt idx="12">
                  <c:v>         Personal Items</c:v>
                </c:pt>
                <c:pt idx="13">
                  <c:v>        Onsies</c:v>
                </c:pt>
                <c:pt idx="14">
                  <c:v>Other </c:v>
                </c:pt>
              </c:strCache>
            </c:strRef>
          </c:cat>
          <c:val>
            <c:numRef>
              <c:f>Sheet1!$M$2:$AA$2</c:f>
              <c:numCache>
                <c:formatCode>General</c:formatCode>
                <c:ptCount val="15"/>
                <c:pt idx="0">
                  <c:v>70</c:v>
                </c:pt>
                <c:pt idx="1">
                  <c:v>62</c:v>
                </c:pt>
                <c:pt idx="2">
                  <c:v>14</c:v>
                </c:pt>
                <c:pt idx="3">
                  <c:v>33</c:v>
                </c:pt>
                <c:pt idx="4">
                  <c:v>38</c:v>
                </c:pt>
                <c:pt idx="5">
                  <c:v>12</c:v>
                </c:pt>
                <c:pt idx="6">
                  <c:v>27</c:v>
                </c:pt>
                <c:pt idx="7">
                  <c:v>9</c:v>
                </c:pt>
                <c:pt idx="8">
                  <c:v>5</c:v>
                </c:pt>
                <c:pt idx="9">
                  <c:v>10</c:v>
                </c:pt>
                <c:pt idx="10">
                  <c:v>61</c:v>
                </c:pt>
                <c:pt idx="11">
                  <c:v>6</c:v>
                </c:pt>
                <c:pt idx="12">
                  <c:v>12</c:v>
                </c:pt>
                <c:pt idx="13">
                  <c:v>9</c:v>
                </c:pt>
                <c:pt idx="14">
                  <c:v>27</c:v>
                </c:pt>
              </c:numCache>
            </c:numRef>
          </c:val>
          <c:extLst>
            <c:ext xmlns:c16="http://schemas.microsoft.com/office/drawing/2014/chart" uri="{C3380CC4-5D6E-409C-BE32-E72D297353CC}">
              <c16:uniqueId val="{00000000-A7B4-4EB1-93EC-2487C577F2EE}"/>
            </c:ext>
          </c:extLst>
        </c:ser>
        <c:dLbls>
          <c:showLegendKey val="0"/>
          <c:showVal val="0"/>
          <c:showCatName val="0"/>
          <c:showSerName val="0"/>
          <c:showPercent val="0"/>
          <c:showBubbleSize val="0"/>
        </c:dLbls>
        <c:gapWidth val="219"/>
        <c:overlap val="-27"/>
        <c:axId val="1462085456"/>
        <c:axId val="1462085816"/>
      </c:barChart>
      <c:catAx>
        <c:axId val="1462085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62085816"/>
        <c:crosses val="autoZero"/>
        <c:auto val="1"/>
        <c:lblAlgn val="ctr"/>
        <c:lblOffset val="100"/>
        <c:noMultiLvlLbl val="0"/>
      </c:catAx>
      <c:valAx>
        <c:axId val="1462085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620854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rgbClr val="0E7482"/>
                </a:solidFill>
                <a:latin typeface="Arial" panose="020B0604020202020204" pitchFamily="34" charset="0"/>
                <a:ea typeface="+mn-ea"/>
                <a:cs typeface="Arial" panose="020B0604020202020204" pitchFamily="34" charset="0"/>
              </a:defRPr>
            </a:pPr>
            <a:r>
              <a:rPr lang="en-US" sz="1200" b="0" i="0" u="none" strike="noStrike" kern="1200" spc="0" baseline="0">
                <a:solidFill>
                  <a:srgbClr val="0E7482"/>
                </a:solidFill>
                <a:latin typeface="Arial" panose="020B0604020202020204" pitchFamily="34" charset="0"/>
                <a:cs typeface="Arial" panose="020B0604020202020204" pitchFamily="34" charset="0"/>
              </a:rPr>
              <a:t>Individuals and total number of Tribunal approvals </a:t>
            </a:r>
          </a:p>
        </c:rich>
      </c:tx>
      <c:overlay val="0"/>
      <c:spPr>
        <a:noFill/>
        <a:ln>
          <a:noFill/>
        </a:ln>
        <a:effectLst/>
      </c:spPr>
      <c:txPr>
        <a:bodyPr rot="0" spcFirstLastPara="1" vertOverflow="ellipsis" vert="horz" wrap="square" anchor="ctr" anchorCtr="1"/>
        <a:lstStyle/>
        <a:p>
          <a:pPr>
            <a:defRPr sz="1200" b="0" i="0" u="none" strike="noStrike" kern="1200" spc="0" baseline="0">
              <a:solidFill>
                <a:srgbClr val="0E7482"/>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Sheet2!$D$37</c:f>
              <c:strCache>
                <c:ptCount val="1"/>
                <c:pt idx="0">
                  <c:v>Individuals</c:v>
                </c:pt>
              </c:strCache>
            </c:strRef>
          </c:tx>
          <c:spPr>
            <a:solidFill>
              <a:srgbClr val="23A2CC"/>
            </a:solidFill>
            <a:ln>
              <a:noFill/>
            </a:ln>
            <a:effectLst/>
          </c:spPr>
          <c:invertIfNegative val="0"/>
          <c:cat>
            <c:strRef>
              <c:f>Sheet2!$C$38:$C$42</c:f>
              <c:strCache>
                <c:ptCount val="5"/>
                <c:pt idx="0">
                  <c:v>2019/2020</c:v>
                </c:pt>
                <c:pt idx="1">
                  <c:v>2020/2021</c:v>
                </c:pt>
                <c:pt idx="2">
                  <c:v>2021/2022</c:v>
                </c:pt>
                <c:pt idx="3">
                  <c:v>2022/2023</c:v>
                </c:pt>
                <c:pt idx="4">
                  <c:v>2023/2024</c:v>
                </c:pt>
              </c:strCache>
            </c:strRef>
          </c:cat>
          <c:val>
            <c:numRef>
              <c:f>Sheet2!$D$38:$D$42</c:f>
              <c:numCache>
                <c:formatCode>General</c:formatCode>
                <c:ptCount val="5"/>
                <c:pt idx="0">
                  <c:v>17</c:v>
                </c:pt>
                <c:pt idx="1">
                  <c:v>22</c:v>
                </c:pt>
                <c:pt idx="2">
                  <c:v>79</c:v>
                </c:pt>
                <c:pt idx="3">
                  <c:v>107</c:v>
                </c:pt>
                <c:pt idx="4">
                  <c:v>108</c:v>
                </c:pt>
              </c:numCache>
            </c:numRef>
          </c:val>
          <c:extLst>
            <c:ext xmlns:c16="http://schemas.microsoft.com/office/drawing/2014/chart" uri="{C3380CC4-5D6E-409C-BE32-E72D297353CC}">
              <c16:uniqueId val="{00000000-245D-474C-A6BA-55B7752BE34D}"/>
            </c:ext>
          </c:extLst>
        </c:ser>
        <c:ser>
          <c:idx val="1"/>
          <c:order val="1"/>
          <c:tx>
            <c:strRef>
              <c:f>Sheet2!$E$37</c:f>
              <c:strCache>
                <c:ptCount val="1"/>
                <c:pt idx="0">
                  <c:v>Approvals</c:v>
                </c:pt>
              </c:strCache>
            </c:strRef>
          </c:tx>
          <c:spPr>
            <a:solidFill>
              <a:srgbClr val="0E7482"/>
            </a:solidFill>
            <a:ln>
              <a:noFill/>
            </a:ln>
            <a:effectLst/>
          </c:spPr>
          <c:invertIfNegative val="0"/>
          <c:cat>
            <c:strRef>
              <c:f>Sheet2!$C$38:$C$42</c:f>
              <c:strCache>
                <c:ptCount val="5"/>
                <c:pt idx="0">
                  <c:v>2019/2020</c:v>
                </c:pt>
                <c:pt idx="1">
                  <c:v>2020/2021</c:v>
                </c:pt>
                <c:pt idx="2">
                  <c:v>2021/2022</c:v>
                </c:pt>
                <c:pt idx="3">
                  <c:v>2022/2023</c:v>
                </c:pt>
                <c:pt idx="4">
                  <c:v>2023/2024</c:v>
                </c:pt>
              </c:strCache>
            </c:strRef>
          </c:cat>
          <c:val>
            <c:numRef>
              <c:f>Sheet2!$E$38:$E$42</c:f>
              <c:numCache>
                <c:formatCode>General</c:formatCode>
                <c:ptCount val="5"/>
                <c:pt idx="0">
                  <c:v>22</c:v>
                </c:pt>
                <c:pt idx="1">
                  <c:v>32</c:v>
                </c:pt>
                <c:pt idx="2">
                  <c:v>99</c:v>
                </c:pt>
                <c:pt idx="3">
                  <c:v>129</c:v>
                </c:pt>
                <c:pt idx="4">
                  <c:v>132</c:v>
                </c:pt>
              </c:numCache>
            </c:numRef>
          </c:val>
          <c:extLst>
            <c:ext xmlns:c16="http://schemas.microsoft.com/office/drawing/2014/chart" uri="{C3380CC4-5D6E-409C-BE32-E72D297353CC}">
              <c16:uniqueId val="{00000001-245D-474C-A6BA-55B7752BE34D}"/>
            </c:ext>
          </c:extLst>
        </c:ser>
        <c:dLbls>
          <c:showLegendKey val="0"/>
          <c:showVal val="0"/>
          <c:showCatName val="0"/>
          <c:showSerName val="0"/>
          <c:showPercent val="0"/>
          <c:showBubbleSize val="0"/>
        </c:dLbls>
        <c:gapWidth val="219"/>
        <c:overlap val="-27"/>
        <c:axId val="1107279808"/>
        <c:axId val="1107280888"/>
      </c:barChart>
      <c:catAx>
        <c:axId val="110727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07280888"/>
        <c:crosses val="autoZero"/>
        <c:auto val="1"/>
        <c:lblAlgn val="ctr"/>
        <c:lblOffset val="100"/>
        <c:noMultiLvlLbl val="0"/>
      </c:catAx>
      <c:valAx>
        <c:axId val="1107280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07279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TasGov Blue Hero Style">
      <a:dk1>
        <a:srgbClr val="000000"/>
      </a:dk1>
      <a:lt1>
        <a:srgbClr val="FFFFFF"/>
      </a:lt1>
      <a:dk2>
        <a:srgbClr val="53427E"/>
      </a:dk2>
      <a:lt2>
        <a:srgbClr val="DC1350"/>
      </a:lt2>
      <a:accent1>
        <a:srgbClr val="405D16"/>
      </a:accent1>
      <a:accent2>
        <a:srgbClr val="63BD5E"/>
      </a:accent2>
      <a:accent3>
        <a:srgbClr val="CE362F"/>
      </a:accent3>
      <a:accent4>
        <a:srgbClr val="F48021"/>
      </a:accent4>
      <a:accent5>
        <a:srgbClr val="005FB1"/>
      </a:accent5>
      <a:accent6>
        <a:srgbClr val="00BCD9"/>
      </a:accent6>
      <a:hlink>
        <a:srgbClr val="4C4C4C"/>
      </a:hlink>
      <a:folHlink>
        <a:srgbClr val="999999"/>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00F7F-9F9E-4C90-81AF-45FD83A86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TasGov_A4Report_Style1_Blue (1)</Template>
  <TotalTime>22</TotalTime>
  <Pages>20</Pages>
  <Words>4792</Words>
  <Characters>27318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Lynette</dc:creator>
  <cp:keywords/>
  <dc:description/>
  <cp:lastModifiedBy>Clemens, Catherine</cp:lastModifiedBy>
  <cp:revision>2</cp:revision>
  <cp:lastPrinted>2024-12-15T21:34:00Z</cp:lastPrinted>
  <dcterms:created xsi:type="dcterms:W3CDTF">2024-12-17T02:13:00Z</dcterms:created>
  <dcterms:modified xsi:type="dcterms:W3CDTF">2024-12-17T02:13:00Z</dcterms:modified>
</cp:coreProperties>
</file>