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0E" w:rsidRPr="007F2D33" w:rsidRDefault="00CD2AFD" w:rsidP="007F2D33">
      <w:pPr>
        <w:pStyle w:val="Heading-cover"/>
      </w:pPr>
      <w:r w:rsidRPr="007F2D33">
        <w:t>Factsheet</w:t>
      </w:r>
    </w:p>
    <w:p w:rsidR="008B07AE" w:rsidRPr="007F2D33" w:rsidRDefault="0051607E" w:rsidP="007F2D33">
      <w:pPr>
        <w:pStyle w:val="Sub-heading-cover"/>
      </w:pPr>
      <w:r w:rsidRPr="007F2D33">
        <w:t xml:space="preserve">Managing </w:t>
      </w:r>
      <w:r w:rsidR="00E72E6A">
        <w:t>R</w:t>
      </w:r>
      <w:r w:rsidRPr="007F2D33">
        <w:t>isks</w:t>
      </w:r>
      <w:r w:rsidR="00CD2AFD" w:rsidRPr="007F2D33">
        <w:t xml:space="preserve"> </w:t>
      </w:r>
    </w:p>
    <w:p w:rsidR="00F73091" w:rsidRPr="007F2D33" w:rsidRDefault="007F2D33" w:rsidP="007F2D33">
      <w:pPr>
        <w:pStyle w:val="HeadingOne"/>
      </w:pPr>
      <w:r>
        <w:t>Risk P</w:t>
      </w:r>
      <w:r w:rsidR="0051607E" w:rsidRPr="007F2D33">
        <w:t>lanning</w:t>
      </w:r>
    </w:p>
    <w:p w:rsidR="0051607E" w:rsidRPr="0051607E" w:rsidRDefault="0051607E" w:rsidP="00867FB3">
      <w:pPr>
        <w:spacing w:before="120" w:after="120" w:line="276" w:lineRule="auto"/>
        <w:ind w:right="-24"/>
        <w:rPr>
          <w:rFonts w:ascii="Gill Sans MT" w:hAnsi="Gill Sans MT" w:cs="Arial"/>
        </w:rPr>
      </w:pPr>
      <w:r w:rsidRPr="0051607E">
        <w:rPr>
          <w:rFonts w:ascii="Gill Sans MT" w:hAnsi="Gill Sans MT" w:cs="Arial"/>
        </w:rPr>
        <w:t xml:space="preserve">Risk management involves planning for possible negative events that can have an impact on the change project. </w:t>
      </w:r>
      <w:r w:rsidR="00491ED4">
        <w:rPr>
          <w:rFonts w:ascii="Gill Sans MT" w:hAnsi="Gill Sans MT" w:cs="Arial"/>
        </w:rPr>
        <w:t xml:space="preserve">As a change leader you need to </w:t>
      </w:r>
      <w:r w:rsidRPr="0051607E">
        <w:rPr>
          <w:rFonts w:ascii="Gill Sans MT" w:hAnsi="Gill Sans MT" w:cs="Arial"/>
        </w:rPr>
        <w:t xml:space="preserve">ensure potential risks are identified early and put strategies in place to prevent or mitigate negative impacts. There are two types of controls that act as barriers between the risk and negative event, or the negative event and the impact: </w:t>
      </w:r>
    </w:p>
    <w:p w:rsidR="0051607E" w:rsidRPr="0051607E" w:rsidRDefault="0051607E"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b/>
          <w:szCs w:val="20"/>
        </w:rPr>
        <w:t>preventive</w:t>
      </w:r>
      <w:proofErr w:type="gramEnd"/>
      <w:r w:rsidRPr="0051607E">
        <w:rPr>
          <w:rFonts w:ascii="Gill Sans MT" w:hAnsi="Gill Sans MT" w:cs="Arial"/>
          <w:b/>
          <w:szCs w:val="20"/>
        </w:rPr>
        <w:t xml:space="preserve"> controls</w:t>
      </w:r>
      <w:r w:rsidRPr="0051607E">
        <w:rPr>
          <w:rFonts w:ascii="Gill Sans MT" w:hAnsi="Gill Sans MT" w:cs="Arial"/>
          <w:szCs w:val="20"/>
        </w:rPr>
        <w:t xml:space="preserve"> – to stop the event occurring</w:t>
      </w:r>
      <w:r w:rsidR="00F56AF1">
        <w:rPr>
          <w:rFonts w:ascii="Gill Sans MT" w:hAnsi="Gill Sans MT" w:cs="Arial"/>
          <w:szCs w:val="20"/>
        </w:rPr>
        <w:t>.</w:t>
      </w:r>
      <w:r w:rsidRPr="0051607E">
        <w:rPr>
          <w:rFonts w:ascii="Gill Sans MT" w:hAnsi="Gill Sans MT" w:cs="Arial"/>
          <w:szCs w:val="20"/>
        </w:rPr>
        <w:t xml:space="preserve"> </w:t>
      </w:r>
    </w:p>
    <w:p w:rsidR="0051607E" w:rsidRPr="0051607E" w:rsidRDefault="0051607E"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b/>
          <w:szCs w:val="20"/>
        </w:rPr>
        <w:t>recovery</w:t>
      </w:r>
      <w:proofErr w:type="gramEnd"/>
      <w:r w:rsidRPr="0051607E">
        <w:rPr>
          <w:rFonts w:ascii="Gill Sans MT" w:hAnsi="Gill Sans MT" w:cs="Arial"/>
          <w:b/>
          <w:szCs w:val="20"/>
        </w:rPr>
        <w:t xml:space="preserve"> controls</w:t>
      </w:r>
      <w:r w:rsidRPr="0051607E">
        <w:rPr>
          <w:rFonts w:ascii="Gill Sans MT" w:hAnsi="Gill Sans MT" w:cs="Arial"/>
          <w:szCs w:val="20"/>
        </w:rPr>
        <w:t xml:space="preserve"> – to mitigate the effects if the event occurs. </w:t>
      </w:r>
    </w:p>
    <w:p w:rsidR="0051607E" w:rsidRPr="007F2D33" w:rsidRDefault="0051607E" w:rsidP="007F2D33">
      <w:pPr>
        <w:pStyle w:val="HeadingOne"/>
      </w:pPr>
      <w:r w:rsidRPr="007F2D33">
        <w:t xml:space="preserve">How </w:t>
      </w:r>
      <w:r w:rsidR="007F2D33">
        <w:t>t</w:t>
      </w:r>
      <w:r w:rsidR="007F2D33" w:rsidRPr="007F2D33">
        <w:t xml:space="preserve">o </w:t>
      </w:r>
      <w:r w:rsidR="003F4658">
        <w:t>d</w:t>
      </w:r>
      <w:r w:rsidR="007F2D33" w:rsidRPr="007F2D33">
        <w:t xml:space="preserve">o </w:t>
      </w:r>
      <w:r w:rsidR="003F4658">
        <w:t>i</w:t>
      </w:r>
      <w:r w:rsidR="007F2D33" w:rsidRPr="007F2D33">
        <w:t>t</w:t>
      </w:r>
    </w:p>
    <w:p w:rsidR="0051607E" w:rsidRPr="0051607E" w:rsidRDefault="0051607E" w:rsidP="00867FB3">
      <w:pPr>
        <w:spacing w:before="120" w:after="120" w:line="276" w:lineRule="auto"/>
        <w:ind w:right="-24"/>
        <w:rPr>
          <w:rFonts w:ascii="Gill Sans MT" w:hAnsi="Gill Sans MT" w:cs="Arial"/>
        </w:rPr>
      </w:pPr>
      <w:r w:rsidRPr="0051607E">
        <w:rPr>
          <w:rFonts w:ascii="Gill Sans MT" w:hAnsi="Gill Sans MT" w:cs="Arial"/>
        </w:rPr>
        <w:t xml:space="preserve">Before planning your risk management, make sure your project plan is up-to-date. This will highlight what aspects of the project need attention, the deliverables and dependencies. There are two phases: </w:t>
      </w:r>
    </w:p>
    <w:p w:rsidR="0051607E" w:rsidRPr="00B954BD" w:rsidRDefault="00F56AF1" w:rsidP="00867FB3">
      <w:pPr>
        <w:pStyle w:val="HeadingThree"/>
        <w:rPr>
          <w:rFonts w:ascii="Gill Sans MT" w:hAnsi="Gill Sans MT"/>
          <w:caps w:val="0"/>
          <w:color w:val="auto"/>
          <w:sz w:val="24"/>
          <w:szCs w:val="24"/>
        </w:rPr>
      </w:pPr>
      <w:r>
        <w:rPr>
          <w:rFonts w:ascii="Gill Sans MT" w:hAnsi="Gill Sans MT"/>
          <w:caps w:val="0"/>
          <w:color w:val="auto"/>
          <w:sz w:val="24"/>
          <w:szCs w:val="24"/>
        </w:rPr>
        <w:t xml:space="preserve">Phase </w:t>
      </w:r>
      <w:r w:rsidR="0051607E" w:rsidRPr="00B954BD">
        <w:rPr>
          <w:rFonts w:ascii="Gill Sans MT" w:hAnsi="Gill Sans MT"/>
          <w:caps w:val="0"/>
          <w:color w:val="auto"/>
          <w:sz w:val="24"/>
          <w:szCs w:val="24"/>
        </w:rPr>
        <w:t>1</w:t>
      </w:r>
      <w:r>
        <w:rPr>
          <w:rFonts w:ascii="Gill Sans MT" w:hAnsi="Gill Sans MT"/>
          <w:caps w:val="0"/>
          <w:color w:val="auto"/>
          <w:sz w:val="24"/>
          <w:szCs w:val="24"/>
        </w:rPr>
        <w:t>:</w:t>
      </w:r>
      <w:r w:rsidR="0051607E" w:rsidRPr="00B954BD">
        <w:rPr>
          <w:rFonts w:ascii="Gill Sans MT" w:hAnsi="Gill Sans MT"/>
          <w:caps w:val="0"/>
          <w:color w:val="auto"/>
          <w:sz w:val="24"/>
          <w:szCs w:val="24"/>
        </w:rPr>
        <w:t xml:space="preserve"> Plan and develop controls</w:t>
      </w:r>
      <w:r w:rsidRPr="009B3C32">
        <w:rPr>
          <w:rFonts w:ascii="Gill Sans MT" w:hAnsi="Gill Sans MT"/>
          <w:caps w:val="0"/>
          <w:color w:val="FFFFFF" w:themeColor="background1"/>
          <w:sz w:val="24"/>
          <w:szCs w:val="24"/>
        </w:rPr>
        <w:t>.</w:t>
      </w:r>
    </w:p>
    <w:p w:rsidR="00867FB3" w:rsidRPr="00F56AF1" w:rsidRDefault="0051607E" w:rsidP="00867FB3">
      <w:pPr>
        <w:spacing w:before="120" w:after="120" w:line="276" w:lineRule="auto"/>
        <w:ind w:right="-24"/>
        <w:rPr>
          <w:rFonts w:ascii="Gill Sans MT" w:hAnsi="Gill Sans MT" w:cs="Arial"/>
          <w:b/>
          <w:color w:val="1F497D" w:themeColor="text2"/>
        </w:rPr>
      </w:pPr>
      <w:r w:rsidRPr="00F56AF1">
        <w:rPr>
          <w:rFonts w:ascii="Gill Sans MT" w:hAnsi="Gill Sans MT" w:cs="Arial"/>
          <w:b/>
          <w:color w:val="1F497D" w:themeColor="text2"/>
        </w:rPr>
        <w:t>Identify risks</w:t>
      </w:r>
      <w:r w:rsidR="00F56AF1" w:rsidRPr="009B3C32">
        <w:rPr>
          <w:rFonts w:ascii="Gill Sans MT" w:hAnsi="Gill Sans MT" w:cs="Arial"/>
          <w:b/>
          <w:color w:val="FFFFFF" w:themeColor="background1"/>
        </w:rPr>
        <w:t>.</w:t>
      </w:r>
    </w:p>
    <w:p w:rsidR="0051607E" w:rsidRPr="0051607E" w:rsidRDefault="0051607E" w:rsidP="00867FB3">
      <w:pPr>
        <w:spacing w:before="120" w:after="120" w:line="276" w:lineRule="auto"/>
        <w:ind w:right="-24"/>
        <w:rPr>
          <w:rFonts w:ascii="Gill Sans MT" w:hAnsi="Gill Sans MT" w:cs="Arial"/>
        </w:rPr>
      </w:pPr>
      <w:r w:rsidRPr="0051607E">
        <w:rPr>
          <w:rFonts w:ascii="Gill Sans MT" w:hAnsi="Gill Sans MT" w:cs="Arial"/>
        </w:rPr>
        <w:t xml:space="preserve">Ask the following questions in relation to all deliverables and dependencies outlined in your project plan: </w:t>
      </w:r>
    </w:p>
    <w:p w:rsidR="00F56AF1" w:rsidRPr="00F56AF1" w:rsidRDefault="0051607E" w:rsidP="00867FB3">
      <w:pPr>
        <w:pStyle w:val="ListParagraph"/>
        <w:numPr>
          <w:ilvl w:val="0"/>
          <w:numId w:val="13"/>
        </w:numPr>
        <w:spacing w:before="120" w:after="120" w:line="276" w:lineRule="auto"/>
        <w:ind w:right="-24"/>
        <w:contextualSpacing w:val="0"/>
        <w:rPr>
          <w:rFonts w:ascii="Gill Sans MT" w:hAnsi="Gill Sans MT" w:cs="Arial"/>
          <w:szCs w:val="20"/>
        </w:rPr>
      </w:pPr>
      <w:r w:rsidRPr="0051607E">
        <w:rPr>
          <w:rFonts w:ascii="Gill Sans MT" w:hAnsi="Gill Sans MT" w:cs="Arial"/>
          <w:b/>
          <w:szCs w:val="20"/>
        </w:rPr>
        <w:t xml:space="preserve">Are there any external threats or risks? </w:t>
      </w:r>
    </w:p>
    <w:p w:rsidR="0051607E" w:rsidRPr="0051607E" w:rsidRDefault="0051607E" w:rsidP="00F56AF1">
      <w:pPr>
        <w:spacing w:before="120" w:after="120" w:line="276" w:lineRule="auto"/>
        <w:ind w:left="786" w:right="-24"/>
        <w:rPr>
          <w:rFonts w:ascii="Gill Sans MT" w:hAnsi="Gill Sans MT" w:cs="Arial"/>
          <w:szCs w:val="20"/>
        </w:rPr>
      </w:pPr>
      <w:r w:rsidRPr="0051607E">
        <w:rPr>
          <w:rFonts w:ascii="Gill Sans MT" w:hAnsi="Gill Sans MT" w:cs="Arial"/>
          <w:szCs w:val="20"/>
        </w:rPr>
        <w:t xml:space="preserve">These could be external to your team, organisation, and could include things like budget or policy shifts, difficulties with stakeholder engagement or not being able to procure necessary skills or resources. </w:t>
      </w:r>
    </w:p>
    <w:p w:rsidR="00F56AF1" w:rsidRDefault="0051607E" w:rsidP="00867FB3">
      <w:pPr>
        <w:pStyle w:val="ListParagraph"/>
        <w:numPr>
          <w:ilvl w:val="0"/>
          <w:numId w:val="13"/>
        </w:numPr>
        <w:spacing w:before="120" w:after="120" w:line="276" w:lineRule="auto"/>
        <w:ind w:right="-24"/>
        <w:contextualSpacing w:val="0"/>
        <w:rPr>
          <w:rFonts w:ascii="Gill Sans MT" w:hAnsi="Gill Sans MT" w:cs="Arial"/>
          <w:b/>
          <w:szCs w:val="20"/>
        </w:rPr>
      </w:pPr>
      <w:r w:rsidRPr="0051607E">
        <w:rPr>
          <w:rFonts w:ascii="Gill Sans MT" w:hAnsi="Gill Sans MT" w:cs="Arial"/>
          <w:b/>
          <w:szCs w:val="20"/>
        </w:rPr>
        <w:t xml:space="preserve">Are there any internal threats or risks? </w:t>
      </w:r>
    </w:p>
    <w:p w:rsidR="0051607E" w:rsidRPr="00F56AF1" w:rsidRDefault="0051607E" w:rsidP="00F56AF1">
      <w:pPr>
        <w:spacing w:before="120" w:after="120" w:line="276" w:lineRule="auto"/>
        <w:ind w:left="786" w:right="-24"/>
        <w:rPr>
          <w:rFonts w:ascii="Gill Sans MT" w:hAnsi="Gill Sans MT" w:cs="Arial"/>
          <w:szCs w:val="20"/>
        </w:rPr>
      </w:pPr>
      <w:r w:rsidRPr="0051607E">
        <w:rPr>
          <w:rFonts w:ascii="Gill Sans MT" w:hAnsi="Gill Sans MT" w:cs="Arial"/>
          <w:szCs w:val="20"/>
        </w:rPr>
        <w:t>These are internal to your team and could include things like competing priorities, team holiday leave or sickness, deficient communication or collaboration, insufficient skills or knowledge, and delays with signoff or approvals.</w:t>
      </w:r>
      <w:r w:rsidRPr="00F56AF1">
        <w:rPr>
          <w:rFonts w:ascii="Gill Sans MT" w:hAnsi="Gill Sans MT" w:cs="Arial"/>
          <w:szCs w:val="20"/>
        </w:rPr>
        <w:t xml:space="preserve"> </w:t>
      </w:r>
    </w:p>
    <w:p w:rsidR="0051607E" w:rsidRPr="0051607E" w:rsidRDefault="0051607E" w:rsidP="00867FB3">
      <w:pPr>
        <w:spacing w:before="120" w:after="120" w:line="276" w:lineRule="auto"/>
        <w:ind w:right="-24"/>
        <w:rPr>
          <w:rFonts w:ascii="Gill Sans MT" w:hAnsi="Gill Sans MT" w:cs="Arial"/>
        </w:rPr>
      </w:pPr>
      <w:r w:rsidRPr="0051607E">
        <w:rPr>
          <w:rFonts w:ascii="Gill Sans MT" w:hAnsi="Gill Sans MT" w:cs="Arial"/>
        </w:rPr>
        <w:t xml:space="preserve">Document these in a register. Your organisation should have a risk register template available for you to use. </w:t>
      </w:r>
    </w:p>
    <w:p w:rsidR="00867FB3" w:rsidRPr="00F56AF1" w:rsidRDefault="0051607E" w:rsidP="00867FB3">
      <w:pPr>
        <w:spacing w:before="120" w:after="120" w:line="276" w:lineRule="auto"/>
        <w:ind w:right="-24"/>
        <w:rPr>
          <w:rFonts w:ascii="Gill Sans MT" w:hAnsi="Gill Sans MT" w:cs="Arial"/>
          <w:b/>
          <w:color w:val="1F497D" w:themeColor="text2"/>
        </w:rPr>
      </w:pPr>
      <w:r w:rsidRPr="00F56AF1">
        <w:rPr>
          <w:rFonts w:ascii="Gill Sans MT" w:hAnsi="Gill Sans MT" w:cs="Arial"/>
          <w:b/>
          <w:color w:val="1F497D" w:themeColor="text2"/>
        </w:rPr>
        <w:t>Develop controls</w:t>
      </w:r>
      <w:r w:rsidR="00F56AF1" w:rsidRPr="009B3C32">
        <w:rPr>
          <w:rFonts w:ascii="Gill Sans MT" w:hAnsi="Gill Sans MT" w:cs="Arial"/>
          <w:b/>
          <w:color w:val="FFFFFF" w:themeColor="background1"/>
        </w:rPr>
        <w:t>.</w:t>
      </w:r>
    </w:p>
    <w:p w:rsidR="0051607E" w:rsidRPr="0051607E" w:rsidRDefault="0051607E" w:rsidP="00867FB3">
      <w:pPr>
        <w:spacing w:before="120" w:after="120" w:line="276" w:lineRule="auto"/>
        <w:ind w:right="-24"/>
        <w:rPr>
          <w:rFonts w:ascii="Gill Sans MT" w:hAnsi="Gill Sans MT" w:cs="Arial"/>
        </w:rPr>
      </w:pPr>
      <w:r w:rsidRPr="0051607E">
        <w:rPr>
          <w:rFonts w:ascii="Gill Sans MT" w:hAnsi="Gill Sans MT" w:cs="Arial"/>
        </w:rPr>
        <w:t>With each risk identified, you need to develop preventive and recovery controls.</w:t>
      </w:r>
      <w:r>
        <w:rPr>
          <w:rFonts w:ascii="Gill Sans MT" w:hAnsi="Gill Sans MT" w:cs="Arial"/>
        </w:rPr>
        <w:t xml:space="preserve"> </w:t>
      </w:r>
      <w:r w:rsidR="00491ED4">
        <w:rPr>
          <w:rFonts w:ascii="Gill Sans MT" w:hAnsi="Gill Sans MT" w:cs="Arial"/>
        </w:rPr>
        <w:t xml:space="preserve">Ask the following: </w:t>
      </w:r>
    </w:p>
    <w:p w:rsidR="00F56AF1" w:rsidRPr="00F56AF1" w:rsidRDefault="0051607E" w:rsidP="00867FB3">
      <w:pPr>
        <w:pStyle w:val="ListParagraph"/>
        <w:numPr>
          <w:ilvl w:val="0"/>
          <w:numId w:val="13"/>
        </w:numPr>
        <w:spacing w:before="120" w:after="120" w:line="276" w:lineRule="auto"/>
        <w:ind w:right="-24"/>
        <w:contextualSpacing w:val="0"/>
        <w:rPr>
          <w:rFonts w:ascii="Gill Sans MT" w:hAnsi="Gill Sans MT" w:cs="Arial"/>
          <w:szCs w:val="20"/>
        </w:rPr>
      </w:pPr>
      <w:r w:rsidRPr="0051607E">
        <w:rPr>
          <w:rFonts w:ascii="Gill Sans MT" w:hAnsi="Gill Sans MT" w:cs="Arial"/>
          <w:b/>
          <w:szCs w:val="20"/>
        </w:rPr>
        <w:t xml:space="preserve">What can be done to prevent the risk becoming a negative event? </w:t>
      </w:r>
    </w:p>
    <w:p w:rsidR="0051607E" w:rsidRPr="00F56AF1" w:rsidRDefault="0051607E" w:rsidP="00F56AF1">
      <w:pPr>
        <w:spacing w:before="120" w:after="120" w:line="276" w:lineRule="auto"/>
        <w:ind w:left="786" w:right="-24"/>
        <w:rPr>
          <w:rFonts w:ascii="Gill Sans MT" w:hAnsi="Gill Sans MT" w:cs="Arial"/>
          <w:szCs w:val="20"/>
        </w:rPr>
      </w:pPr>
      <w:r w:rsidRPr="00F56AF1">
        <w:rPr>
          <w:rFonts w:ascii="Gill Sans MT" w:hAnsi="Gill Sans MT" w:cs="Arial"/>
          <w:szCs w:val="20"/>
        </w:rPr>
        <w:t xml:space="preserve">These strategies will be your preventive controls. </w:t>
      </w:r>
    </w:p>
    <w:p w:rsidR="00F56AF1" w:rsidRDefault="0051607E" w:rsidP="00867FB3">
      <w:pPr>
        <w:pStyle w:val="ListParagraph"/>
        <w:numPr>
          <w:ilvl w:val="0"/>
          <w:numId w:val="13"/>
        </w:numPr>
        <w:spacing w:before="120" w:after="120" w:line="276" w:lineRule="auto"/>
        <w:ind w:right="-24"/>
        <w:contextualSpacing w:val="0"/>
        <w:rPr>
          <w:rFonts w:ascii="Gill Sans MT" w:hAnsi="Gill Sans MT" w:cs="Arial"/>
        </w:rPr>
      </w:pPr>
      <w:r w:rsidRPr="00F56AF1">
        <w:rPr>
          <w:rFonts w:ascii="Gill Sans MT" w:hAnsi="Gill Sans MT" w:cs="Arial"/>
          <w:b/>
          <w:szCs w:val="20"/>
        </w:rPr>
        <w:t>What can be done to mitigate or diminish the impact of the negative event should it occur?</w:t>
      </w:r>
      <w:r w:rsidRPr="00F56AF1">
        <w:rPr>
          <w:rFonts w:ascii="Gill Sans MT" w:hAnsi="Gill Sans MT" w:cs="Arial"/>
        </w:rPr>
        <w:t xml:space="preserve"> </w:t>
      </w:r>
    </w:p>
    <w:p w:rsidR="00F73091" w:rsidRPr="00F56AF1" w:rsidRDefault="0051607E" w:rsidP="00F56AF1">
      <w:pPr>
        <w:spacing w:before="120" w:after="120" w:line="276" w:lineRule="auto"/>
        <w:ind w:left="786" w:right="-24"/>
        <w:rPr>
          <w:rFonts w:ascii="Gill Sans MT" w:hAnsi="Gill Sans MT" w:cs="Arial"/>
          <w:szCs w:val="20"/>
        </w:rPr>
      </w:pPr>
      <w:r w:rsidRPr="00F56AF1">
        <w:rPr>
          <w:rFonts w:ascii="Gill Sans MT" w:hAnsi="Gill Sans MT" w:cs="Arial"/>
          <w:szCs w:val="20"/>
        </w:rPr>
        <w:t xml:space="preserve">These strategies will be your recovery controls. </w:t>
      </w:r>
      <w:r w:rsidR="00F73091" w:rsidRPr="00F56AF1">
        <w:rPr>
          <w:rFonts w:ascii="Gill Sans MT" w:hAnsi="Gill Sans MT" w:cs="Arial"/>
          <w:szCs w:val="20"/>
        </w:rPr>
        <w:t xml:space="preserve"> </w:t>
      </w:r>
    </w:p>
    <w:p w:rsidR="00F73091" w:rsidRDefault="00F73091" w:rsidP="00F56AF1">
      <w:pPr>
        <w:spacing w:before="120" w:after="120" w:line="276" w:lineRule="auto"/>
        <w:ind w:left="786" w:right="-24"/>
        <w:rPr>
          <w:rFonts w:ascii="Gill Sans MT" w:hAnsi="Gill Sans MT" w:cs="Arial"/>
          <w:szCs w:val="20"/>
        </w:rPr>
        <w:sectPr w:rsidR="00F73091" w:rsidSect="00C723D5">
          <w:footerReference w:type="default" r:id="rId9"/>
          <w:footerReference w:type="first" r:id="rId10"/>
          <w:type w:val="continuous"/>
          <w:pgSz w:w="11906" w:h="16838"/>
          <w:pgMar w:top="851" w:right="720" w:bottom="1418" w:left="1134" w:header="709" w:footer="539" w:gutter="0"/>
          <w:cols w:space="709"/>
          <w:docGrid w:linePitch="360"/>
        </w:sectPr>
      </w:pPr>
    </w:p>
    <w:p w:rsidR="00867FB3" w:rsidRPr="00F56AF1" w:rsidRDefault="00867FB3" w:rsidP="00867FB3">
      <w:pPr>
        <w:spacing w:before="120" w:after="120" w:line="276" w:lineRule="auto"/>
        <w:ind w:right="-24"/>
        <w:rPr>
          <w:rFonts w:ascii="Gill Sans MT" w:hAnsi="Gill Sans MT" w:cs="Arial"/>
          <w:b/>
          <w:color w:val="1F497D" w:themeColor="text2"/>
        </w:rPr>
      </w:pPr>
      <w:r w:rsidRPr="00F56AF1">
        <w:rPr>
          <w:rFonts w:ascii="Gill Sans MT" w:hAnsi="Gill Sans MT" w:cs="Arial"/>
          <w:b/>
          <w:color w:val="1F497D" w:themeColor="text2"/>
        </w:rPr>
        <w:lastRenderedPageBreak/>
        <w:t>Assign likelihood</w:t>
      </w:r>
      <w:r w:rsidR="00F56AF1" w:rsidRPr="009B3C32">
        <w:rPr>
          <w:rFonts w:ascii="Gill Sans MT" w:hAnsi="Gill Sans MT" w:cs="Arial"/>
          <w:b/>
          <w:color w:val="FFFFFF" w:themeColor="background1"/>
        </w:rPr>
        <w:t>.</w:t>
      </w:r>
    </w:p>
    <w:p w:rsidR="00867FB3" w:rsidRPr="0051607E" w:rsidRDefault="00867FB3" w:rsidP="00867FB3">
      <w:pPr>
        <w:spacing w:before="120" w:after="120" w:line="276" w:lineRule="auto"/>
        <w:ind w:right="-24"/>
        <w:rPr>
          <w:rFonts w:ascii="Gill Sans MT" w:hAnsi="Gill Sans MT" w:cs="Arial"/>
        </w:rPr>
      </w:pPr>
      <w:r w:rsidRPr="0051607E">
        <w:rPr>
          <w:rFonts w:ascii="Gill Sans MT" w:hAnsi="Gill Sans MT" w:cs="Arial"/>
        </w:rPr>
        <w:t>After identifying your risks and developing your controls, assess the likelihood of each risk occurring. It</w:t>
      </w:r>
      <w:r w:rsidR="009B4DFD">
        <w:rPr>
          <w:rFonts w:ascii="Gill Sans MT" w:hAnsi="Gill Sans MT" w:cs="Arial"/>
        </w:rPr>
        <w:t> </w:t>
      </w:r>
      <w:r w:rsidRPr="0051607E">
        <w:rPr>
          <w:rFonts w:ascii="Gill Sans MT" w:hAnsi="Gill Sans MT" w:cs="Arial"/>
        </w:rPr>
        <w:t xml:space="preserve">is useful to have a consistent scale with each rating explained to minimise differing interpretations of your assessment. Your ratings could be: </w:t>
      </w:r>
    </w:p>
    <w:p w:rsidR="00867FB3" w:rsidRPr="0051607E" w:rsidRDefault="00867FB3"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szCs w:val="20"/>
        </w:rPr>
        <w:t>low</w:t>
      </w:r>
      <w:proofErr w:type="gramEnd"/>
      <w:r w:rsidRPr="0051607E">
        <w:rPr>
          <w:rFonts w:ascii="Gill Sans MT" w:hAnsi="Gill Sans MT" w:cs="Arial"/>
          <w:szCs w:val="20"/>
        </w:rPr>
        <w:t>, medium, high</w:t>
      </w:r>
      <w:r w:rsidR="00F56AF1">
        <w:rPr>
          <w:rFonts w:ascii="Gill Sans MT" w:hAnsi="Gill Sans MT" w:cs="Arial"/>
          <w:szCs w:val="20"/>
        </w:rPr>
        <w:t>.</w:t>
      </w:r>
      <w:r w:rsidRPr="0051607E">
        <w:rPr>
          <w:rFonts w:ascii="Gill Sans MT" w:hAnsi="Gill Sans MT" w:cs="Arial"/>
          <w:szCs w:val="20"/>
        </w:rPr>
        <w:t xml:space="preserve"> </w:t>
      </w:r>
    </w:p>
    <w:p w:rsidR="00867FB3" w:rsidRPr="0051607E" w:rsidRDefault="00867FB3" w:rsidP="00867FB3">
      <w:pPr>
        <w:pStyle w:val="ListParagraph"/>
        <w:numPr>
          <w:ilvl w:val="0"/>
          <w:numId w:val="13"/>
        </w:numPr>
        <w:spacing w:before="120" w:after="120" w:line="276" w:lineRule="auto"/>
        <w:ind w:right="-24"/>
        <w:contextualSpacing w:val="0"/>
        <w:rPr>
          <w:rFonts w:ascii="Gill Sans MT" w:hAnsi="Gill Sans MT" w:cs="Arial"/>
          <w:szCs w:val="20"/>
        </w:rPr>
      </w:pPr>
      <w:r w:rsidRPr="0051607E">
        <w:rPr>
          <w:rFonts w:ascii="Gill Sans MT" w:hAnsi="Gill Sans MT" w:cs="Arial"/>
          <w:szCs w:val="20"/>
        </w:rPr>
        <w:t>1 – 5, with 1 indicating that the event is very unlikely to occur, and 5 very likely to occur</w:t>
      </w:r>
      <w:r w:rsidR="00F56AF1">
        <w:rPr>
          <w:rFonts w:ascii="Gill Sans MT" w:hAnsi="Gill Sans MT" w:cs="Arial"/>
          <w:szCs w:val="20"/>
        </w:rPr>
        <w:t>.</w:t>
      </w:r>
      <w:r w:rsidRPr="0051607E">
        <w:rPr>
          <w:rFonts w:ascii="Gill Sans MT" w:hAnsi="Gill Sans MT" w:cs="Arial"/>
          <w:szCs w:val="20"/>
        </w:rPr>
        <w:t xml:space="preserve"> </w:t>
      </w:r>
    </w:p>
    <w:p w:rsidR="00867FB3" w:rsidRDefault="00867FB3"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935740">
        <w:rPr>
          <w:rFonts w:ascii="Gill Sans MT" w:hAnsi="Gill Sans MT" w:cs="Arial"/>
          <w:szCs w:val="20"/>
        </w:rPr>
        <w:t>rare</w:t>
      </w:r>
      <w:proofErr w:type="gramEnd"/>
      <w:r w:rsidRPr="00935740">
        <w:rPr>
          <w:rFonts w:ascii="Gill Sans MT" w:hAnsi="Gill Sans MT" w:cs="Arial"/>
          <w:szCs w:val="20"/>
        </w:rPr>
        <w:t>, unlikely, possible, likely, almost certain.</w:t>
      </w:r>
    </w:p>
    <w:p w:rsidR="00935740" w:rsidRPr="00B954BD" w:rsidRDefault="00F56AF1" w:rsidP="00867FB3">
      <w:pPr>
        <w:pStyle w:val="HeadingThree"/>
        <w:rPr>
          <w:rFonts w:ascii="Gill Sans MT" w:hAnsi="Gill Sans MT"/>
          <w:caps w:val="0"/>
          <w:color w:val="auto"/>
          <w:sz w:val="24"/>
          <w:szCs w:val="24"/>
        </w:rPr>
      </w:pPr>
      <w:r>
        <w:rPr>
          <w:rFonts w:ascii="Gill Sans MT" w:hAnsi="Gill Sans MT"/>
          <w:caps w:val="0"/>
          <w:color w:val="auto"/>
          <w:sz w:val="24"/>
          <w:szCs w:val="24"/>
        </w:rPr>
        <w:t xml:space="preserve">Phase </w:t>
      </w:r>
      <w:r w:rsidR="00935740" w:rsidRPr="00B954BD">
        <w:rPr>
          <w:rFonts w:ascii="Gill Sans MT" w:hAnsi="Gill Sans MT"/>
          <w:caps w:val="0"/>
          <w:color w:val="auto"/>
          <w:sz w:val="24"/>
          <w:szCs w:val="24"/>
        </w:rPr>
        <w:t>2</w:t>
      </w:r>
      <w:r>
        <w:rPr>
          <w:rFonts w:ascii="Gill Sans MT" w:hAnsi="Gill Sans MT"/>
          <w:caps w:val="0"/>
          <w:color w:val="auto"/>
          <w:sz w:val="24"/>
          <w:szCs w:val="24"/>
        </w:rPr>
        <w:t>:</w:t>
      </w:r>
      <w:r w:rsidR="00935740" w:rsidRPr="00B954BD">
        <w:rPr>
          <w:rFonts w:ascii="Gill Sans MT" w:hAnsi="Gill Sans MT"/>
          <w:caps w:val="0"/>
          <w:color w:val="auto"/>
          <w:sz w:val="24"/>
          <w:szCs w:val="24"/>
        </w:rPr>
        <w:t xml:space="preserve"> Monitor and update</w:t>
      </w:r>
      <w:r w:rsidRPr="009B3C32">
        <w:rPr>
          <w:rFonts w:ascii="Gill Sans MT" w:hAnsi="Gill Sans MT"/>
          <w:caps w:val="0"/>
          <w:color w:val="FFFFFF" w:themeColor="background1"/>
          <w:sz w:val="24"/>
          <w:szCs w:val="24"/>
        </w:rPr>
        <w:t>.</w:t>
      </w:r>
    </w:p>
    <w:p w:rsidR="00935740" w:rsidRPr="0051607E" w:rsidRDefault="00935740" w:rsidP="00867FB3">
      <w:pPr>
        <w:spacing w:before="120" w:after="120" w:line="276" w:lineRule="auto"/>
        <w:ind w:right="-24"/>
        <w:rPr>
          <w:rFonts w:ascii="Gill Sans MT" w:hAnsi="Gill Sans MT" w:cs="Arial"/>
        </w:rPr>
      </w:pPr>
      <w:r w:rsidRPr="0051607E">
        <w:rPr>
          <w:rFonts w:ascii="Gill Sans MT" w:hAnsi="Gill Sans MT" w:cs="Arial"/>
        </w:rPr>
        <w:t xml:space="preserve">Review your risk register regularly to ensure it is up-to-date and accurately reflects all risks to the change project. It is the role of every team member to be aware of risks and to keep the risk manager informed of potential new issues. </w:t>
      </w:r>
    </w:p>
    <w:p w:rsidR="00935740" w:rsidRPr="009B3C32" w:rsidRDefault="00935740" w:rsidP="00867FB3">
      <w:pPr>
        <w:spacing w:before="120" w:after="120" w:line="276" w:lineRule="auto"/>
        <w:ind w:right="-24"/>
        <w:rPr>
          <w:rFonts w:ascii="Gill Sans MT" w:hAnsi="Gill Sans MT" w:cs="Arial"/>
          <w:b/>
          <w:color w:val="FFFFFF" w:themeColor="background1"/>
          <w:szCs w:val="20"/>
        </w:rPr>
      </w:pPr>
      <w:proofErr w:type="gramStart"/>
      <w:r w:rsidRPr="00F56AF1">
        <w:rPr>
          <w:rFonts w:ascii="Gill Sans MT" w:hAnsi="Gill Sans MT" w:cs="Arial"/>
          <w:b/>
          <w:color w:val="1F497D" w:themeColor="text2"/>
          <w:szCs w:val="20"/>
        </w:rPr>
        <w:t>Success measures</w:t>
      </w:r>
      <w:r w:rsidR="00F56AF1" w:rsidRPr="009B3C32">
        <w:rPr>
          <w:rFonts w:ascii="Gill Sans MT" w:hAnsi="Gill Sans MT" w:cs="Arial"/>
          <w:b/>
          <w:color w:val="FFFFFF" w:themeColor="background1"/>
          <w:szCs w:val="20"/>
        </w:rPr>
        <w:t>.</w:t>
      </w:r>
      <w:proofErr w:type="gramEnd"/>
    </w:p>
    <w:p w:rsidR="00935740" w:rsidRPr="0051607E" w:rsidRDefault="00935740" w:rsidP="00867FB3">
      <w:pPr>
        <w:spacing w:before="120" w:after="120" w:line="276" w:lineRule="auto"/>
        <w:ind w:right="-24"/>
        <w:rPr>
          <w:rFonts w:ascii="Gill Sans MT" w:hAnsi="Gill Sans MT" w:cs="Arial"/>
        </w:rPr>
      </w:pPr>
      <w:r w:rsidRPr="0051607E">
        <w:rPr>
          <w:rFonts w:ascii="Gill Sans MT" w:hAnsi="Gill Sans MT" w:cs="Arial"/>
        </w:rPr>
        <w:t xml:space="preserve">Your risk management will be successful if: </w:t>
      </w:r>
    </w:p>
    <w:p w:rsidR="00935740" w:rsidRPr="0051607E" w:rsidRDefault="00935740"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szCs w:val="20"/>
        </w:rPr>
        <w:t>all</w:t>
      </w:r>
      <w:proofErr w:type="gramEnd"/>
      <w:r w:rsidRPr="0051607E">
        <w:rPr>
          <w:rFonts w:ascii="Gill Sans MT" w:hAnsi="Gill Sans MT" w:cs="Arial"/>
          <w:szCs w:val="20"/>
        </w:rPr>
        <w:t xml:space="preserve"> risks are identified with time to develop and implement any necessary controls</w:t>
      </w:r>
      <w:r w:rsidR="00F56AF1">
        <w:rPr>
          <w:rFonts w:ascii="Gill Sans MT" w:hAnsi="Gill Sans MT" w:cs="Arial"/>
          <w:szCs w:val="20"/>
        </w:rPr>
        <w:t>.</w:t>
      </w:r>
      <w:r w:rsidRPr="0051607E">
        <w:rPr>
          <w:rFonts w:ascii="Gill Sans MT" w:hAnsi="Gill Sans MT" w:cs="Arial"/>
          <w:szCs w:val="20"/>
        </w:rPr>
        <w:t xml:space="preserve"> </w:t>
      </w:r>
    </w:p>
    <w:p w:rsidR="00935740" w:rsidRPr="0051607E" w:rsidRDefault="00935740"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szCs w:val="20"/>
        </w:rPr>
        <w:t>your</w:t>
      </w:r>
      <w:proofErr w:type="gramEnd"/>
      <w:r w:rsidRPr="0051607E">
        <w:rPr>
          <w:rFonts w:ascii="Gill Sans MT" w:hAnsi="Gill Sans MT" w:cs="Arial"/>
          <w:szCs w:val="20"/>
        </w:rPr>
        <w:t xml:space="preserve"> controls successfully prevent or mitigate risk</w:t>
      </w:r>
      <w:r w:rsidR="00F56AF1">
        <w:rPr>
          <w:rFonts w:ascii="Gill Sans MT" w:hAnsi="Gill Sans MT" w:cs="Arial"/>
          <w:szCs w:val="20"/>
        </w:rPr>
        <w:t>.</w:t>
      </w:r>
      <w:r w:rsidRPr="0051607E">
        <w:rPr>
          <w:rFonts w:ascii="Gill Sans MT" w:hAnsi="Gill Sans MT" w:cs="Arial"/>
          <w:szCs w:val="20"/>
        </w:rPr>
        <w:t xml:space="preserve"> </w:t>
      </w:r>
    </w:p>
    <w:p w:rsidR="00935740" w:rsidRPr="0051607E" w:rsidRDefault="00935740"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szCs w:val="20"/>
        </w:rPr>
        <w:t>your</w:t>
      </w:r>
      <w:proofErr w:type="gramEnd"/>
      <w:r w:rsidRPr="0051607E">
        <w:rPr>
          <w:rFonts w:ascii="Gill Sans MT" w:hAnsi="Gill Sans MT" w:cs="Arial"/>
          <w:szCs w:val="20"/>
        </w:rPr>
        <w:t xml:space="preserve"> register is kept up-to-date throughout the life of the project</w:t>
      </w:r>
      <w:r w:rsidR="00F56AF1">
        <w:rPr>
          <w:rFonts w:ascii="Gill Sans MT" w:hAnsi="Gill Sans MT" w:cs="Arial"/>
          <w:szCs w:val="20"/>
        </w:rPr>
        <w:t>.</w:t>
      </w:r>
      <w:r w:rsidRPr="0051607E">
        <w:rPr>
          <w:rFonts w:ascii="Gill Sans MT" w:hAnsi="Gill Sans MT" w:cs="Arial"/>
          <w:szCs w:val="20"/>
        </w:rPr>
        <w:t xml:space="preserve"> </w:t>
      </w:r>
    </w:p>
    <w:p w:rsidR="00935740" w:rsidRDefault="00935740" w:rsidP="00867FB3">
      <w:pPr>
        <w:pStyle w:val="ListParagraph"/>
        <w:numPr>
          <w:ilvl w:val="0"/>
          <w:numId w:val="13"/>
        </w:numPr>
        <w:spacing w:before="120" w:after="120" w:line="276" w:lineRule="auto"/>
        <w:ind w:right="-24"/>
        <w:contextualSpacing w:val="0"/>
        <w:rPr>
          <w:rFonts w:ascii="Gill Sans MT" w:hAnsi="Gill Sans MT" w:cs="Arial"/>
          <w:szCs w:val="20"/>
        </w:rPr>
      </w:pPr>
      <w:proofErr w:type="gramStart"/>
      <w:r w:rsidRPr="0051607E">
        <w:rPr>
          <w:rFonts w:ascii="Gill Sans MT" w:hAnsi="Gill Sans MT" w:cs="Arial"/>
          <w:szCs w:val="20"/>
        </w:rPr>
        <w:t>your</w:t>
      </w:r>
      <w:proofErr w:type="gramEnd"/>
      <w:r w:rsidRPr="0051607E">
        <w:rPr>
          <w:rFonts w:ascii="Gill Sans MT" w:hAnsi="Gill Sans MT" w:cs="Arial"/>
          <w:szCs w:val="20"/>
        </w:rPr>
        <w:t xml:space="preserve"> project team is aware of potential risks and their role in risk management.</w:t>
      </w:r>
      <w:bookmarkStart w:id="0" w:name="_GoBack"/>
      <w:bookmarkEnd w:id="0"/>
    </w:p>
    <w:sectPr w:rsidR="00935740" w:rsidSect="00C723D5">
      <w:headerReference w:type="default" r:id="rId11"/>
      <w:footerReference w:type="default" r:id="rId12"/>
      <w:pgSz w:w="11906" w:h="16838"/>
      <w:pgMar w:top="720" w:right="720" w:bottom="1287" w:left="1134" w:header="709" w:footer="53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B3F" w:rsidRDefault="00447B3F" w:rsidP="001E20B5">
      <w:r>
        <w:separator/>
      </w:r>
    </w:p>
  </w:endnote>
  <w:endnote w:type="continuationSeparator" w:id="0">
    <w:p w:rsidR="00447B3F" w:rsidRDefault="00447B3F" w:rsidP="001E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ill Sans Light">
    <w:altName w:val="GillSans Light"/>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Sans Light">
    <w:panose1 w:val="020B0402020204020204"/>
    <w:charset w:val="00"/>
    <w:family w:val="swiss"/>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GillSans">
    <w:panose1 w:val="020B0602020204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3D8" w:rsidRPr="005D13D8" w:rsidRDefault="008C73BE" w:rsidP="005D13D8">
    <w:pPr>
      <w:pStyle w:val="Footer"/>
      <w:rPr>
        <w:rFonts w:ascii="Gill Sans MT" w:hAnsi="Gill Sans MT"/>
        <w:sz w:val="20"/>
        <w:szCs w:val="20"/>
      </w:rPr>
    </w:pPr>
    <w:r w:rsidRPr="00EC6C4A">
      <w:rPr>
        <w:rFonts w:ascii="Gill Sans MT" w:hAnsi="Gill Sans MT"/>
        <w:noProof/>
        <w:sz w:val="20"/>
        <w:szCs w:val="20"/>
        <w:lang w:eastAsia="en-AU"/>
      </w:rPr>
      <w:drawing>
        <wp:anchor distT="0" distB="0" distL="114300" distR="114300" simplePos="0" relativeHeight="251659264" behindDoc="1" locked="0" layoutInCell="1" allowOverlap="1" wp14:anchorId="67092FE7" wp14:editId="667FA907">
          <wp:simplePos x="0" y="0"/>
          <wp:positionH relativeFrom="column">
            <wp:posOffset>-271780</wp:posOffset>
          </wp:positionH>
          <wp:positionV relativeFrom="paragraph">
            <wp:posOffset>-473520</wp:posOffset>
          </wp:positionV>
          <wp:extent cx="6947535" cy="661670"/>
          <wp:effectExtent l="0" t="0" r="5715" b="5080"/>
          <wp:wrapNone/>
          <wp:docPr id="1026" name="Picture 2" descr="Tasmanain Government logo with basewav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asmanain Government logo with basewave desig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7535" cy="66167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5D13D8">
      <w:rPr>
        <w:rFonts w:ascii="Gill Sans MT" w:hAnsi="Gill Sans MT"/>
        <w:sz w:val="20"/>
        <w:szCs w:val="20"/>
      </w:rPr>
      <w:t>State Service Management Office</w:t>
    </w:r>
  </w:p>
  <w:p w:rsidR="001E20B5" w:rsidRPr="008B07AE" w:rsidRDefault="005D13D8" w:rsidP="005D13D8">
    <w:pPr>
      <w:pStyle w:val="Footertext"/>
    </w:pPr>
    <w:r w:rsidRPr="005D13D8">
      <w:rPr>
        <w:rFonts w:ascii="Gill Sans MT" w:hAnsi="Gill Sans MT"/>
        <w:sz w:val="20"/>
        <w:szCs w:val="20"/>
      </w:rPr>
      <w:t>Department of Premier and Cabinet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AD5" w:rsidRDefault="006E7AD5" w:rsidP="006E7AD5">
    <w:pPr>
      <w:pStyle w:val="Footer"/>
      <w:tabs>
        <w:tab w:val="clear" w:pos="4513"/>
        <w:tab w:val="clear" w:pos="9026"/>
        <w:tab w:val="left" w:pos="2493"/>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4BD" w:rsidRPr="00C86FDC" w:rsidRDefault="00C86FDC" w:rsidP="00C86FDC">
    <w:pPr>
      <w:spacing w:before="120" w:after="120" w:line="276" w:lineRule="auto"/>
    </w:pPr>
    <w:r w:rsidRPr="009C16EC">
      <w:rPr>
        <w:rFonts w:ascii="Gill Sans MT" w:hAnsi="Gill Sans MT" w:cs="Arial"/>
        <w:b/>
        <w:color w:val="000000" w:themeColor="text1"/>
        <w:sz w:val="20"/>
        <w:szCs w:val="20"/>
      </w:rPr>
      <w:t>Adapted with permission from material attributed to:</w:t>
    </w:r>
    <w:r w:rsidRPr="009C16EC">
      <w:rPr>
        <w:rFonts w:ascii="Gill Sans MT" w:hAnsi="Gill Sans MT" w:cs="Arial"/>
        <w:color w:val="000000" w:themeColor="text1"/>
        <w:sz w:val="20"/>
      </w:rPr>
      <w:t xml:space="preserve">  </w:t>
    </w:r>
    <w:r w:rsidRPr="003B66C8">
      <w:rPr>
        <w:rFonts w:ascii="Gill Sans MT" w:hAnsi="Gill Sans MT" w:cs="Arial"/>
        <w:sz w:val="20"/>
      </w:rPr>
      <w:t>The Office for the Public Sector, the Government of South Australia, Change Management Resources 2014, Sourced on 3 February 2016, http://publicsector.sa.gov.au/culture/change-management-toolkit/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B3F" w:rsidRDefault="00447B3F" w:rsidP="001E20B5">
      <w:r>
        <w:separator/>
      </w:r>
    </w:p>
  </w:footnote>
  <w:footnote w:type="continuationSeparator" w:id="0">
    <w:p w:rsidR="00447B3F" w:rsidRDefault="00447B3F" w:rsidP="001E2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FD" w:rsidRDefault="008C0346" w:rsidP="008C0346">
    <w:pPr>
      <w:tabs>
        <w:tab w:val="left" w:pos="8505"/>
      </w:tabs>
      <w:spacing w:before="120" w:after="240" w:line="276" w:lineRule="auto"/>
      <w:ind w:left="142"/>
    </w:pPr>
    <w:r>
      <w:rPr>
        <w:rFonts w:ascii="Gill Sans MT" w:hAnsi="Gill Sans MT" w:cs="Arial"/>
        <w:color w:val="000000" w:themeColor="text1"/>
        <w:szCs w:val="20"/>
      </w:rPr>
      <w:t>2</w:t>
    </w:r>
    <w:r>
      <w:rPr>
        <w:rFonts w:ascii="Gill Sans MT" w:hAnsi="Gill Sans MT" w:cs="Arial"/>
        <w:color w:val="000000" w:themeColor="text1"/>
        <w:szCs w:val="20"/>
      </w:rPr>
      <w:tab/>
    </w:r>
    <w:r w:rsidR="00B94F34">
      <w:rPr>
        <w:rFonts w:ascii="Gill Sans MT" w:hAnsi="Gill Sans MT" w:cs="Arial"/>
        <w:color w:val="000000" w:themeColor="text1"/>
        <w:szCs w:val="20"/>
      </w:rPr>
      <w:t xml:space="preserve">Managing </w:t>
    </w:r>
    <w:r w:rsidR="00E72E6A">
      <w:rPr>
        <w:rFonts w:ascii="Gill Sans MT" w:hAnsi="Gill Sans MT" w:cs="Arial"/>
        <w:color w:val="000000" w:themeColor="text1"/>
        <w:szCs w:val="20"/>
      </w:rPr>
      <w:t>R</w:t>
    </w:r>
    <w:r w:rsidR="00B94F34">
      <w:rPr>
        <w:rFonts w:ascii="Gill Sans MT" w:hAnsi="Gill Sans MT" w:cs="Arial"/>
        <w:color w:val="000000" w:themeColor="text1"/>
        <w:szCs w:val="20"/>
      </w:rPr>
      <w:t>isks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B29"/>
    <w:multiLevelType w:val="hybridMultilevel"/>
    <w:tmpl w:val="3B629230"/>
    <w:lvl w:ilvl="0" w:tplc="C9A65D2E">
      <w:start w:val="1"/>
      <w:numFmt w:val="bullet"/>
      <w:lvlText w:val=""/>
      <w:lvlJc w:val="left"/>
      <w:pPr>
        <w:ind w:left="862" w:hanging="360"/>
      </w:pPr>
      <w:rPr>
        <w:rFonts w:ascii="Wingdings" w:hAnsi="Wingdings" w:hint="default"/>
        <w:color w:val="1F497D" w:themeColor="text2"/>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nsid w:val="0B8B13BA"/>
    <w:multiLevelType w:val="hybridMultilevel"/>
    <w:tmpl w:val="F2DA3FC8"/>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E5747F3"/>
    <w:multiLevelType w:val="hybridMultilevel"/>
    <w:tmpl w:val="FA8EC4F0"/>
    <w:lvl w:ilvl="0" w:tplc="C9A65D2E">
      <w:start w:val="1"/>
      <w:numFmt w:val="bullet"/>
      <w:lvlText w:val=""/>
      <w:lvlJc w:val="left"/>
      <w:pPr>
        <w:ind w:left="786" w:hanging="360"/>
      </w:pPr>
      <w:rPr>
        <w:rFonts w:ascii="Wingdings" w:hAnsi="Wingdings" w:hint="default"/>
        <w:color w:val="1F497D" w:themeColor="text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nsid w:val="1852288A"/>
    <w:multiLevelType w:val="hybridMultilevel"/>
    <w:tmpl w:val="CA92CDB6"/>
    <w:lvl w:ilvl="0" w:tplc="C9A65D2E">
      <w:start w:val="1"/>
      <w:numFmt w:val="bullet"/>
      <w:lvlText w:val=""/>
      <w:lvlJc w:val="left"/>
      <w:pPr>
        <w:ind w:left="360" w:hanging="360"/>
      </w:pPr>
      <w:rPr>
        <w:rFonts w:ascii="Wingdings" w:hAnsi="Wingdings" w:hint="default"/>
        <w:color w:val="1F497D" w:themeColor="text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96D1426"/>
    <w:multiLevelType w:val="hybridMultilevel"/>
    <w:tmpl w:val="284EA01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E5B50F2"/>
    <w:multiLevelType w:val="hybridMultilevel"/>
    <w:tmpl w:val="010EE5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84177A"/>
    <w:multiLevelType w:val="hybridMultilevel"/>
    <w:tmpl w:val="72D24C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C3D1F8E"/>
    <w:multiLevelType w:val="hybridMultilevel"/>
    <w:tmpl w:val="680E75A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3C622F6C"/>
    <w:multiLevelType w:val="hybridMultilevel"/>
    <w:tmpl w:val="022EEEF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3CB81C4E"/>
    <w:multiLevelType w:val="hybridMultilevel"/>
    <w:tmpl w:val="A1223A4E"/>
    <w:lvl w:ilvl="0" w:tplc="7EAE3D2E">
      <w:start w:val="1"/>
      <w:numFmt w:val="decimal"/>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nsid w:val="6ACF5F4C"/>
    <w:multiLevelType w:val="hybridMultilevel"/>
    <w:tmpl w:val="830E5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5"/>
  </w:num>
  <w:num w:numId="4">
    <w:abstractNumId w:val="7"/>
  </w:num>
  <w:num w:numId="5">
    <w:abstractNumId w:val="1"/>
  </w:num>
  <w:num w:numId="6">
    <w:abstractNumId w:val="3"/>
  </w:num>
  <w:num w:numId="7">
    <w:abstractNumId w:val="4"/>
  </w:num>
  <w:num w:numId="8">
    <w:abstractNumId w:val="11"/>
  </w:num>
  <w:num w:numId="9">
    <w:abstractNumId w:val="9"/>
  </w:num>
  <w:num w:numId="10">
    <w:abstractNumId w:val="0"/>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B5"/>
    <w:rsid w:val="00014A3B"/>
    <w:rsid w:val="00021C39"/>
    <w:rsid w:val="00036D48"/>
    <w:rsid w:val="000A1775"/>
    <w:rsid w:val="000B756F"/>
    <w:rsid w:val="000D275D"/>
    <w:rsid w:val="000D357A"/>
    <w:rsid w:val="0015038A"/>
    <w:rsid w:val="001E20B5"/>
    <w:rsid w:val="00205E68"/>
    <w:rsid w:val="002247ED"/>
    <w:rsid w:val="002559EF"/>
    <w:rsid w:val="0027037B"/>
    <w:rsid w:val="00281957"/>
    <w:rsid w:val="002B3937"/>
    <w:rsid w:val="002C3698"/>
    <w:rsid w:val="00317549"/>
    <w:rsid w:val="00324B30"/>
    <w:rsid w:val="003339C7"/>
    <w:rsid w:val="00333D63"/>
    <w:rsid w:val="003F4658"/>
    <w:rsid w:val="00410CD2"/>
    <w:rsid w:val="00430D69"/>
    <w:rsid w:val="00447B3F"/>
    <w:rsid w:val="00491ED4"/>
    <w:rsid w:val="0049608C"/>
    <w:rsid w:val="0051607E"/>
    <w:rsid w:val="00527764"/>
    <w:rsid w:val="00536C92"/>
    <w:rsid w:val="00540405"/>
    <w:rsid w:val="00561591"/>
    <w:rsid w:val="005C146D"/>
    <w:rsid w:val="005D13D8"/>
    <w:rsid w:val="0062162A"/>
    <w:rsid w:val="006240C5"/>
    <w:rsid w:val="00644B3A"/>
    <w:rsid w:val="00655156"/>
    <w:rsid w:val="00686724"/>
    <w:rsid w:val="00694CB1"/>
    <w:rsid w:val="006A030A"/>
    <w:rsid w:val="006C60B0"/>
    <w:rsid w:val="006E7AD5"/>
    <w:rsid w:val="0074481F"/>
    <w:rsid w:val="007722E8"/>
    <w:rsid w:val="007F2D33"/>
    <w:rsid w:val="0085135C"/>
    <w:rsid w:val="00867FB3"/>
    <w:rsid w:val="008A2E4E"/>
    <w:rsid w:val="008B07AE"/>
    <w:rsid w:val="008C0346"/>
    <w:rsid w:val="008C73BE"/>
    <w:rsid w:val="008E1BC1"/>
    <w:rsid w:val="00935740"/>
    <w:rsid w:val="009510C0"/>
    <w:rsid w:val="009B3C32"/>
    <w:rsid w:val="009B4DFD"/>
    <w:rsid w:val="009D1EC3"/>
    <w:rsid w:val="009E78CD"/>
    <w:rsid w:val="00A64471"/>
    <w:rsid w:val="00A73C92"/>
    <w:rsid w:val="00A80BB8"/>
    <w:rsid w:val="00AB5B71"/>
    <w:rsid w:val="00AD1118"/>
    <w:rsid w:val="00AE1088"/>
    <w:rsid w:val="00B051EE"/>
    <w:rsid w:val="00B32754"/>
    <w:rsid w:val="00B37D7B"/>
    <w:rsid w:val="00B65D0E"/>
    <w:rsid w:val="00B94F34"/>
    <w:rsid w:val="00B954BD"/>
    <w:rsid w:val="00BC68B3"/>
    <w:rsid w:val="00C05BC3"/>
    <w:rsid w:val="00C21FF2"/>
    <w:rsid w:val="00C320EB"/>
    <w:rsid w:val="00C44143"/>
    <w:rsid w:val="00C459C1"/>
    <w:rsid w:val="00C517F5"/>
    <w:rsid w:val="00C723D5"/>
    <w:rsid w:val="00C86FDC"/>
    <w:rsid w:val="00CC3181"/>
    <w:rsid w:val="00CC7B11"/>
    <w:rsid w:val="00CD2AFD"/>
    <w:rsid w:val="00CE7BFE"/>
    <w:rsid w:val="00CF1C1C"/>
    <w:rsid w:val="00D1237F"/>
    <w:rsid w:val="00D30A8E"/>
    <w:rsid w:val="00E51265"/>
    <w:rsid w:val="00E72E6A"/>
    <w:rsid w:val="00E97FF8"/>
    <w:rsid w:val="00EA0567"/>
    <w:rsid w:val="00EA5CBA"/>
    <w:rsid w:val="00F5203F"/>
    <w:rsid w:val="00F56AF1"/>
    <w:rsid w:val="00F73091"/>
    <w:rsid w:val="00F8066F"/>
    <w:rsid w:val="00F933EE"/>
    <w:rsid w:val="00FB2C57"/>
    <w:rsid w:val="00FB36A2"/>
    <w:rsid w:val="00FD27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7F2D33"/>
    <w:rPr>
      <w:rFonts w:ascii="Gill Sans MT" w:hAnsi="Gill Sans MT"/>
      <w:b/>
      <w:color w:val="1F497D" w:themeColor="text2"/>
      <w:sz w:val="36"/>
      <w:szCs w:val="36"/>
    </w:rPr>
  </w:style>
  <w:style w:type="paragraph" w:customStyle="1" w:styleId="Sub-heading-cover">
    <w:name w:val="Sub-heading - cover"/>
    <w:basedOn w:val="Heading2"/>
    <w:qFormat/>
    <w:rsid w:val="007F2D33"/>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7F2D33"/>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1E20B5"/>
    <w:pPr>
      <w:spacing w:line="276" w:lineRule="auto"/>
    </w:pPr>
    <w:rPr>
      <w:rFonts w:ascii="Gill Sans" w:hAnsi="Gill Sans"/>
      <w:caps/>
      <w:color w:val="5C7F92"/>
      <w:sz w:val="28"/>
      <w:szCs w:val="28"/>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semiHidden="0"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
    <w:qFormat/>
    <w:rsid w:val="001E20B5"/>
    <w:rPr>
      <w:sz w:val="24"/>
      <w:szCs w:val="24"/>
      <w:lang w:eastAsia="en-US"/>
    </w:rPr>
  </w:style>
  <w:style w:type="paragraph" w:styleId="Heading1">
    <w:name w:val="heading 1"/>
    <w:basedOn w:val="Heading2"/>
    <w:next w:val="Normal"/>
    <w:link w:val="Heading1Char"/>
    <w:uiPriority w:val="9"/>
    <w:qFormat/>
    <w:rsid w:val="001E20B5"/>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semiHidden/>
    <w:unhideWhenUsed/>
    <w:rsid w:val="005277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5277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E20B5"/>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E20B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0B5"/>
    <w:rPr>
      <w:rFonts w:ascii="Gill Sans Light" w:eastAsia="Times New Roman" w:hAnsi="Gill Sans Light" w:cs="Times New Roman"/>
      <w:bCs/>
      <w:iCs/>
      <w:color w:val="94A545"/>
      <w:sz w:val="72"/>
      <w:szCs w:val="28"/>
      <w:lang w:eastAsia="en-US"/>
    </w:rPr>
  </w:style>
  <w:style w:type="character" w:customStyle="1" w:styleId="Heading2Char">
    <w:name w:val="Heading 2 Char"/>
    <w:basedOn w:val="DefaultParagraphFont"/>
    <w:link w:val="Heading2"/>
    <w:uiPriority w:val="9"/>
    <w:semiHidden/>
    <w:rsid w:val="00527764"/>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527764"/>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rsid w:val="001E20B5"/>
    <w:rPr>
      <w:rFonts w:ascii="Gill Sans" w:eastAsia="Times New Roman" w:hAnsi="Gill Sans" w:cs="Times New Roman"/>
      <w:bCs/>
      <w:color w:val="94A545"/>
      <w:sz w:val="24"/>
      <w:szCs w:val="28"/>
      <w:lang w:eastAsia="en-US"/>
    </w:rPr>
  </w:style>
  <w:style w:type="character" w:customStyle="1" w:styleId="Heading5Char">
    <w:name w:val="Heading 5 Char"/>
    <w:basedOn w:val="DefaultParagraphFont"/>
    <w:link w:val="Heading5"/>
    <w:uiPriority w:val="9"/>
    <w:semiHidden/>
    <w:rsid w:val="00527764"/>
    <w:rPr>
      <w:rFonts w:ascii="Calibri" w:eastAsia="Times New Roman" w:hAnsi="Calibri" w:cs="Times New Roman"/>
      <w:b/>
      <w:bCs/>
      <w:i/>
      <w:iCs/>
      <w:sz w:val="26"/>
      <w:szCs w:val="26"/>
      <w:lang w:eastAsia="en-US"/>
    </w:rPr>
  </w:style>
  <w:style w:type="paragraph" w:styleId="TOC1">
    <w:name w:val="toc 1"/>
    <w:basedOn w:val="Normal"/>
    <w:next w:val="Normal"/>
    <w:autoRedefine/>
    <w:uiPriority w:val="39"/>
    <w:rsid w:val="00527764"/>
    <w:pPr>
      <w:spacing w:before="120"/>
    </w:pPr>
    <w:rPr>
      <w:rFonts w:ascii="Arial" w:hAnsi="Arial"/>
      <w:b/>
      <w:bCs/>
    </w:rPr>
  </w:style>
  <w:style w:type="paragraph" w:styleId="BodyText">
    <w:name w:val="Body Text"/>
    <w:basedOn w:val="Normal"/>
    <w:link w:val="BodyTextChar"/>
    <w:uiPriority w:val="99"/>
    <w:semiHidden/>
    <w:unhideWhenUsed/>
    <w:rsid w:val="00527764"/>
    <w:pPr>
      <w:spacing w:after="120"/>
    </w:pPr>
  </w:style>
  <w:style w:type="character" w:customStyle="1" w:styleId="BodyTextChar">
    <w:name w:val="Body Text Char"/>
    <w:basedOn w:val="DefaultParagraphFont"/>
    <w:link w:val="BodyText"/>
    <w:uiPriority w:val="99"/>
    <w:semiHidden/>
    <w:rsid w:val="00527764"/>
    <w:rPr>
      <w:rFonts w:ascii="GillSans Light" w:hAnsi="GillSans Light"/>
      <w:sz w:val="24"/>
      <w:szCs w:val="24"/>
      <w:lang w:eastAsia="en-US"/>
    </w:rPr>
  </w:style>
  <w:style w:type="paragraph" w:styleId="TOC2">
    <w:name w:val="toc 2"/>
    <w:basedOn w:val="Normal"/>
    <w:autoRedefine/>
    <w:uiPriority w:val="39"/>
    <w:rsid w:val="00527764"/>
    <w:pPr>
      <w:spacing w:before="120"/>
      <w:ind w:left="567"/>
    </w:pPr>
    <w:rPr>
      <w:rFonts w:ascii="Arial" w:hAnsi="Arial" w:cs="Arial"/>
      <w:iCs/>
    </w:rPr>
  </w:style>
  <w:style w:type="paragraph" w:styleId="TOC3">
    <w:name w:val="toc 3"/>
    <w:basedOn w:val="Normal"/>
    <w:next w:val="Normal"/>
    <w:autoRedefine/>
    <w:uiPriority w:val="39"/>
    <w:unhideWhenUsed/>
    <w:rsid w:val="00527764"/>
    <w:pPr>
      <w:ind w:left="480"/>
    </w:pPr>
  </w:style>
  <w:style w:type="paragraph" w:styleId="TOCHeading">
    <w:name w:val="TOC Heading"/>
    <w:basedOn w:val="Heading1"/>
    <w:next w:val="Normal"/>
    <w:uiPriority w:val="39"/>
    <w:semiHidden/>
    <w:unhideWhenUsed/>
    <w:qFormat/>
    <w:rsid w:val="00527764"/>
    <w:pPr>
      <w:spacing w:before="240" w:after="60" w:line="240" w:lineRule="auto"/>
      <w:outlineLvl w:val="9"/>
    </w:pPr>
    <w:rPr>
      <w:rFonts w:ascii="Cambria" w:hAnsi="Cambria"/>
      <w:b/>
      <w:iCs w:val="0"/>
      <w:color w:val="auto"/>
      <w:kern w:val="32"/>
      <w:sz w:val="32"/>
      <w:szCs w:val="32"/>
    </w:rPr>
  </w:style>
  <w:style w:type="paragraph" w:styleId="Header">
    <w:name w:val="header"/>
    <w:basedOn w:val="Normal"/>
    <w:link w:val="HeaderChar"/>
    <w:uiPriority w:val="99"/>
    <w:unhideWhenUsed/>
    <w:rsid w:val="001E20B5"/>
    <w:pPr>
      <w:tabs>
        <w:tab w:val="center" w:pos="4513"/>
        <w:tab w:val="right" w:pos="9026"/>
      </w:tabs>
    </w:pPr>
  </w:style>
  <w:style w:type="character" w:customStyle="1" w:styleId="HeaderChar">
    <w:name w:val="Header Char"/>
    <w:basedOn w:val="DefaultParagraphFont"/>
    <w:link w:val="Header"/>
    <w:uiPriority w:val="99"/>
    <w:rsid w:val="001E20B5"/>
    <w:rPr>
      <w:sz w:val="24"/>
      <w:szCs w:val="24"/>
      <w:lang w:eastAsia="en-US"/>
    </w:rPr>
  </w:style>
  <w:style w:type="paragraph" w:styleId="Footer">
    <w:name w:val="footer"/>
    <w:basedOn w:val="Normal"/>
    <w:link w:val="FooterChar"/>
    <w:uiPriority w:val="99"/>
    <w:unhideWhenUsed/>
    <w:rsid w:val="001E20B5"/>
    <w:pPr>
      <w:tabs>
        <w:tab w:val="center" w:pos="4513"/>
        <w:tab w:val="right" w:pos="9026"/>
      </w:tabs>
    </w:pPr>
  </w:style>
  <w:style w:type="character" w:customStyle="1" w:styleId="FooterChar">
    <w:name w:val="Footer Char"/>
    <w:basedOn w:val="DefaultParagraphFont"/>
    <w:link w:val="Footer"/>
    <w:uiPriority w:val="99"/>
    <w:rsid w:val="001E20B5"/>
    <w:rPr>
      <w:sz w:val="24"/>
      <w:szCs w:val="24"/>
      <w:lang w:eastAsia="en-US"/>
    </w:rPr>
  </w:style>
  <w:style w:type="paragraph" w:customStyle="1" w:styleId="Heading-cover">
    <w:name w:val="Heading - cover"/>
    <w:basedOn w:val="Heading1-TasGov"/>
    <w:qFormat/>
    <w:rsid w:val="007F2D33"/>
    <w:rPr>
      <w:rFonts w:ascii="Gill Sans MT" w:hAnsi="Gill Sans MT"/>
      <w:b/>
      <w:color w:val="1F497D" w:themeColor="text2"/>
      <w:sz w:val="36"/>
      <w:szCs w:val="36"/>
    </w:rPr>
  </w:style>
  <w:style w:type="paragraph" w:customStyle="1" w:styleId="Sub-heading-cover">
    <w:name w:val="Sub-heading - cover"/>
    <w:basedOn w:val="Heading2"/>
    <w:qFormat/>
    <w:rsid w:val="007F2D33"/>
    <w:pPr>
      <w:spacing w:before="0" w:after="0" w:line="276" w:lineRule="auto"/>
    </w:pPr>
    <w:rPr>
      <w:rFonts w:ascii="Gill Sans MT" w:hAnsi="Gill Sans MT"/>
      <w:b w:val="0"/>
      <w:i w:val="0"/>
      <w:color w:val="1F497D" w:themeColor="text2"/>
      <w:sz w:val="56"/>
      <w:szCs w:val="56"/>
    </w:rPr>
  </w:style>
  <w:style w:type="paragraph" w:customStyle="1" w:styleId="BodyText1">
    <w:name w:val="Body Text1"/>
    <w:basedOn w:val="Normal"/>
    <w:uiPriority w:val="1"/>
    <w:qFormat/>
    <w:rsid w:val="001E20B5"/>
    <w:pPr>
      <w:widowControl w:val="0"/>
      <w:tabs>
        <w:tab w:val="left" w:pos="4820"/>
      </w:tabs>
      <w:autoSpaceDE w:val="0"/>
      <w:autoSpaceDN w:val="0"/>
      <w:adjustRightInd w:val="0"/>
      <w:spacing w:after="120" w:line="288" w:lineRule="auto"/>
      <w:ind w:right="13"/>
      <w:textAlignment w:val="center"/>
    </w:pPr>
    <w:rPr>
      <w:rFonts w:ascii="GillSans Light" w:hAnsi="GillSans Light"/>
      <w:color w:val="000000"/>
      <w:sz w:val="28"/>
      <w:szCs w:val="28"/>
      <w:lang w:val="en-GB"/>
    </w:rPr>
  </w:style>
  <w:style w:type="paragraph" w:customStyle="1" w:styleId="Headersandfooters">
    <w:name w:val="Headers and footers"/>
    <w:basedOn w:val="Normal"/>
    <w:uiPriority w:val="2"/>
    <w:qFormat/>
    <w:rsid w:val="001E20B5"/>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Heading1"/>
    <w:uiPriority w:val="3"/>
    <w:qFormat/>
    <w:rsid w:val="007F2D33"/>
    <w:pPr>
      <w:tabs>
        <w:tab w:val="left" w:pos="6521"/>
      </w:tabs>
    </w:pPr>
    <w:rPr>
      <w:rFonts w:ascii="Gill Sans MT" w:hAnsi="Gill Sans MT"/>
      <w:b/>
      <w:color w:val="1F497D" w:themeColor="text2"/>
      <w:sz w:val="36"/>
      <w:szCs w:val="36"/>
    </w:rPr>
  </w:style>
  <w:style w:type="paragraph" w:customStyle="1" w:styleId="HeadingTwo">
    <w:name w:val="Heading Two"/>
    <w:basedOn w:val="Heading2"/>
    <w:uiPriority w:val="4"/>
    <w:qFormat/>
    <w:rsid w:val="001E20B5"/>
    <w:pPr>
      <w:spacing w:after="0" w:line="276" w:lineRule="auto"/>
    </w:pPr>
    <w:rPr>
      <w:rFonts w:ascii="Gill Sans" w:hAnsi="Gill Sans"/>
      <w:i w:val="0"/>
      <w:caps/>
      <w:color w:val="5C7F92"/>
      <w:sz w:val="32"/>
      <w:szCs w:val="32"/>
    </w:rPr>
  </w:style>
  <w:style w:type="paragraph" w:customStyle="1" w:styleId="Heading1-TasGov">
    <w:name w:val="Heading 1 - Tas Gov"/>
    <w:uiPriority w:val="99"/>
    <w:qFormat/>
    <w:rsid w:val="001E20B5"/>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Bullets">
    <w:name w:val="Bullets"/>
    <w:basedOn w:val="Normal"/>
    <w:uiPriority w:val="8"/>
    <w:qFormat/>
    <w:rsid w:val="001E20B5"/>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qFormat/>
    <w:rsid w:val="001E20B5"/>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Heading3"/>
    <w:uiPriority w:val="5"/>
    <w:qFormat/>
    <w:rsid w:val="001E20B5"/>
    <w:pPr>
      <w:spacing w:line="276" w:lineRule="auto"/>
    </w:pPr>
    <w:rPr>
      <w:rFonts w:ascii="Gill Sans" w:hAnsi="Gill Sans"/>
      <w:caps/>
      <w:color w:val="5C7F92"/>
      <w:sz w:val="28"/>
      <w:szCs w:val="28"/>
    </w:rPr>
  </w:style>
  <w:style w:type="paragraph" w:customStyle="1" w:styleId="HeadingFour">
    <w:name w:val="Heading Four"/>
    <w:basedOn w:val="Heading4"/>
    <w:uiPriority w:val="6"/>
    <w:qFormat/>
    <w:rsid w:val="001E20B5"/>
    <w:rPr>
      <w:b/>
      <w:sz w:val="28"/>
    </w:rPr>
  </w:style>
  <w:style w:type="paragraph" w:styleId="BalloonText">
    <w:name w:val="Balloon Text"/>
    <w:basedOn w:val="Normal"/>
    <w:link w:val="BalloonTextChar"/>
    <w:uiPriority w:val="99"/>
    <w:semiHidden/>
    <w:unhideWhenUsed/>
    <w:rsid w:val="00AB5B71"/>
    <w:rPr>
      <w:rFonts w:ascii="Tahoma" w:hAnsi="Tahoma" w:cs="Tahoma"/>
      <w:sz w:val="16"/>
      <w:szCs w:val="16"/>
    </w:rPr>
  </w:style>
  <w:style w:type="character" w:customStyle="1" w:styleId="BalloonTextChar">
    <w:name w:val="Balloon Text Char"/>
    <w:basedOn w:val="DefaultParagraphFont"/>
    <w:link w:val="BalloonText"/>
    <w:uiPriority w:val="99"/>
    <w:semiHidden/>
    <w:rsid w:val="00AB5B71"/>
    <w:rPr>
      <w:rFonts w:ascii="Tahoma" w:hAnsi="Tahoma" w:cs="Tahoma"/>
      <w:sz w:val="16"/>
      <w:szCs w:val="16"/>
      <w:lang w:eastAsia="en-US"/>
    </w:rPr>
  </w:style>
  <w:style w:type="table" w:styleId="TableGrid">
    <w:name w:val="Table Grid"/>
    <w:basedOn w:val="TableNormal"/>
    <w:uiPriority w:val="59"/>
    <w:rsid w:val="00E5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51265"/>
    <w:pPr>
      <w:ind w:left="720"/>
      <w:contextualSpacing/>
    </w:pPr>
  </w:style>
  <w:style w:type="character" w:styleId="Emphasis">
    <w:name w:val="Emphasis"/>
    <w:basedOn w:val="DefaultParagraphFont"/>
    <w:uiPriority w:val="20"/>
    <w:qFormat/>
    <w:rsid w:val="00CD2AFD"/>
    <w:rPr>
      <w:rFonts w:ascii="Gill Sans MT" w:hAnsi="Gill Sans MT"/>
      <w:i/>
      <w:iCs/>
    </w:rPr>
  </w:style>
  <w:style w:type="character" w:styleId="Hyperlink">
    <w:name w:val="Hyperlink"/>
    <w:basedOn w:val="DefaultParagraphFont"/>
    <w:uiPriority w:val="99"/>
    <w:rsid w:val="0085135C"/>
    <w:rPr>
      <w:rFonts w:ascii="Arial" w:hAnsi="Arial"/>
      <w:color w:val="C00000"/>
      <w:u w:val="single"/>
    </w:rPr>
  </w:style>
  <w:style w:type="table" w:customStyle="1" w:styleId="DTETable1">
    <w:name w:val="DTE Table1"/>
    <w:basedOn w:val="TableNormal"/>
    <w:uiPriority w:val="99"/>
    <w:rsid w:val="0085135C"/>
    <w:rPr>
      <w:rFonts w:ascii="Calibri" w:hAnsi="Calibri"/>
      <w:sz w:val="22"/>
      <w:szCs w:val="22"/>
    </w:rPr>
    <w:tblPr>
      <w:tblStyleRowBandSize w:val="1"/>
      <w:jc w:val="center"/>
      <w:tblBorders>
        <w:insideH w:val="single" w:sz="4" w:space="0" w:color="C0504D" w:themeColor="accent2"/>
        <w:insideV w:val="single" w:sz="4" w:space="0" w:color="C0504D" w:themeColor="accent2"/>
      </w:tblBorders>
    </w:tblPr>
    <w:trPr>
      <w:cantSplit/>
      <w:jc w:val="center"/>
    </w:trPr>
    <w:tcPr>
      <w:shd w:val="clear" w:color="auto" w:fill="auto"/>
      <w:tcMar>
        <w:top w:w="57" w:type="dxa"/>
        <w:left w:w="57" w:type="dxa"/>
        <w:bottom w:w="57" w:type="dxa"/>
        <w:right w:w="57" w:type="dxa"/>
      </w:tcMar>
      <w:vAlign w:val="center"/>
    </w:tcPr>
    <w:tblStylePr w:type="firstRow">
      <w:pPr>
        <w:keepNext/>
        <w:wordWrap/>
      </w:pPr>
      <w:rPr>
        <w:b w:val="0"/>
        <w:color w:val="FFFFFF"/>
      </w:rPr>
      <w:tblPr/>
      <w:tcPr>
        <w:shd w:val="clear" w:color="auto" w:fill="C0504D" w:themeFill="accent2"/>
      </w:tcPr>
    </w:tblStylePr>
    <w:tblStylePr w:type="lastRow">
      <w:tblPr/>
      <w:tcPr>
        <w:tcBorders>
          <w:top w:val="double" w:sz="4" w:space="0" w:color="C0504D" w:themeColor="accent2"/>
        </w:tcBorders>
        <w:shd w:val="clear" w:color="auto" w:fill="auto"/>
      </w:tcPr>
    </w:tblStylePr>
    <w:tblStylePr w:type="firstCol">
      <w:rPr>
        <w:b w:val="0"/>
        <w:color w:val="FFFFFF"/>
      </w:rPr>
      <w:tblPr/>
      <w:tcPr>
        <w:shd w:val="clear" w:color="auto" w:fill="C0504D" w:themeFill="accent2"/>
      </w:tcPr>
    </w:tblStylePr>
    <w:tblStylePr w:type="lastCol">
      <w:tblPr/>
      <w:tcPr>
        <w:tcBorders>
          <w:left w:val="double" w:sz="4" w:space="0" w:color="C0504D" w:themeColor="accent2"/>
        </w:tcBorders>
        <w:shd w:val="clear" w:color="auto" w:fill="auto"/>
      </w:tcPr>
    </w:tblStylePr>
    <w:tblStylePr w:type="swCell">
      <w:tblPr/>
      <w:tcPr>
        <w:shd w:val="clear" w:color="auto" w:fill="C0504D" w:themeFill="accent2"/>
      </w:tcPr>
    </w:tblStylePr>
  </w:style>
  <w:style w:type="paragraph" w:customStyle="1" w:styleId="Footertext">
    <w:name w:val="Footer text"/>
    <w:basedOn w:val="Footer"/>
    <w:link w:val="FootertextChar"/>
    <w:autoRedefine/>
    <w:qFormat/>
    <w:rsid w:val="005D13D8"/>
    <w:pPr>
      <w:tabs>
        <w:tab w:val="clear" w:pos="4513"/>
        <w:tab w:val="clear" w:pos="9026"/>
        <w:tab w:val="center" w:pos="4320"/>
        <w:tab w:val="right" w:pos="8640"/>
      </w:tabs>
    </w:pPr>
    <w:rPr>
      <w:rFonts w:ascii="Gill Sans Light" w:eastAsia="Calibri" w:hAnsi="Gill Sans Light"/>
      <w:szCs w:val="22"/>
    </w:rPr>
  </w:style>
  <w:style w:type="character" w:customStyle="1" w:styleId="FootertextChar">
    <w:name w:val="Footer text Char"/>
    <w:basedOn w:val="FooterChar"/>
    <w:link w:val="Footertext"/>
    <w:rsid w:val="005D13D8"/>
    <w:rPr>
      <w:rFonts w:ascii="Gill Sans Light" w:eastAsia="Calibri" w:hAnsi="Gill Sans Light"/>
      <w:sz w:val="24"/>
      <w:szCs w:val="22"/>
      <w:lang w:eastAsia="en-US"/>
    </w:rPr>
  </w:style>
  <w:style w:type="paragraph" w:styleId="NormalWeb">
    <w:name w:val="Normal (Web)"/>
    <w:basedOn w:val="Normal"/>
    <w:uiPriority w:val="99"/>
    <w:unhideWhenUsed/>
    <w:rsid w:val="00FB36A2"/>
    <w:pPr>
      <w:spacing w:before="100" w:beforeAutospacing="1" w:after="100" w:afterAutospacing="1"/>
    </w:pPr>
    <w:rPr>
      <w:lang w:eastAsia="en-AU"/>
    </w:rPr>
  </w:style>
  <w:style w:type="table" w:styleId="LightList-Accent1">
    <w:name w:val="Light List Accent 1"/>
    <w:basedOn w:val="TableNormal"/>
    <w:uiPriority w:val="61"/>
    <w:rsid w:val="00FB36A2"/>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1772">
      <w:bodyDiv w:val="1"/>
      <w:marLeft w:val="0"/>
      <w:marRight w:val="0"/>
      <w:marTop w:val="0"/>
      <w:marBottom w:val="0"/>
      <w:divBdr>
        <w:top w:val="none" w:sz="0" w:space="0" w:color="auto"/>
        <w:left w:val="none" w:sz="0" w:space="0" w:color="auto"/>
        <w:bottom w:val="none" w:sz="0" w:space="0" w:color="auto"/>
        <w:right w:val="none" w:sz="0" w:space="0" w:color="auto"/>
      </w:divBdr>
    </w:div>
    <w:div w:id="1914700587">
      <w:bodyDiv w:val="1"/>
      <w:marLeft w:val="0"/>
      <w:marRight w:val="0"/>
      <w:marTop w:val="0"/>
      <w:marBottom w:val="0"/>
      <w:divBdr>
        <w:top w:val="none" w:sz="0" w:space="0" w:color="auto"/>
        <w:left w:val="none" w:sz="0" w:space="0" w:color="auto"/>
        <w:bottom w:val="none" w:sz="0" w:space="0" w:color="auto"/>
        <w:right w:val="none" w:sz="0" w:space="0" w:color="auto"/>
      </w:divBdr>
      <w:divsChild>
        <w:div w:id="2062367187">
          <w:marLeft w:val="0"/>
          <w:marRight w:val="0"/>
          <w:marTop w:val="0"/>
          <w:marBottom w:val="0"/>
          <w:divBdr>
            <w:top w:val="none" w:sz="0" w:space="0" w:color="auto"/>
            <w:left w:val="none" w:sz="0" w:space="0" w:color="auto"/>
            <w:bottom w:val="none" w:sz="0" w:space="0" w:color="auto"/>
            <w:right w:val="none" w:sz="0" w:space="0" w:color="auto"/>
          </w:divBdr>
          <w:divsChild>
            <w:div w:id="940063851">
              <w:marLeft w:val="0"/>
              <w:marRight w:val="0"/>
              <w:marTop w:val="225"/>
              <w:marBottom w:val="0"/>
              <w:divBdr>
                <w:top w:val="single" w:sz="6" w:space="8" w:color="ECECEC"/>
                <w:left w:val="single" w:sz="6" w:space="15" w:color="ECECEC"/>
                <w:bottom w:val="single" w:sz="6" w:space="0" w:color="ECECEC"/>
                <w:right w:val="single" w:sz="6" w:space="4" w:color="ECECEC"/>
              </w:divBdr>
              <w:divsChild>
                <w:div w:id="9306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2EBBC-F766-46DF-A1E3-200E5ED55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Factsheet: Managing Risks </vt:lpstr>
    </vt:vector>
  </TitlesOfParts>
  <Company>Department of Premier and Cabinet</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Managing Risks</dc:title>
  <dc:creator>amy.breen</dc:creator>
  <cp:lastModifiedBy>Molhuysen, Jodi</cp:lastModifiedBy>
  <cp:revision>26</cp:revision>
  <cp:lastPrinted>2016-03-22T23:18:00Z</cp:lastPrinted>
  <dcterms:created xsi:type="dcterms:W3CDTF">2016-02-16T02:44:00Z</dcterms:created>
  <dcterms:modified xsi:type="dcterms:W3CDTF">2016-03-22T23:19:00Z</dcterms:modified>
</cp:coreProperties>
</file>