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873B1" w14:textId="516B1C8F" w:rsidR="009F705B" w:rsidRPr="003813E5" w:rsidRDefault="00971D85" w:rsidP="009F705B">
      <w:pPr>
        <w:pStyle w:val="Title"/>
      </w:pPr>
      <w:bookmarkStart w:id="0" w:name="_Toc160358825"/>
      <w:r>
        <w:t xml:space="preserve">Review of the </w:t>
      </w:r>
      <w:r w:rsidR="00EC53C9" w:rsidRPr="0F151F29">
        <w:rPr>
          <w:i/>
          <w:iCs/>
        </w:rPr>
        <w:t>Anzac</w:t>
      </w:r>
      <w:r w:rsidRPr="0F151F29">
        <w:rPr>
          <w:i/>
          <w:iCs/>
        </w:rPr>
        <w:t xml:space="preserve"> Day Observance Act 1929</w:t>
      </w:r>
      <w:r>
        <w:t xml:space="preserve"> Discussion Paper</w:t>
      </w:r>
    </w:p>
    <w:p w14:paraId="5AAB397F" w14:textId="37FB5C93" w:rsidR="009F705B" w:rsidRPr="00481AB8" w:rsidRDefault="00971D85" w:rsidP="00481AB8">
      <w:pPr>
        <w:pStyle w:val="Subtitle"/>
      </w:pPr>
      <w:r w:rsidRPr="00481AB8">
        <w:t xml:space="preserve">Fact Sheet </w:t>
      </w:r>
      <w:r w:rsidR="00654D4B" w:rsidRPr="00481AB8">
        <w:t>2</w:t>
      </w:r>
      <w:r w:rsidRPr="00481AB8">
        <w:t xml:space="preserve">: Trading on </w:t>
      </w:r>
      <w:r w:rsidR="00EC53C9" w:rsidRPr="00481AB8">
        <w:t>Anzac</w:t>
      </w:r>
      <w:r w:rsidRPr="00481AB8">
        <w:t xml:space="preserve"> Day</w:t>
      </w:r>
    </w:p>
    <w:bookmarkEnd w:id="0"/>
    <w:p w14:paraId="6CCDE121" w14:textId="66510536" w:rsidR="009F705B" w:rsidRDefault="007639D5" w:rsidP="00481AB8">
      <w:pPr>
        <w:pStyle w:val="Heading1"/>
      </w:pPr>
      <w:r>
        <w:t xml:space="preserve">Current Tasmanian </w:t>
      </w:r>
      <w:r w:rsidR="00481AB8">
        <w:t>p</w:t>
      </w:r>
      <w:r>
        <w:t>osition</w:t>
      </w:r>
    </w:p>
    <w:p w14:paraId="4DD8E032" w14:textId="15122DB9" w:rsidR="007639D5" w:rsidRDefault="00E37190" w:rsidP="00481AB8">
      <w:r w:rsidRPr="00E37190">
        <w:t xml:space="preserve">The </w:t>
      </w:r>
      <w:r w:rsidRPr="00E37190">
        <w:rPr>
          <w:i/>
          <w:iCs/>
        </w:rPr>
        <w:t>Anzac Day Observance Act 1929</w:t>
      </w:r>
      <w:r w:rsidRPr="00E37190">
        <w:t xml:space="preserve"> (the Act) effectively creates two trading periods on Anzac Day. Before 12:30 pm, shop trading is generally prohibited unless an exemption applies. After 12:30 pm, normal statutory holiday trading arrangements under the </w:t>
      </w:r>
      <w:r w:rsidRPr="00E37190">
        <w:rPr>
          <w:i/>
          <w:iCs/>
        </w:rPr>
        <w:t>Shop Trading Hours Act 1984</w:t>
      </w:r>
      <w:r w:rsidRPr="00E37190">
        <w:t xml:space="preserve"> apply.</w:t>
      </w:r>
    </w:p>
    <w:p w14:paraId="37B2378F" w14:textId="4E881D0A" w:rsidR="00E92DFF" w:rsidRDefault="008848B2" w:rsidP="00481AB8">
      <w:r w:rsidRPr="008848B2">
        <w:t>Some shops are automatically exempt from the restriction. A shop that is not automatically exempt may apply for an exemption under the Act.</w:t>
      </w:r>
      <w:r>
        <w:t xml:space="preserve"> </w:t>
      </w:r>
      <w:r w:rsidR="00290B06" w:rsidRPr="00290B06">
        <w:t>A list of businesses eligible for an automatic exemption is set out in section 5A of the Act</w:t>
      </w:r>
      <w:r w:rsidR="00E92DFF">
        <w:t>.</w:t>
      </w:r>
      <w:r w:rsidR="00E92DFF" w:rsidRPr="00E92DFF">
        <w:rPr>
          <w:color w:val="auto"/>
        </w:rPr>
        <w:t xml:space="preserve"> </w:t>
      </w:r>
      <w:r w:rsidR="00E92DFF" w:rsidRPr="4DBCA79D">
        <w:rPr>
          <w:color w:val="auto"/>
        </w:rPr>
        <w:t>Businesses eligible to open include:</w:t>
      </w:r>
    </w:p>
    <w:p w14:paraId="4B0A27BD" w14:textId="187F74EC" w:rsidR="00E92DFF" w:rsidRPr="00481AB8" w:rsidRDefault="00481AB8" w:rsidP="00481AB8">
      <w:pPr>
        <w:pStyle w:val="BulletL1"/>
      </w:pPr>
      <w:r>
        <w:t>p</w:t>
      </w:r>
      <w:r w:rsidR="00E92DFF" w:rsidRPr="00481AB8">
        <w:t>harmacies</w:t>
      </w:r>
    </w:p>
    <w:p w14:paraId="5FA35FBD" w14:textId="058415FF" w:rsidR="00E92DFF" w:rsidRPr="00481AB8" w:rsidRDefault="00481AB8" w:rsidP="00481AB8">
      <w:pPr>
        <w:pStyle w:val="BulletL1"/>
      </w:pPr>
      <w:r>
        <w:t>ne</w:t>
      </w:r>
      <w:r w:rsidRPr="00481AB8">
        <w:t>wsagents</w:t>
      </w:r>
    </w:p>
    <w:p w14:paraId="199CCCF3" w14:textId="0EB566E2" w:rsidR="00E92DFF" w:rsidRPr="00481AB8" w:rsidRDefault="00481AB8" w:rsidP="00481AB8">
      <w:pPr>
        <w:pStyle w:val="BulletL1"/>
      </w:pPr>
      <w:r w:rsidRPr="00481AB8">
        <w:t>cafes, restaurants, takeaway food vendors</w:t>
      </w:r>
    </w:p>
    <w:p w14:paraId="2F6F4059" w14:textId="779F3ED0" w:rsidR="00E92DFF" w:rsidRPr="00481AB8" w:rsidRDefault="00481AB8" w:rsidP="00481AB8">
      <w:pPr>
        <w:pStyle w:val="BulletL1"/>
      </w:pPr>
      <w:r w:rsidRPr="00481AB8">
        <w:t>bottle shops</w:t>
      </w:r>
    </w:p>
    <w:p w14:paraId="5A046767" w14:textId="4748BF3E" w:rsidR="00E92DFF" w:rsidRPr="00481AB8" w:rsidRDefault="00481AB8" w:rsidP="00481AB8">
      <w:pPr>
        <w:pStyle w:val="BulletL1"/>
      </w:pPr>
      <w:r w:rsidRPr="00481AB8">
        <w:t>shops used principally for auction purposes where auctions are conducted by a real estate agent or general auctioneer</w:t>
      </w:r>
    </w:p>
    <w:p w14:paraId="75FFC8C9" w14:textId="6B061C4A" w:rsidR="00E92DFF" w:rsidRPr="00481AB8" w:rsidRDefault="00481AB8" w:rsidP="00481AB8">
      <w:pPr>
        <w:pStyle w:val="BulletL1"/>
      </w:pPr>
      <w:r w:rsidRPr="00481AB8">
        <w:t>petrol stations</w:t>
      </w:r>
    </w:p>
    <w:p w14:paraId="70C6B636" w14:textId="722BB1E9" w:rsidR="00E92DFF" w:rsidRPr="00481AB8" w:rsidRDefault="00481AB8" w:rsidP="00481AB8">
      <w:pPr>
        <w:pStyle w:val="BulletL1"/>
      </w:pPr>
      <w:r w:rsidRPr="00481AB8">
        <w:t>car yards, or shops that sell replacement parts required for essential repairs to motor v</w:t>
      </w:r>
      <w:r w:rsidR="00290B06" w:rsidRPr="00481AB8">
        <w:t>ehicles</w:t>
      </w:r>
    </w:p>
    <w:p w14:paraId="124924BD" w14:textId="0A8C1158" w:rsidR="00E92DFF" w:rsidRPr="00481AB8" w:rsidRDefault="00481AB8" w:rsidP="00481AB8">
      <w:pPr>
        <w:pStyle w:val="BulletL1"/>
      </w:pPr>
      <w:r>
        <w:t>s</w:t>
      </w:r>
      <w:r w:rsidR="00290B06" w:rsidRPr="00481AB8">
        <w:t>hops not part of a shopping centre, plaza or mall where no more than 10 people were engaged in the business on any day during the immediately preceding March</w:t>
      </w:r>
      <w:r w:rsidR="00E92DFF" w:rsidRPr="00481AB8">
        <w:t>.</w:t>
      </w:r>
    </w:p>
    <w:p w14:paraId="4146EDA1" w14:textId="28D7ECF2" w:rsidR="00E92DFF" w:rsidRDefault="008848B2" w:rsidP="00481AB8">
      <w:r w:rsidRPr="008848B2">
        <w:t>Under section 5A</w:t>
      </w:r>
      <w:r w:rsidR="00290B06">
        <w:t xml:space="preserve"> </w:t>
      </w:r>
      <w:r w:rsidRPr="008848B2">
        <w:t xml:space="preserve">(5) of the Act, in deciding whether to make an exemption notice, the </w:t>
      </w:r>
      <w:r w:rsidR="00481AB8">
        <w:t>m</w:t>
      </w:r>
      <w:r w:rsidRPr="008848B2">
        <w:t>inister may consider any relevant matters, including:</w:t>
      </w:r>
    </w:p>
    <w:p w14:paraId="591721B6" w14:textId="262CC31A" w:rsidR="00E92DFF" w:rsidRDefault="00481AB8" w:rsidP="00481AB8">
      <w:pPr>
        <w:pStyle w:val="BulletL1"/>
      </w:pPr>
      <w:r>
        <w:t>T</w:t>
      </w:r>
      <w:r w:rsidR="00E92DFF" w:rsidRPr="4DBCA79D">
        <w:t>he needs of the relevant community including, but not limited to, organisations that support veterans, and their families, such as the RSL</w:t>
      </w:r>
      <w:r>
        <w:t>.</w:t>
      </w:r>
    </w:p>
    <w:p w14:paraId="6775365B" w14:textId="6B6227D9" w:rsidR="00E92DFF" w:rsidRDefault="00481AB8" w:rsidP="00481AB8">
      <w:pPr>
        <w:pStyle w:val="BulletL1"/>
      </w:pPr>
      <w:r>
        <w:t>T</w:t>
      </w:r>
      <w:r w:rsidR="00E92DFF" w:rsidRPr="4DBCA79D">
        <w:t>he effect on the relevant community if the shop, or class or group of shops, is not kept open</w:t>
      </w:r>
      <w:r>
        <w:t>.</w:t>
      </w:r>
    </w:p>
    <w:p w14:paraId="16B328D6" w14:textId="184FCBEB" w:rsidR="00E92DFF" w:rsidRDefault="00481AB8" w:rsidP="00481AB8">
      <w:pPr>
        <w:pStyle w:val="BulletL1"/>
      </w:pPr>
      <w:r>
        <w:t>T</w:t>
      </w:r>
      <w:r w:rsidR="00E92DFF" w:rsidRPr="4DBCA79D">
        <w:t xml:space="preserve">he policy that a notice under this section should not undermine, to any significant degree, the controls on shop trading hours set out in the </w:t>
      </w:r>
      <w:hyperlink r:id="rId10">
        <w:r w:rsidR="00E92DFF" w:rsidRPr="00654D4B">
          <w:rPr>
            <w:rStyle w:val="Hyperlink"/>
            <w:i/>
            <w:iCs/>
          </w:rPr>
          <w:t>Shop Trading Hours Act 1984</w:t>
        </w:r>
      </w:hyperlink>
      <w:r w:rsidR="00E92DFF" w:rsidRPr="4DBCA79D">
        <w:t>.</w:t>
      </w:r>
    </w:p>
    <w:p w14:paraId="3BF2ABFE" w14:textId="175AF237" w:rsidR="00911B06" w:rsidRDefault="00911B06" w:rsidP="00481AB8">
      <w:r w:rsidRPr="00911B06">
        <w:t>Before taking effect, an exemption notice must be published in the Gazette, in at least one daily newspaper circulating generally in each relevant municipal area, and on a publicly accessible website.</w:t>
      </w:r>
    </w:p>
    <w:p w14:paraId="31429C3C" w14:textId="127420EC" w:rsidR="009F705B" w:rsidRPr="003C79F5" w:rsidRDefault="001838B0" w:rsidP="00481AB8">
      <w:pPr>
        <w:pStyle w:val="Heading1"/>
      </w:pPr>
      <w:r>
        <w:lastRenderedPageBreak/>
        <w:t xml:space="preserve">Approach of </w:t>
      </w:r>
      <w:r w:rsidR="00CD5A11">
        <w:t>o</w:t>
      </w:r>
      <w:r>
        <w:t xml:space="preserve">ther </w:t>
      </w:r>
      <w:r w:rsidR="00911B06">
        <w:t>j</w:t>
      </w:r>
      <w:r>
        <w:t>urisdictions</w:t>
      </w:r>
    </w:p>
    <w:p w14:paraId="63707D57" w14:textId="7331593B" w:rsidR="009F705B" w:rsidRDefault="00911B06" w:rsidP="009F705B">
      <w:r w:rsidRPr="00911B06">
        <w:t>Other jurisdictions take different approaches to shop trading on Anzac Day. Some restrict trading for part of the day, some restrict it for the entire day subject to exemptions, and others have no specific Anzac Day shop trading restrictions. The table below summarises the approach in each state and territory</w:t>
      </w:r>
      <w:r w:rsidR="001838B0">
        <w:t>.</w:t>
      </w:r>
    </w:p>
    <w:p w14:paraId="6A6472E3" w14:textId="192029A3" w:rsidR="002907E9" w:rsidRPr="002907E9" w:rsidRDefault="002907E9" w:rsidP="002907E9">
      <w:pPr>
        <w:rPr>
          <w:b/>
          <w:bCs/>
        </w:rPr>
      </w:pPr>
      <w:r w:rsidRPr="002907E9">
        <w:rPr>
          <w:b/>
          <w:bCs/>
        </w:rPr>
        <w:t xml:space="preserve">Table 1: Jurisdictional Anzac Day </w:t>
      </w:r>
      <w:r>
        <w:rPr>
          <w:b/>
          <w:bCs/>
        </w:rPr>
        <w:t>trading</w:t>
      </w:r>
    </w:p>
    <w:tbl>
      <w:tblPr>
        <w:tblStyle w:val="ListTable3-Accent11"/>
        <w:tblW w:w="8926" w:type="dxa"/>
        <w:tblLayout w:type="fixed"/>
        <w:tblLook w:val="04A0" w:firstRow="1" w:lastRow="0" w:firstColumn="1" w:lastColumn="0" w:noHBand="0" w:noVBand="1"/>
      </w:tblPr>
      <w:tblGrid>
        <w:gridCol w:w="1600"/>
        <w:gridCol w:w="2200"/>
        <w:gridCol w:w="5126"/>
      </w:tblGrid>
      <w:tr w:rsidR="001838B0" w:rsidRPr="00481AB8" w14:paraId="7BCC4860" w14:textId="77777777" w:rsidTr="00654D4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1600" w:type="dxa"/>
          </w:tcPr>
          <w:p w14:paraId="1097DC69" w14:textId="77777777" w:rsidR="001838B0" w:rsidRPr="00481AB8" w:rsidRDefault="001838B0" w:rsidP="00654D4B">
            <w:pPr>
              <w:spacing w:before="120" w:line="240" w:lineRule="auto"/>
              <w:rPr>
                <w:rFonts w:ascii="Arial" w:eastAsia="Arial" w:hAnsi="Arial" w:cs="Times New Roman"/>
                <w:color w:val="auto"/>
                <w:szCs w:val="24"/>
              </w:rPr>
            </w:pPr>
            <w:r w:rsidRPr="00481AB8">
              <w:rPr>
                <w:rFonts w:ascii="Arial" w:eastAsia="Arial" w:hAnsi="Arial" w:cs="Times New Roman"/>
                <w:color w:val="auto"/>
                <w:szCs w:val="24"/>
              </w:rPr>
              <w:t>Jurisdiction</w:t>
            </w:r>
          </w:p>
        </w:tc>
        <w:tc>
          <w:tcPr>
            <w:tcW w:w="2200" w:type="dxa"/>
          </w:tcPr>
          <w:p w14:paraId="2CEF6E5B" w14:textId="77777777" w:rsidR="001838B0" w:rsidRPr="00481AB8" w:rsidRDefault="001838B0" w:rsidP="00654D4B">
            <w:pPr>
              <w:spacing w:before="120" w:line="240" w:lineRule="auto"/>
              <w:cnfStyle w:val="100000000000" w:firstRow="1" w:lastRow="0" w:firstColumn="0" w:lastColumn="0" w:oddVBand="0" w:evenVBand="0" w:oddHBand="0" w:evenHBand="0" w:firstRowFirstColumn="0" w:firstRowLastColumn="0" w:lastRowFirstColumn="0" w:lastRowLastColumn="0"/>
              <w:rPr>
                <w:rFonts w:ascii="Arial" w:eastAsia="Arial" w:hAnsi="Arial" w:cs="Times New Roman"/>
                <w:color w:val="auto"/>
                <w:szCs w:val="24"/>
              </w:rPr>
            </w:pPr>
            <w:r w:rsidRPr="00481AB8">
              <w:rPr>
                <w:rFonts w:ascii="Arial" w:eastAsia="Arial" w:hAnsi="Arial" w:cs="Times New Roman"/>
                <w:color w:val="auto"/>
                <w:szCs w:val="24"/>
              </w:rPr>
              <w:t>Legislation</w:t>
            </w:r>
          </w:p>
        </w:tc>
        <w:tc>
          <w:tcPr>
            <w:tcW w:w="5126" w:type="dxa"/>
          </w:tcPr>
          <w:p w14:paraId="78695419" w14:textId="77777777" w:rsidR="001838B0" w:rsidRPr="00481AB8" w:rsidRDefault="001838B0" w:rsidP="00654D4B">
            <w:pPr>
              <w:spacing w:before="120" w:line="240" w:lineRule="auto"/>
              <w:cnfStyle w:val="100000000000" w:firstRow="1" w:lastRow="0" w:firstColumn="0" w:lastColumn="0" w:oddVBand="0" w:evenVBand="0" w:oddHBand="0" w:evenHBand="0" w:firstRowFirstColumn="0" w:firstRowLastColumn="0" w:lastRowFirstColumn="0" w:lastRowLastColumn="0"/>
              <w:rPr>
                <w:rFonts w:ascii="Arial" w:eastAsia="Arial" w:hAnsi="Arial" w:cs="Times New Roman"/>
                <w:color w:val="auto"/>
                <w:szCs w:val="24"/>
              </w:rPr>
            </w:pPr>
            <w:r w:rsidRPr="00481AB8">
              <w:rPr>
                <w:rFonts w:ascii="Arial" w:eastAsia="Arial" w:hAnsi="Arial" w:cs="Times New Roman"/>
                <w:color w:val="auto"/>
                <w:szCs w:val="24"/>
              </w:rPr>
              <w:t>Summary</w:t>
            </w:r>
          </w:p>
        </w:tc>
      </w:tr>
      <w:tr w:rsidR="001838B0" w:rsidRPr="00481AB8" w14:paraId="5AE80F27" w14:textId="77777777" w:rsidTr="00454E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0" w:type="dxa"/>
          </w:tcPr>
          <w:p w14:paraId="67019078" w14:textId="77777777" w:rsidR="001838B0" w:rsidRPr="00481AB8" w:rsidRDefault="001838B0" w:rsidP="00654D4B">
            <w:pPr>
              <w:spacing w:before="120" w:line="240" w:lineRule="auto"/>
              <w:rPr>
                <w:rFonts w:ascii="Arial" w:eastAsia="Arial" w:hAnsi="Arial" w:cs="Times New Roman"/>
                <w:b w:val="0"/>
                <w:bCs w:val="0"/>
                <w:color w:val="1A1A1A"/>
                <w:szCs w:val="24"/>
              </w:rPr>
            </w:pPr>
            <w:r w:rsidRPr="00481AB8">
              <w:rPr>
                <w:rFonts w:ascii="Arial" w:eastAsia="Arial" w:hAnsi="Arial" w:cs="Times New Roman"/>
                <w:color w:val="1A1A1A"/>
                <w:szCs w:val="24"/>
              </w:rPr>
              <w:t>New South Wales</w:t>
            </w:r>
          </w:p>
        </w:tc>
        <w:tc>
          <w:tcPr>
            <w:tcW w:w="2200" w:type="dxa"/>
          </w:tcPr>
          <w:p w14:paraId="421046B3" w14:textId="77777777" w:rsidR="001838B0" w:rsidRPr="00481AB8" w:rsidRDefault="001838B0" w:rsidP="00654D4B">
            <w:pPr>
              <w:spacing w:before="12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Times New Roman"/>
                <w:i/>
                <w:iCs/>
                <w:color w:val="1A1A1A"/>
                <w:szCs w:val="24"/>
              </w:rPr>
            </w:pPr>
            <w:r w:rsidRPr="00481AB8">
              <w:rPr>
                <w:rFonts w:ascii="Arial" w:eastAsia="Arial" w:hAnsi="Arial" w:cs="Times New Roman"/>
                <w:i/>
                <w:iCs/>
                <w:color w:val="1A1A1A"/>
                <w:szCs w:val="24"/>
              </w:rPr>
              <w:t>Retail Trading Act 2008, as amended by the Retail Trading Amendment (Anzac Day Trading Hours) Act 2024</w:t>
            </w:r>
          </w:p>
        </w:tc>
        <w:tc>
          <w:tcPr>
            <w:tcW w:w="5126" w:type="dxa"/>
          </w:tcPr>
          <w:p w14:paraId="05752B94" w14:textId="2DCBE740" w:rsidR="001838B0" w:rsidRPr="00481AB8" w:rsidRDefault="001838B0" w:rsidP="00654D4B">
            <w:pPr>
              <w:spacing w:before="12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Times New Roman"/>
                <w:color w:val="1A1A1A"/>
                <w:szCs w:val="24"/>
              </w:rPr>
            </w:pPr>
            <w:r w:rsidRPr="00481AB8">
              <w:rPr>
                <w:rFonts w:ascii="Arial" w:eastAsia="Arial" w:hAnsi="Arial" w:cs="Times New Roman"/>
                <w:color w:val="1A1A1A"/>
                <w:szCs w:val="24"/>
              </w:rPr>
              <w:t xml:space="preserve">Non-exempt retail shops must </w:t>
            </w:r>
            <w:proofErr w:type="gramStart"/>
            <w:r w:rsidRPr="00481AB8">
              <w:rPr>
                <w:rFonts w:ascii="Arial" w:eastAsia="Arial" w:hAnsi="Arial" w:cs="Times New Roman"/>
                <w:color w:val="1A1A1A"/>
                <w:szCs w:val="24"/>
              </w:rPr>
              <w:t>remain closed at all times</w:t>
            </w:r>
            <w:proofErr w:type="gramEnd"/>
            <w:r w:rsidRPr="00481AB8">
              <w:rPr>
                <w:rFonts w:ascii="Arial" w:eastAsia="Arial" w:hAnsi="Arial" w:cs="Times New Roman"/>
                <w:color w:val="1A1A1A"/>
                <w:szCs w:val="24"/>
              </w:rPr>
              <w:t xml:space="preserve"> on Anzac Day (previously permitted to trade from 1:00 pm).</w:t>
            </w:r>
          </w:p>
          <w:p w14:paraId="7B158B7A" w14:textId="1B7BD43E" w:rsidR="001838B0" w:rsidRPr="00481AB8" w:rsidRDefault="001838B0" w:rsidP="00654D4B">
            <w:pPr>
              <w:spacing w:before="12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Times New Roman"/>
                <w:color w:val="1A1A1A"/>
                <w:szCs w:val="24"/>
              </w:rPr>
            </w:pPr>
            <w:r w:rsidRPr="00481AB8">
              <w:rPr>
                <w:rFonts w:ascii="Arial" w:eastAsia="Arial" w:hAnsi="Arial" w:cs="Times New Roman"/>
                <w:color w:val="1A1A1A"/>
                <w:szCs w:val="24"/>
              </w:rPr>
              <w:t>Exempt shops listed in Schedule 1 of the Act — including small shops (4 or fewer staff, up to 2 owners), chemists, newsagencies, petrol stations, caf</w:t>
            </w:r>
            <w:r w:rsidR="00481AB8" w:rsidRPr="00481AB8">
              <w:rPr>
                <w:rFonts w:ascii="Arial" w:eastAsia="Arial" w:hAnsi="Arial" w:cs="Times New Roman"/>
                <w:color w:val="1A1A1A"/>
                <w:szCs w:val="24"/>
              </w:rPr>
              <w:t>e</w:t>
            </w:r>
            <w:r w:rsidRPr="00481AB8">
              <w:rPr>
                <w:rFonts w:ascii="Arial" w:eastAsia="Arial" w:hAnsi="Arial" w:cs="Times New Roman"/>
                <w:color w:val="1A1A1A"/>
                <w:szCs w:val="24"/>
              </w:rPr>
              <w:t>s and licensed venues — may continue to trade.</w:t>
            </w:r>
          </w:p>
          <w:p w14:paraId="0494C8CD" w14:textId="77777777" w:rsidR="001838B0" w:rsidRPr="00481AB8" w:rsidRDefault="001838B0" w:rsidP="00654D4B">
            <w:pPr>
              <w:spacing w:before="12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Times New Roman"/>
                <w:color w:val="1A1A1A"/>
                <w:szCs w:val="24"/>
              </w:rPr>
            </w:pPr>
            <w:r w:rsidRPr="00481AB8">
              <w:rPr>
                <w:rFonts w:ascii="Arial" w:eastAsia="Arial" w:hAnsi="Arial" w:cs="Times New Roman"/>
                <w:color w:val="1A1A1A"/>
                <w:szCs w:val="24"/>
              </w:rPr>
              <w:t>Approval cannot be granted for a bank to open on Anzac Day.</w:t>
            </w:r>
          </w:p>
        </w:tc>
      </w:tr>
      <w:tr w:rsidR="001838B0" w:rsidRPr="00481AB8" w14:paraId="7BFCFC26" w14:textId="77777777" w:rsidTr="00454E8B">
        <w:tc>
          <w:tcPr>
            <w:cnfStyle w:val="001000000000" w:firstRow="0" w:lastRow="0" w:firstColumn="1" w:lastColumn="0" w:oddVBand="0" w:evenVBand="0" w:oddHBand="0" w:evenHBand="0" w:firstRowFirstColumn="0" w:firstRowLastColumn="0" w:lastRowFirstColumn="0" w:lastRowLastColumn="0"/>
            <w:tcW w:w="1600" w:type="dxa"/>
          </w:tcPr>
          <w:p w14:paraId="139A2B3B" w14:textId="77777777" w:rsidR="001838B0" w:rsidRPr="00481AB8" w:rsidRDefault="001838B0" w:rsidP="00654D4B">
            <w:pPr>
              <w:spacing w:before="120" w:line="240" w:lineRule="auto"/>
              <w:rPr>
                <w:rFonts w:ascii="Arial" w:eastAsia="Arial" w:hAnsi="Arial" w:cs="Times New Roman"/>
                <w:b w:val="0"/>
                <w:bCs w:val="0"/>
                <w:color w:val="1A1A1A"/>
                <w:szCs w:val="24"/>
              </w:rPr>
            </w:pPr>
            <w:r w:rsidRPr="00481AB8">
              <w:rPr>
                <w:rFonts w:ascii="Arial" w:eastAsia="Arial" w:hAnsi="Arial" w:cs="Times New Roman"/>
                <w:color w:val="1A1A1A"/>
                <w:szCs w:val="24"/>
              </w:rPr>
              <w:t>Victoria</w:t>
            </w:r>
          </w:p>
        </w:tc>
        <w:tc>
          <w:tcPr>
            <w:tcW w:w="2200" w:type="dxa"/>
          </w:tcPr>
          <w:p w14:paraId="1C7924AB" w14:textId="77777777" w:rsidR="001838B0" w:rsidRPr="00481AB8" w:rsidRDefault="001838B0" w:rsidP="00654D4B">
            <w:pPr>
              <w:spacing w:before="12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Times New Roman"/>
                <w:i/>
                <w:iCs/>
                <w:color w:val="1A1A1A"/>
                <w:szCs w:val="24"/>
              </w:rPr>
            </w:pPr>
            <w:r w:rsidRPr="00481AB8">
              <w:rPr>
                <w:rFonts w:ascii="Arial" w:eastAsia="Arial" w:hAnsi="Arial" w:cs="Times New Roman"/>
                <w:i/>
                <w:iCs/>
                <w:color w:val="1A1A1A"/>
                <w:szCs w:val="24"/>
              </w:rPr>
              <w:t>Shop Trading Reform Act 1996; Anzac Day Act 1958</w:t>
            </w:r>
          </w:p>
        </w:tc>
        <w:tc>
          <w:tcPr>
            <w:tcW w:w="5126" w:type="dxa"/>
          </w:tcPr>
          <w:p w14:paraId="6E806A5E" w14:textId="17DE6CE2" w:rsidR="001838B0" w:rsidRPr="00481AB8" w:rsidRDefault="001838B0" w:rsidP="00654D4B">
            <w:pPr>
              <w:spacing w:before="12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Times New Roman"/>
                <w:color w:val="1A1A1A"/>
                <w:szCs w:val="24"/>
              </w:rPr>
            </w:pPr>
            <w:r w:rsidRPr="00481AB8">
              <w:rPr>
                <w:rFonts w:ascii="Arial" w:eastAsia="Arial" w:hAnsi="Arial" w:cs="Times New Roman"/>
                <w:color w:val="1A1A1A"/>
                <w:szCs w:val="24"/>
              </w:rPr>
              <w:t>Shops must remain closed between 12:01 am and 1:00 pm on Anzac Day, unless exempt.</w:t>
            </w:r>
          </w:p>
          <w:p w14:paraId="4F7D8578" w14:textId="77777777" w:rsidR="001838B0" w:rsidRPr="00481AB8" w:rsidRDefault="001838B0" w:rsidP="00654D4B">
            <w:pPr>
              <w:spacing w:before="12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Times New Roman"/>
                <w:color w:val="1A1A1A"/>
                <w:szCs w:val="24"/>
              </w:rPr>
            </w:pPr>
            <w:r w:rsidRPr="00481AB8">
              <w:rPr>
                <w:rFonts w:ascii="Arial" w:eastAsia="Arial" w:hAnsi="Arial" w:cs="Times New Roman"/>
                <w:color w:val="1A1A1A"/>
                <w:szCs w:val="24"/>
              </w:rPr>
              <w:t>Exempt shops include chemists, petrol stations, restaurants, cafés and takeaway outlets.</w:t>
            </w:r>
          </w:p>
          <w:p w14:paraId="1D762709" w14:textId="77777777" w:rsidR="001838B0" w:rsidRPr="00481AB8" w:rsidRDefault="001838B0" w:rsidP="00654D4B">
            <w:pPr>
              <w:spacing w:before="12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Times New Roman"/>
                <w:color w:val="1A1A1A"/>
                <w:szCs w:val="24"/>
              </w:rPr>
            </w:pPr>
            <w:r w:rsidRPr="00481AB8">
              <w:rPr>
                <w:rFonts w:ascii="Arial" w:eastAsia="Arial" w:hAnsi="Arial" w:cs="Times New Roman"/>
                <w:color w:val="1A1A1A"/>
                <w:szCs w:val="24"/>
              </w:rPr>
              <w:t>Shops with 20 or fewer employees at any time (and no more than 100 employees across related entities in the preceding 7 days) may also open.</w:t>
            </w:r>
          </w:p>
          <w:p w14:paraId="58C440F6" w14:textId="77777777" w:rsidR="001838B0" w:rsidRPr="00481AB8" w:rsidRDefault="001838B0" w:rsidP="00654D4B">
            <w:pPr>
              <w:spacing w:before="12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Times New Roman"/>
                <w:color w:val="1A1A1A"/>
                <w:szCs w:val="24"/>
              </w:rPr>
            </w:pPr>
            <w:r w:rsidRPr="00481AB8">
              <w:rPr>
                <w:rFonts w:ascii="Arial" w:eastAsia="Arial" w:hAnsi="Arial" w:cs="Times New Roman"/>
                <w:color w:val="1A1A1A"/>
                <w:szCs w:val="24"/>
              </w:rPr>
              <w:t>Factories, warehouses and premises where a manufacturing process is carried on must remain closed throughout Anzac Day, subject to prescribed criteria.</w:t>
            </w:r>
          </w:p>
        </w:tc>
      </w:tr>
      <w:tr w:rsidR="001838B0" w:rsidRPr="00481AB8" w14:paraId="75CACE91" w14:textId="77777777" w:rsidTr="00454E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0" w:type="dxa"/>
          </w:tcPr>
          <w:p w14:paraId="33623564" w14:textId="77777777" w:rsidR="001838B0" w:rsidRPr="00481AB8" w:rsidRDefault="001838B0" w:rsidP="00654D4B">
            <w:pPr>
              <w:spacing w:before="120" w:line="240" w:lineRule="auto"/>
              <w:rPr>
                <w:rFonts w:ascii="Arial" w:eastAsia="Arial" w:hAnsi="Arial" w:cs="Times New Roman"/>
                <w:b w:val="0"/>
                <w:bCs w:val="0"/>
                <w:color w:val="1A1A1A"/>
                <w:szCs w:val="24"/>
              </w:rPr>
            </w:pPr>
            <w:r w:rsidRPr="00481AB8">
              <w:rPr>
                <w:rFonts w:ascii="Arial" w:eastAsia="Arial" w:hAnsi="Arial" w:cs="Times New Roman"/>
                <w:color w:val="1A1A1A"/>
                <w:szCs w:val="24"/>
              </w:rPr>
              <w:t>Queensland</w:t>
            </w:r>
          </w:p>
        </w:tc>
        <w:tc>
          <w:tcPr>
            <w:tcW w:w="2200" w:type="dxa"/>
          </w:tcPr>
          <w:p w14:paraId="59A71345" w14:textId="77777777" w:rsidR="001838B0" w:rsidRPr="00481AB8" w:rsidRDefault="001838B0" w:rsidP="00654D4B">
            <w:pPr>
              <w:spacing w:before="12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Times New Roman"/>
                <w:i/>
                <w:iCs/>
                <w:color w:val="1A1A1A"/>
                <w:szCs w:val="24"/>
              </w:rPr>
            </w:pPr>
            <w:r w:rsidRPr="00481AB8">
              <w:rPr>
                <w:rFonts w:ascii="Arial" w:eastAsia="Arial" w:hAnsi="Arial" w:cs="Times New Roman"/>
                <w:i/>
                <w:iCs/>
                <w:color w:val="1A1A1A"/>
                <w:szCs w:val="24"/>
              </w:rPr>
              <w:t>Trading (Allowable Hours) Act 1990; Anzac Day Act 1995</w:t>
            </w:r>
          </w:p>
        </w:tc>
        <w:tc>
          <w:tcPr>
            <w:tcW w:w="5126" w:type="dxa"/>
          </w:tcPr>
          <w:p w14:paraId="799B2504" w14:textId="77777777" w:rsidR="001838B0" w:rsidRPr="00481AB8" w:rsidRDefault="001838B0" w:rsidP="00654D4B">
            <w:pPr>
              <w:spacing w:before="12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Times New Roman"/>
                <w:color w:val="1A1A1A"/>
                <w:szCs w:val="24"/>
              </w:rPr>
            </w:pPr>
            <w:r w:rsidRPr="00481AB8">
              <w:rPr>
                <w:rFonts w:ascii="Arial" w:eastAsia="Arial" w:hAnsi="Arial" w:cs="Times New Roman"/>
                <w:color w:val="1A1A1A"/>
                <w:szCs w:val="24"/>
              </w:rPr>
              <w:t>Anzac Day is a “closed day”; factories and shops (including offices) must close, subject to exceptions.</w:t>
            </w:r>
          </w:p>
          <w:p w14:paraId="4FE7FA52" w14:textId="77777777" w:rsidR="001838B0" w:rsidRPr="00481AB8" w:rsidRDefault="001838B0" w:rsidP="00654D4B">
            <w:pPr>
              <w:spacing w:before="12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Times New Roman"/>
                <w:color w:val="1A1A1A"/>
                <w:szCs w:val="24"/>
              </w:rPr>
            </w:pPr>
            <w:r w:rsidRPr="00481AB8">
              <w:rPr>
                <w:rFonts w:ascii="Arial" w:eastAsia="Arial" w:hAnsi="Arial" w:cs="Times New Roman"/>
                <w:color w:val="1A1A1A"/>
                <w:szCs w:val="24"/>
              </w:rPr>
              <w:t>Exceptions include premises licensed under the Liquor Act 1992, real estate offices (rental transactions only), and food preparation businesses such as bakeries, restaurants and takeaway kitchens.</w:t>
            </w:r>
          </w:p>
          <w:p w14:paraId="117AFCF9" w14:textId="77777777" w:rsidR="001838B0" w:rsidRPr="00481AB8" w:rsidRDefault="001838B0" w:rsidP="00654D4B">
            <w:pPr>
              <w:spacing w:before="12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Times New Roman"/>
                <w:color w:val="1A1A1A"/>
                <w:szCs w:val="24"/>
              </w:rPr>
            </w:pPr>
            <w:r w:rsidRPr="00481AB8">
              <w:rPr>
                <w:rFonts w:ascii="Arial" w:eastAsia="Arial" w:hAnsi="Arial" w:cs="Times New Roman"/>
                <w:color w:val="1A1A1A"/>
                <w:szCs w:val="24"/>
              </w:rPr>
              <w:t>Exempt shops (chemists, newsagencies, service stations and similar) may trade without restriction.</w:t>
            </w:r>
          </w:p>
          <w:p w14:paraId="3647A67D" w14:textId="7005E97D" w:rsidR="001838B0" w:rsidRPr="00481AB8" w:rsidRDefault="001838B0" w:rsidP="00654D4B">
            <w:pPr>
              <w:spacing w:before="12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Times New Roman"/>
                <w:color w:val="1A1A1A"/>
                <w:szCs w:val="24"/>
              </w:rPr>
            </w:pPr>
            <w:r w:rsidRPr="00481AB8">
              <w:rPr>
                <w:rFonts w:ascii="Arial" w:eastAsia="Arial" w:hAnsi="Arial" w:cs="Times New Roman"/>
                <w:color w:val="1A1A1A"/>
                <w:szCs w:val="24"/>
              </w:rPr>
              <w:t>Independent retail shops must remain closed until 1:00 pm unless predominantly a food or grocery store.</w:t>
            </w:r>
          </w:p>
        </w:tc>
      </w:tr>
      <w:tr w:rsidR="001838B0" w:rsidRPr="00481AB8" w14:paraId="108D36B4" w14:textId="77777777" w:rsidTr="00454E8B">
        <w:tc>
          <w:tcPr>
            <w:cnfStyle w:val="001000000000" w:firstRow="0" w:lastRow="0" w:firstColumn="1" w:lastColumn="0" w:oddVBand="0" w:evenVBand="0" w:oddHBand="0" w:evenHBand="0" w:firstRowFirstColumn="0" w:firstRowLastColumn="0" w:lastRowFirstColumn="0" w:lastRowLastColumn="0"/>
            <w:tcW w:w="1600" w:type="dxa"/>
          </w:tcPr>
          <w:p w14:paraId="0063839F" w14:textId="01EA0685" w:rsidR="00911B06" w:rsidRPr="002907E9" w:rsidRDefault="001838B0" w:rsidP="002907E9">
            <w:pPr>
              <w:spacing w:before="120" w:line="240" w:lineRule="auto"/>
              <w:rPr>
                <w:rFonts w:ascii="Arial" w:eastAsia="Arial" w:hAnsi="Arial" w:cs="Times New Roman"/>
                <w:b w:val="0"/>
                <w:bCs w:val="0"/>
                <w:color w:val="1A1A1A"/>
                <w:szCs w:val="24"/>
              </w:rPr>
            </w:pPr>
            <w:r w:rsidRPr="00481AB8">
              <w:rPr>
                <w:rFonts w:ascii="Arial" w:eastAsia="Arial" w:hAnsi="Arial" w:cs="Times New Roman"/>
                <w:color w:val="1A1A1A"/>
                <w:szCs w:val="24"/>
              </w:rPr>
              <w:lastRenderedPageBreak/>
              <w:t>South Australia</w:t>
            </w:r>
          </w:p>
        </w:tc>
        <w:tc>
          <w:tcPr>
            <w:tcW w:w="2200" w:type="dxa"/>
          </w:tcPr>
          <w:p w14:paraId="04BD1074" w14:textId="77777777" w:rsidR="001838B0" w:rsidRPr="00481AB8" w:rsidRDefault="001838B0" w:rsidP="00654D4B">
            <w:pPr>
              <w:spacing w:before="12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Times New Roman"/>
                <w:i/>
                <w:iCs/>
                <w:color w:val="1A1A1A"/>
                <w:szCs w:val="24"/>
              </w:rPr>
            </w:pPr>
            <w:r w:rsidRPr="00481AB8">
              <w:rPr>
                <w:rFonts w:ascii="Arial" w:eastAsia="Arial" w:hAnsi="Arial" w:cs="Times New Roman"/>
                <w:i/>
                <w:iCs/>
                <w:color w:val="1A1A1A"/>
                <w:szCs w:val="24"/>
              </w:rPr>
              <w:t>Shop Trading Hours Act 1977; Shop Trading Hours Regulations 2018</w:t>
            </w:r>
          </w:p>
        </w:tc>
        <w:tc>
          <w:tcPr>
            <w:tcW w:w="5126" w:type="dxa"/>
          </w:tcPr>
          <w:p w14:paraId="642CF3A1" w14:textId="28B71379" w:rsidR="001838B0" w:rsidRPr="00481AB8" w:rsidRDefault="001838B0" w:rsidP="00654D4B">
            <w:pPr>
              <w:spacing w:before="12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Times New Roman"/>
                <w:color w:val="1A1A1A"/>
                <w:szCs w:val="24"/>
              </w:rPr>
            </w:pPr>
            <w:r w:rsidRPr="00481AB8">
              <w:rPr>
                <w:rFonts w:ascii="Arial" w:eastAsia="Arial" w:hAnsi="Arial" w:cs="Times New Roman"/>
                <w:color w:val="1A1A1A"/>
                <w:szCs w:val="24"/>
              </w:rPr>
              <w:t>Non-exempt shops in the Adelaide CBD and designated tourist precincts (such as Glenelg) may trade between 12:00 pm and 5:00 pm.</w:t>
            </w:r>
          </w:p>
          <w:p w14:paraId="2B8B4643" w14:textId="77777777" w:rsidR="001838B0" w:rsidRPr="00481AB8" w:rsidRDefault="001838B0" w:rsidP="00654D4B">
            <w:pPr>
              <w:spacing w:before="12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Times New Roman"/>
                <w:color w:val="1A1A1A"/>
                <w:szCs w:val="24"/>
              </w:rPr>
            </w:pPr>
            <w:r w:rsidRPr="00481AB8">
              <w:rPr>
                <w:rFonts w:ascii="Arial" w:eastAsia="Arial" w:hAnsi="Arial" w:cs="Times New Roman"/>
                <w:color w:val="1A1A1A"/>
                <w:szCs w:val="24"/>
              </w:rPr>
              <w:t>Non-exempt shops in the Metropolitan Shopping District and proclaimed shopping districts must remain closed.</w:t>
            </w:r>
          </w:p>
          <w:p w14:paraId="191332B6" w14:textId="77777777" w:rsidR="001838B0" w:rsidRPr="00481AB8" w:rsidRDefault="001838B0" w:rsidP="00654D4B">
            <w:pPr>
              <w:spacing w:before="12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Times New Roman"/>
                <w:color w:val="1A1A1A"/>
                <w:szCs w:val="24"/>
              </w:rPr>
            </w:pPr>
            <w:r w:rsidRPr="00481AB8">
              <w:rPr>
                <w:rFonts w:ascii="Arial" w:eastAsia="Arial" w:hAnsi="Arial" w:cs="Times New Roman"/>
                <w:color w:val="1A1A1A"/>
                <w:szCs w:val="24"/>
              </w:rPr>
              <w:t>Exempt shops, including pharmacies and petrol stations, may trade without restriction on any day of the year.</w:t>
            </w:r>
          </w:p>
        </w:tc>
      </w:tr>
      <w:tr w:rsidR="001838B0" w:rsidRPr="00481AB8" w14:paraId="2C1D4044" w14:textId="77777777" w:rsidTr="00454E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0" w:type="dxa"/>
          </w:tcPr>
          <w:p w14:paraId="14784EEA" w14:textId="77777777" w:rsidR="001838B0" w:rsidRPr="00481AB8" w:rsidRDefault="001838B0" w:rsidP="00654D4B">
            <w:pPr>
              <w:spacing w:before="120" w:line="240" w:lineRule="auto"/>
              <w:rPr>
                <w:rFonts w:ascii="Arial" w:eastAsia="Arial" w:hAnsi="Arial" w:cs="Times New Roman"/>
                <w:b w:val="0"/>
                <w:bCs w:val="0"/>
                <w:color w:val="1A1A1A"/>
                <w:szCs w:val="24"/>
              </w:rPr>
            </w:pPr>
            <w:r w:rsidRPr="00481AB8">
              <w:rPr>
                <w:rFonts w:ascii="Arial" w:eastAsia="Arial" w:hAnsi="Arial" w:cs="Times New Roman"/>
                <w:color w:val="1A1A1A"/>
                <w:szCs w:val="24"/>
              </w:rPr>
              <w:t>Western Australia</w:t>
            </w:r>
          </w:p>
        </w:tc>
        <w:tc>
          <w:tcPr>
            <w:tcW w:w="2200" w:type="dxa"/>
          </w:tcPr>
          <w:p w14:paraId="66783156" w14:textId="77777777" w:rsidR="001838B0" w:rsidRPr="00481AB8" w:rsidRDefault="001838B0" w:rsidP="00654D4B">
            <w:pPr>
              <w:spacing w:before="12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Times New Roman"/>
                <w:i/>
                <w:iCs/>
                <w:color w:val="1A1A1A"/>
                <w:szCs w:val="24"/>
              </w:rPr>
            </w:pPr>
            <w:r w:rsidRPr="00481AB8">
              <w:rPr>
                <w:rFonts w:ascii="Arial" w:eastAsia="Arial" w:hAnsi="Arial" w:cs="Times New Roman"/>
                <w:i/>
                <w:iCs/>
                <w:color w:val="1A1A1A"/>
                <w:szCs w:val="24"/>
              </w:rPr>
              <w:t>Retail Trading Hours Act 1987</w:t>
            </w:r>
          </w:p>
        </w:tc>
        <w:tc>
          <w:tcPr>
            <w:tcW w:w="5126" w:type="dxa"/>
          </w:tcPr>
          <w:p w14:paraId="2C099147" w14:textId="77777777" w:rsidR="001838B0" w:rsidRPr="00481AB8" w:rsidRDefault="001838B0" w:rsidP="00654D4B">
            <w:pPr>
              <w:spacing w:before="12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Times New Roman"/>
                <w:color w:val="1A1A1A"/>
                <w:szCs w:val="24"/>
              </w:rPr>
            </w:pPr>
            <w:r w:rsidRPr="00481AB8">
              <w:rPr>
                <w:rFonts w:ascii="Arial" w:eastAsia="Arial" w:hAnsi="Arial" w:cs="Times New Roman"/>
                <w:color w:val="1A1A1A"/>
                <w:szCs w:val="24"/>
              </w:rPr>
              <w:t>General retail shops in the metropolitan area must remain closed; an order cannot authorise them to open on Anzac Day.</w:t>
            </w:r>
          </w:p>
          <w:p w14:paraId="06170CE4" w14:textId="77777777" w:rsidR="001838B0" w:rsidRPr="00481AB8" w:rsidRDefault="001838B0" w:rsidP="00654D4B">
            <w:pPr>
              <w:spacing w:before="12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Times New Roman"/>
                <w:color w:val="1A1A1A"/>
                <w:szCs w:val="24"/>
              </w:rPr>
            </w:pPr>
            <w:r w:rsidRPr="00481AB8">
              <w:rPr>
                <w:rFonts w:ascii="Arial" w:eastAsia="Arial" w:hAnsi="Arial" w:cs="Times New Roman"/>
                <w:color w:val="1A1A1A"/>
                <w:szCs w:val="24"/>
              </w:rPr>
              <w:t>Small retail shops may trade 24 hours a day, every day of the year.</w:t>
            </w:r>
          </w:p>
          <w:p w14:paraId="3D562DDE" w14:textId="4111C71D" w:rsidR="001838B0" w:rsidRPr="00481AB8" w:rsidRDefault="001838B0" w:rsidP="00654D4B">
            <w:pPr>
              <w:spacing w:before="12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Times New Roman"/>
                <w:color w:val="1A1A1A"/>
                <w:szCs w:val="24"/>
              </w:rPr>
            </w:pPr>
            <w:r w:rsidRPr="00481AB8">
              <w:rPr>
                <w:rFonts w:ascii="Arial" w:eastAsia="Arial" w:hAnsi="Arial" w:cs="Times New Roman"/>
                <w:color w:val="1A1A1A"/>
                <w:szCs w:val="24"/>
              </w:rPr>
              <w:t>Special retail shops (necessary for emergency, convenience or recreation goods) may trade between 6:00 am and 11:30 pm.</w:t>
            </w:r>
          </w:p>
          <w:p w14:paraId="2E2A697A" w14:textId="2F054DC5" w:rsidR="001838B0" w:rsidRPr="00481AB8" w:rsidRDefault="001838B0" w:rsidP="00654D4B">
            <w:pPr>
              <w:spacing w:before="12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Times New Roman"/>
                <w:color w:val="1A1A1A"/>
                <w:szCs w:val="24"/>
              </w:rPr>
            </w:pPr>
            <w:r w:rsidRPr="00481AB8">
              <w:rPr>
                <w:rFonts w:ascii="Arial" w:eastAsia="Arial" w:hAnsi="Arial" w:cs="Times New Roman"/>
                <w:color w:val="1A1A1A"/>
                <w:szCs w:val="24"/>
              </w:rPr>
              <w:t>Restaurants, caf</w:t>
            </w:r>
            <w:r w:rsidR="00481AB8" w:rsidRPr="00481AB8">
              <w:rPr>
                <w:rFonts w:ascii="Arial" w:eastAsia="Arial" w:hAnsi="Arial" w:cs="Times New Roman"/>
                <w:color w:val="1A1A1A"/>
                <w:szCs w:val="24"/>
              </w:rPr>
              <w:t>e</w:t>
            </w:r>
            <w:r w:rsidRPr="00481AB8">
              <w:rPr>
                <w:rFonts w:ascii="Arial" w:eastAsia="Arial" w:hAnsi="Arial" w:cs="Times New Roman"/>
                <w:color w:val="1A1A1A"/>
                <w:szCs w:val="24"/>
              </w:rPr>
              <w:t>s, takeaway food shops, short-term markets and filling stations are not covered by the Act and may open at any time.</w:t>
            </w:r>
          </w:p>
        </w:tc>
      </w:tr>
      <w:tr w:rsidR="001838B0" w:rsidRPr="00481AB8" w14:paraId="30A48D3E" w14:textId="77777777" w:rsidTr="00454E8B">
        <w:tc>
          <w:tcPr>
            <w:cnfStyle w:val="001000000000" w:firstRow="0" w:lastRow="0" w:firstColumn="1" w:lastColumn="0" w:oddVBand="0" w:evenVBand="0" w:oddHBand="0" w:evenHBand="0" w:firstRowFirstColumn="0" w:firstRowLastColumn="0" w:lastRowFirstColumn="0" w:lastRowLastColumn="0"/>
            <w:tcW w:w="1600" w:type="dxa"/>
          </w:tcPr>
          <w:p w14:paraId="79374D76" w14:textId="77777777" w:rsidR="001838B0" w:rsidRPr="00481AB8" w:rsidRDefault="001838B0" w:rsidP="00654D4B">
            <w:pPr>
              <w:spacing w:before="120" w:line="240" w:lineRule="auto"/>
              <w:rPr>
                <w:rFonts w:ascii="Arial" w:eastAsia="Arial" w:hAnsi="Arial" w:cs="Times New Roman"/>
                <w:b w:val="0"/>
                <w:bCs w:val="0"/>
                <w:color w:val="1A1A1A"/>
                <w:szCs w:val="24"/>
              </w:rPr>
            </w:pPr>
            <w:r w:rsidRPr="00481AB8">
              <w:rPr>
                <w:rFonts w:ascii="Arial" w:eastAsia="Arial" w:hAnsi="Arial" w:cs="Times New Roman"/>
                <w:color w:val="1A1A1A"/>
                <w:szCs w:val="24"/>
              </w:rPr>
              <w:t>Australian Capital Territory</w:t>
            </w:r>
          </w:p>
        </w:tc>
        <w:tc>
          <w:tcPr>
            <w:tcW w:w="2200" w:type="dxa"/>
          </w:tcPr>
          <w:p w14:paraId="59A3A31F" w14:textId="77777777" w:rsidR="001838B0" w:rsidRPr="00481AB8" w:rsidRDefault="001838B0" w:rsidP="00654D4B">
            <w:pPr>
              <w:spacing w:before="12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Times New Roman"/>
                <w:i/>
                <w:iCs/>
                <w:color w:val="1A1A1A"/>
                <w:szCs w:val="24"/>
              </w:rPr>
            </w:pPr>
            <w:r w:rsidRPr="00481AB8">
              <w:rPr>
                <w:rFonts w:ascii="Arial" w:eastAsia="Arial" w:hAnsi="Arial" w:cs="Times New Roman"/>
                <w:i/>
                <w:iCs/>
                <w:color w:val="1A1A1A"/>
                <w:szCs w:val="24"/>
              </w:rPr>
              <w:t>Trading Hours Act 1962 (repealed by the Trading Hours Act 1996)</w:t>
            </w:r>
          </w:p>
        </w:tc>
        <w:tc>
          <w:tcPr>
            <w:tcW w:w="5126" w:type="dxa"/>
          </w:tcPr>
          <w:p w14:paraId="75B5D4D2" w14:textId="77777777" w:rsidR="001838B0" w:rsidRPr="00481AB8" w:rsidRDefault="001838B0" w:rsidP="00654D4B">
            <w:pPr>
              <w:spacing w:before="12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Times New Roman"/>
                <w:color w:val="1A1A1A"/>
                <w:szCs w:val="24"/>
              </w:rPr>
            </w:pPr>
            <w:r w:rsidRPr="00481AB8">
              <w:rPr>
                <w:rFonts w:ascii="Arial" w:eastAsia="Arial" w:hAnsi="Arial" w:cs="Times New Roman"/>
                <w:color w:val="1A1A1A"/>
                <w:szCs w:val="24"/>
              </w:rPr>
              <w:t>Retail trading hours were deregulated by the 1996 Act, which repealed the earlier trading hours restrictions.</w:t>
            </w:r>
          </w:p>
          <w:p w14:paraId="5BB26018" w14:textId="77777777" w:rsidR="001838B0" w:rsidRPr="00481AB8" w:rsidRDefault="001838B0" w:rsidP="00654D4B">
            <w:pPr>
              <w:spacing w:before="12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Times New Roman"/>
                <w:color w:val="1A1A1A"/>
                <w:szCs w:val="24"/>
              </w:rPr>
            </w:pPr>
            <w:r w:rsidRPr="00481AB8">
              <w:rPr>
                <w:rFonts w:ascii="Arial" w:eastAsia="Arial" w:hAnsi="Arial" w:cs="Times New Roman"/>
                <w:color w:val="1A1A1A"/>
                <w:szCs w:val="24"/>
              </w:rPr>
              <w:t>No legislation currently restricts shop trading hours on Anzac Day.</w:t>
            </w:r>
          </w:p>
          <w:p w14:paraId="651D5075" w14:textId="77777777" w:rsidR="001838B0" w:rsidRPr="00481AB8" w:rsidRDefault="001838B0" w:rsidP="00654D4B">
            <w:pPr>
              <w:spacing w:before="120" w:line="240" w:lineRule="auto"/>
              <w:cnfStyle w:val="000000000000" w:firstRow="0" w:lastRow="0" w:firstColumn="0" w:lastColumn="0" w:oddVBand="0" w:evenVBand="0" w:oddHBand="0" w:evenHBand="0" w:firstRowFirstColumn="0" w:firstRowLastColumn="0" w:lastRowFirstColumn="0" w:lastRowLastColumn="0"/>
              <w:rPr>
                <w:rFonts w:ascii="Arial" w:eastAsia="Arial" w:hAnsi="Arial" w:cs="Times New Roman"/>
                <w:color w:val="1A1A1A"/>
                <w:szCs w:val="24"/>
              </w:rPr>
            </w:pPr>
            <w:r w:rsidRPr="00481AB8">
              <w:rPr>
                <w:rFonts w:ascii="Arial" w:eastAsia="Arial" w:hAnsi="Arial" w:cs="Times New Roman"/>
                <w:color w:val="1A1A1A"/>
                <w:szCs w:val="24"/>
              </w:rPr>
              <w:t>Liquor trading hours are separately regulated under the ACT Liquor Act.</w:t>
            </w:r>
          </w:p>
        </w:tc>
      </w:tr>
      <w:tr w:rsidR="001838B0" w:rsidRPr="00481AB8" w14:paraId="40CA43E3" w14:textId="77777777" w:rsidTr="00454E8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0" w:type="dxa"/>
          </w:tcPr>
          <w:p w14:paraId="33CB5D37" w14:textId="77777777" w:rsidR="001838B0" w:rsidRPr="00481AB8" w:rsidRDefault="001838B0" w:rsidP="00654D4B">
            <w:pPr>
              <w:spacing w:before="120" w:line="240" w:lineRule="auto"/>
              <w:rPr>
                <w:rFonts w:ascii="Arial" w:eastAsia="Arial" w:hAnsi="Arial" w:cs="Times New Roman"/>
                <w:b w:val="0"/>
                <w:bCs w:val="0"/>
                <w:color w:val="1A1A1A"/>
                <w:szCs w:val="24"/>
              </w:rPr>
            </w:pPr>
            <w:r w:rsidRPr="00481AB8">
              <w:rPr>
                <w:rFonts w:ascii="Arial" w:eastAsia="Arial" w:hAnsi="Arial" w:cs="Times New Roman"/>
                <w:color w:val="1A1A1A"/>
                <w:szCs w:val="24"/>
              </w:rPr>
              <w:t>Northern Territory</w:t>
            </w:r>
          </w:p>
        </w:tc>
        <w:tc>
          <w:tcPr>
            <w:tcW w:w="2200" w:type="dxa"/>
          </w:tcPr>
          <w:p w14:paraId="1BC3CAB8" w14:textId="77777777" w:rsidR="001838B0" w:rsidRPr="00481AB8" w:rsidRDefault="001838B0" w:rsidP="00654D4B">
            <w:pPr>
              <w:spacing w:before="12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Times New Roman"/>
                <w:i/>
                <w:iCs/>
                <w:color w:val="1A1A1A"/>
                <w:szCs w:val="24"/>
              </w:rPr>
            </w:pPr>
            <w:r w:rsidRPr="00481AB8">
              <w:rPr>
                <w:rFonts w:ascii="Arial" w:eastAsia="Arial" w:hAnsi="Arial" w:cs="Times New Roman"/>
                <w:i/>
                <w:iCs/>
                <w:color w:val="1A1A1A"/>
                <w:szCs w:val="24"/>
              </w:rPr>
              <w:t>No current Shop Trading Hours Act (trading hours deregulated)</w:t>
            </w:r>
          </w:p>
        </w:tc>
        <w:tc>
          <w:tcPr>
            <w:tcW w:w="5126" w:type="dxa"/>
          </w:tcPr>
          <w:p w14:paraId="4144B01D" w14:textId="77777777" w:rsidR="001838B0" w:rsidRPr="00481AB8" w:rsidRDefault="001838B0" w:rsidP="00654D4B">
            <w:pPr>
              <w:spacing w:before="12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Times New Roman"/>
                <w:color w:val="1A1A1A"/>
                <w:szCs w:val="24"/>
              </w:rPr>
            </w:pPr>
            <w:r w:rsidRPr="00481AB8">
              <w:rPr>
                <w:rFonts w:ascii="Arial" w:eastAsia="Arial" w:hAnsi="Arial" w:cs="Times New Roman"/>
                <w:color w:val="1A1A1A"/>
                <w:szCs w:val="24"/>
              </w:rPr>
              <w:t>There are no Anzac Day trading restrictions on businesses in the Northern Territory.</w:t>
            </w:r>
          </w:p>
          <w:p w14:paraId="03251604" w14:textId="77777777" w:rsidR="001838B0" w:rsidRPr="00481AB8" w:rsidRDefault="001838B0" w:rsidP="00654D4B">
            <w:pPr>
              <w:spacing w:before="120" w:line="240" w:lineRule="auto"/>
              <w:cnfStyle w:val="000000100000" w:firstRow="0" w:lastRow="0" w:firstColumn="0" w:lastColumn="0" w:oddVBand="0" w:evenVBand="0" w:oddHBand="1" w:evenHBand="0" w:firstRowFirstColumn="0" w:firstRowLastColumn="0" w:lastRowFirstColumn="0" w:lastRowLastColumn="0"/>
              <w:rPr>
                <w:rFonts w:ascii="Arial" w:eastAsia="Arial" w:hAnsi="Arial" w:cs="Times New Roman"/>
                <w:color w:val="1A1A1A"/>
                <w:szCs w:val="24"/>
              </w:rPr>
            </w:pPr>
            <w:r w:rsidRPr="00481AB8">
              <w:rPr>
                <w:rFonts w:ascii="Arial" w:eastAsia="Arial" w:hAnsi="Arial" w:cs="Times New Roman"/>
                <w:color w:val="1A1A1A"/>
                <w:szCs w:val="24"/>
              </w:rPr>
              <w:t>Any restrictions on Anzac Day (for example, on alcohol sale times) arise under separate liquor licensing legislation, not shop trading hours law.</w:t>
            </w:r>
          </w:p>
        </w:tc>
      </w:tr>
    </w:tbl>
    <w:p w14:paraId="0DC57310" w14:textId="77777777" w:rsidR="008E090E" w:rsidRPr="008E090E" w:rsidRDefault="008E090E" w:rsidP="008E090E">
      <w:pPr>
        <w:ind w:firstLine="720"/>
      </w:pPr>
    </w:p>
    <w:sectPr w:rsidR="008E090E" w:rsidRPr="008E090E" w:rsidSect="00D61493">
      <w:headerReference w:type="even" r:id="rId11"/>
      <w:headerReference w:type="default" r:id="rId12"/>
      <w:footerReference w:type="even" r:id="rId13"/>
      <w:footerReference w:type="default" r:id="rId14"/>
      <w:headerReference w:type="first" r:id="rId15"/>
      <w:footerReference w:type="first" r:id="rId16"/>
      <w:pgSz w:w="11906" w:h="16838" w:code="9"/>
      <w:pgMar w:top="851" w:right="1418" w:bottom="567" w:left="1418" w:header="340"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26A0BC" w14:textId="77777777" w:rsidR="00420A05" w:rsidRDefault="00420A05" w:rsidP="00BD0AF7">
      <w:pPr>
        <w:spacing w:after="0" w:line="240" w:lineRule="auto"/>
      </w:pPr>
      <w:r>
        <w:separator/>
      </w:r>
    </w:p>
  </w:endnote>
  <w:endnote w:type="continuationSeparator" w:id="0">
    <w:p w14:paraId="51F9C8B7" w14:textId="77777777" w:rsidR="00420A05" w:rsidRDefault="00420A05" w:rsidP="00BD0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A44A5" w14:textId="77777777" w:rsidR="00486E0B" w:rsidRDefault="00486E0B">
    <w:pPr>
      <w:pStyle w:val="Footer"/>
    </w:pPr>
    <w:r>
      <w:rPr>
        <w:noProof/>
      </w:rPr>
      <mc:AlternateContent>
        <mc:Choice Requires="wps">
          <w:drawing>
            <wp:anchor distT="0" distB="0" distL="0" distR="0" simplePos="0" relativeHeight="251658244" behindDoc="0" locked="0" layoutInCell="1" allowOverlap="1" wp14:anchorId="005BEAAE" wp14:editId="6146B56E">
              <wp:simplePos x="635" y="635"/>
              <wp:positionH relativeFrom="page">
                <wp:align>center</wp:align>
              </wp:positionH>
              <wp:positionV relativeFrom="page">
                <wp:align>bottom</wp:align>
              </wp:positionV>
              <wp:extent cx="551815" cy="432435"/>
              <wp:effectExtent l="0" t="0" r="635" b="0"/>
              <wp:wrapNone/>
              <wp:docPr id="574229121" name="Text Box 5" descr="OFFICIAL">
                <a:extLst xmlns:a="http://schemas.openxmlformats.org/drawingml/2006/main">
                  <a:ext uri="{FF2B5EF4-FFF2-40B4-BE49-F238E27FC236}">
                    <a16:creationId xmlns:a16="http://schemas.microsoft.com/office/drawing/2014/main" id="{ECBA993B-4CA1-4E7B-8BB4-5F19C31E925F}"/>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61F8E6D9" w14:textId="77777777" w:rsidR="00486E0B" w:rsidRPr="003146C7" w:rsidRDefault="00486E0B"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5BEAAE" id="_x0000_t202" coordsize="21600,21600" o:spt="202" path="m,l,21600r21600,l21600,xe">
              <v:stroke joinstyle="miter"/>
              <v:path gradientshapeok="t" o:connecttype="rect"/>
            </v:shapetype>
            <v:shape id="Text Box 5" o:spid="_x0000_s1028" type="#_x0000_t202" alt="OFFICIAL" style="position:absolute;margin-left:0;margin-top:0;width:43.45pt;height:34.0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" filled="f" stroked="f">
              <v:textbox style="mso-fit-shape-to-text:t" inset="0,0,0,15pt">
                <w:txbxContent>
                  <w:p w14:paraId="61F8E6D9" w14:textId="77777777" w:rsidR="00486E0B" w:rsidRPr="003146C7" w:rsidRDefault="00486E0B"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6EC59" w14:textId="1164947C" w:rsidR="00486E0B" w:rsidRPr="00F16B4E" w:rsidRDefault="00486E0B" w:rsidP="003C79F5">
    <w:pPr>
      <w:pStyle w:val="FooterDepartmentdivisionunitnameCover"/>
    </w:pPr>
    <w:r>
      <mc:AlternateContent>
        <mc:Choice Requires="wps">
          <w:drawing>
            <wp:anchor distT="0" distB="0" distL="0" distR="0" simplePos="0" relativeHeight="251658245" behindDoc="0" locked="0" layoutInCell="1" allowOverlap="1" wp14:anchorId="70AB1AD8" wp14:editId="6F31CF8B">
              <wp:simplePos x="635" y="635"/>
              <wp:positionH relativeFrom="page">
                <wp:align>center</wp:align>
              </wp:positionH>
              <wp:positionV relativeFrom="page">
                <wp:align>bottom</wp:align>
              </wp:positionV>
              <wp:extent cx="551815" cy="432435"/>
              <wp:effectExtent l="0" t="0" r="635" b="0"/>
              <wp:wrapNone/>
              <wp:docPr id="1485972619" name="Text Box 6" descr="OFFICIAL">
                <a:extLst xmlns:a="http://schemas.openxmlformats.org/drawingml/2006/main">
                  <a:ext uri="{FF2B5EF4-FFF2-40B4-BE49-F238E27FC236}">
                    <a16:creationId xmlns:a16="http://schemas.microsoft.com/office/drawing/2014/main" id="{D95A5DF6-7C53-453A-B760-2CF433D47ED6}"/>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24BCF7B0" w14:textId="77777777" w:rsidR="00486E0B" w:rsidRPr="003146C7" w:rsidRDefault="00486E0B"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AB1AD8" id="_x0000_t202" coordsize="21600,21600" o:spt="202" path="m,l,21600r21600,l21600,xe">
              <v:stroke joinstyle="miter"/>
              <v:path gradientshapeok="t" o:connecttype="rect"/>
            </v:shapetype>
            <v:shape id="Text Box 6" o:spid="_x0000_s1029" type="#_x0000_t202" alt="OFFICIAL" style="position:absolute;margin-left:0;margin-top:0;width:43.45pt;height:34.0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" filled="f" stroked="f">
              <v:textbox style="mso-fit-shape-to-text:t" inset="0,0,0,15pt">
                <w:txbxContent>
                  <w:p w14:paraId="24BCF7B0" w14:textId="77777777" w:rsidR="00486E0B" w:rsidRPr="003146C7" w:rsidRDefault="00486E0B"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v:textbox>
              <w10:wrap anchorx="page" anchory="page"/>
            </v:shape>
          </w:pict>
        </mc:Fallback>
      </mc:AlternateContent>
    </w:r>
    <w:r w:rsidR="00911B06" w:rsidRPr="00911B06">
      <w:t xml:space="preserve"> Fact Sheet 2: Trading on Anzac Day</w:t>
    </w:r>
    <w:r w:rsidR="00911B06">
      <w:t xml:space="preserve"> </w:t>
    </w:r>
    <w:r>
      <w:t xml:space="preserve">| </w:t>
    </w:r>
    <w:r>
      <w:rPr>
        <w:noProof w:val="0"/>
      </w:rPr>
      <w:fldChar w:fldCharType="begin"/>
    </w:r>
    <w:r>
      <w:instrText xml:space="preserve"> PAGE   \* MERGEFORMAT </w:instrText>
    </w:r>
    <w:r>
      <w:rPr>
        <w:noProof w:val="0"/>
      </w:rP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2C3D1" w14:textId="05D32B42" w:rsidR="00486E0B" w:rsidRDefault="00486E0B" w:rsidP="003146C7">
    <w:pPr>
      <w:pStyle w:val="FooterDepartmentdivisionunitnameCover"/>
    </w:pPr>
    <w:r w:rsidRPr="00336856">
      <w:rPr>
        <w:highlight w:val="yellow"/>
      </w:rPr>
      <w:drawing>
        <wp:anchor distT="0" distB="0" distL="114300" distR="114300" simplePos="0" relativeHeight="251658247" behindDoc="1" locked="0" layoutInCell="1" allowOverlap="1" wp14:anchorId="29EEE450" wp14:editId="4CB98A4F">
          <wp:simplePos x="0" y="0"/>
          <wp:positionH relativeFrom="margin">
            <wp:align>right</wp:align>
          </wp:positionH>
          <wp:positionV relativeFrom="paragraph">
            <wp:posOffset>-216535</wp:posOffset>
          </wp:positionV>
          <wp:extent cx="1439545" cy="568325"/>
          <wp:effectExtent l="0" t="0" r="8255" b="3175"/>
          <wp:wrapNone/>
          <wp:docPr id="1298520708" name="Picture 1298520708" descr="Tasmanian Government logo consisting of stylised Tasmanian tiger looking through grass to drink water. the words Tasmanian Government stacked to the right.">
            <a:extLst xmlns:a="http://schemas.openxmlformats.org/drawingml/2006/main">
              <a:ext uri="{FF2B5EF4-FFF2-40B4-BE49-F238E27FC236}">
                <a16:creationId xmlns:a16="http://schemas.microsoft.com/office/drawing/2014/main" id="{D98AA1D3-3BF2-4195-ACCC-D7FAB2DA0A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asmanian Government logo consisting of stylised Tasmanian tiger looking through grass to drink water. the words Tasmanian Government stacked to the right."/>
                  <pic:cNvPicPr/>
                </pic:nvPicPr>
                <pic:blipFill>
                  <a:blip r:embed="rId1">
                    <a:extLst>
                      <a:ext uri="{28A0092B-C50C-407E-A947-70E740481C1C}">
                        <a14:useLocalDpi xmlns:a14="http://schemas.microsoft.com/office/drawing/2010/main" val="0"/>
                      </a:ext>
                    </a:extLst>
                  </a:blip>
                  <a:stretch>
                    <a:fillRect/>
                  </a:stretch>
                </pic:blipFill>
                <pic:spPr>
                  <a:xfrm>
                    <a:off x="0" y="0"/>
                    <a:ext cx="1439545" cy="568325"/>
                  </a:xfrm>
                  <a:prstGeom prst="rect">
                    <a:avLst/>
                  </a:prstGeom>
                </pic:spPr>
              </pic:pic>
            </a:graphicData>
          </a:graphic>
        </wp:anchor>
      </w:drawing>
    </w:r>
    <w:r w:rsidRPr="00336856">
      <w:rPr>
        <w:highlight w:val="yellow"/>
      </w:rPr>
      <mc:AlternateContent>
        <mc:Choice Requires="wps">
          <w:drawing>
            <wp:anchor distT="0" distB="0" distL="0" distR="0" simplePos="0" relativeHeight="251658243" behindDoc="0" locked="0" layoutInCell="1" allowOverlap="1" wp14:anchorId="04FBC9DA" wp14:editId="4A7B58CE">
              <wp:simplePos x="900953" y="9977718"/>
              <wp:positionH relativeFrom="page">
                <wp:align>center</wp:align>
              </wp:positionH>
              <wp:positionV relativeFrom="page">
                <wp:align>bottom</wp:align>
              </wp:positionV>
              <wp:extent cx="551815" cy="432435"/>
              <wp:effectExtent l="0" t="0" r="635" b="0"/>
              <wp:wrapNone/>
              <wp:docPr id="2021906443" name="Text Box 4" descr="OFFICIAL">
                <a:extLst xmlns:a="http://schemas.openxmlformats.org/drawingml/2006/main">
                  <a:ext uri="{FF2B5EF4-FFF2-40B4-BE49-F238E27FC236}">
                    <a16:creationId xmlns:a16="http://schemas.microsoft.com/office/drawing/2014/main" id="{5C29BA71-1D4E-4896-8C9D-B284F0F6769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6BA829D9" w14:textId="77777777" w:rsidR="00486E0B" w:rsidRPr="003146C7" w:rsidRDefault="00486E0B"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4FBC9DA" id="_x0000_t202" coordsize="21600,21600" o:spt="202" path="m,l,21600r21600,l21600,xe">
              <v:stroke joinstyle="miter"/>
              <v:path gradientshapeok="t" o:connecttype="rect"/>
            </v:shapetype>
            <v:shape id="Text Box 4" o:spid="_x0000_s1031" type="#_x0000_t202" alt="OFFICIAL" style="position:absolute;margin-left:0;margin-top:0;width:43.45pt;height:34.0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" filled="f" stroked="f">
              <v:textbox style="mso-fit-shape-to-text:t" inset="0,0,0,15pt">
                <w:txbxContent>
                  <w:p w14:paraId="6BA829D9" w14:textId="77777777" w:rsidR="00486E0B" w:rsidRPr="003146C7" w:rsidRDefault="00486E0B"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v:textbox>
              <w10:wrap anchorx="page" anchory="page"/>
            </v:shape>
          </w:pict>
        </mc:Fallback>
      </mc:AlternateContent>
    </w:r>
    <w:r w:rsidR="00654D4B">
      <w:t>Policy and Reform</w:t>
    </w:r>
    <w:r>
      <w:br/>
      <w:t>Department of Premier and Cabinet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01DF7B" w14:textId="77777777" w:rsidR="00420A05" w:rsidRDefault="00420A05" w:rsidP="00BD0AF7">
      <w:pPr>
        <w:spacing w:after="0" w:line="240" w:lineRule="auto"/>
      </w:pPr>
      <w:r>
        <w:separator/>
      </w:r>
    </w:p>
  </w:footnote>
  <w:footnote w:type="continuationSeparator" w:id="0">
    <w:p w14:paraId="7DA54CB8" w14:textId="77777777" w:rsidR="00420A05" w:rsidRDefault="00420A05" w:rsidP="00BD0A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F30ED" w14:textId="77777777" w:rsidR="00486E0B" w:rsidRDefault="00486E0B">
    <w:pPr>
      <w:pStyle w:val="Header"/>
    </w:pPr>
    <w:r>
      <w:rPr>
        <w:noProof/>
      </w:rPr>
      <mc:AlternateContent>
        <mc:Choice Requires="wps">
          <w:drawing>
            <wp:anchor distT="0" distB="0" distL="0" distR="0" simplePos="0" relativeHeight="251658241" behindDoc="0" locked="0" layoutInCell="1" allowOverlap="1" wp14:anchorId="706E8C7F" wp14:editId="5C10E131">
              <wp:simplePos x="635" y="635"/>
              <wp:positionH relativeFrom="page">
                <wp:align>center</wp:align>
              </wp:positionH>
              <wp:positionV relativeFrom="page">
                <wp:align>top</wp:align>
              </wp:positionV>
              <wp:extent cx="551815" cy="432435"/>
              <wp:effectExtent l="0" t="0" r="635" b="5715"/>
              <wp:wrapNone/>
              <wp:docPr id="1452889987" name="Text Box 2" descr="OFFICIAL">
                <a:extLst xmlns:a="http://schemas.openxmlformats.org/drawingml/2006/main">
                  <a:ext uri="{FF2B5EF4-FFF2-40B4-BE49-F238E27FC236}">
                    <a16:creationId xmlns:a16="http://schemas.microsoft.com/office/drawing/2014/main" id="{BC50A808-A8B7-457C-84E4-18322D824C5F}"/>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37DAF42C" w14:textId="77777777" w:rsidR="00486E0B" w:rsidRPr="003146C7" w:rsidRDefault="00486E0B"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6E8C7F" id="_x0000_t202" coordsize="21600,21600" o:spt="202" path="m,l,21600r21600,l21600,xe">
              <v:stroke joinstyle="miter"/>
              <v:path gradientshapeok="t" o:connecttype="rect"/>
            </v:shapetype>
            <v:shape id="Text Box 2" o:spid="_x0000_s1026" type="#_x0000_t202" alt="OFFICIAL" style="position:absolute;margin-left:0;margin-top:0;width:43.45pt;height:34.0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" filled="f" stroked="f">
              <v:textbox style="mso-fit-shape-to-text:t" inset="0,15pt,0,0">
                <w:txbxContent>
                  <w:p w14:paraId="37DAF42C" w14:textId="77777777" w:rsidR="00486E0B" w:rsidRPr="003146C7" w:rsidRDefault="00486E0B"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DC27D" w14:textId="77777777" w:rsidR="00486E0B" w:rsidRPr="0059331B" w:rsidRDefault="00486E0B" w:rsidP="0059331B">
    <w:pPr>
      <w:pStyle w:val="Header"/>
    </w:pPr>
    <w:r>
      <w:rPr>
        <w:noProof/>
      </w:rPr>
      <mc:AlternateContent>
        <mc:Choice Requires="wps">
          <w:drawing>
            <wp:anchor distT="0" distB="0" distL="0" distR="0" simplePos="0" relativeHeight="251658242" behindDoc="0" locked="0" layoutInCell="1" allowOverlap="1" wp14:anchorId="0E9BF4CA" wp14:editId="100A90A6">
              <wp:simplePos x="635" y="635"/>
              <wp:positionH relativeFrom="page">
                <wp:align>center</wp:align>
              </wp:positionH>
              <wp:positionV relativeFrom="page">
                <wp:align>top</wp:align>
              </wp:positionV>
              <wp:extent cx="551815" cy="432435"/>
              <wp:effectExtent l="0" t="0" r="635" b="5715"/>
              <wp:wrapNone/>
              <wp:docPr id="891318163" name="Text Box 3" descr="OFFICIAL">
                <a:extLst xmlns:a="http://schemas.openxmlformats.org/drawingml/2006/main">
                  <a:ext uri="{FF2B5EF4-FFF2-40B4-BE49-F238E27FC236}">
                    <a16:creationId xmlns:a16="http://schemas.microsoft.com/office/drawing/2014/main" id="{AAAA55BC-CF0B-44C7-BD9C-8D8028C062CB}"/>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65D61BE4" w14:textId="77777777" w:rsidR="00486E0B" w:rsidRPr="003146C7" w:rsidRDefault="00486E0B"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9BF4CA" id="_x0000_t202" coordsize="21600,21600" o:spt="202" path="m,l,21600r21600,l21600,xe">
              <v:stroke joinstyle="miter"/>
              <v:path gradientshapeok="t" o:connecttype="rect"/>
            </v:shapetype>
            <v:shape id="Text Box 3" o:spid="_x0000_s1027" type="#_x0000_t202" alt="OFFICIAL" style="position:absolute;margin-left:0;margin-top:0;width:43.45pt;height:34.0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" filled="f" stroked="f">
              <v:textbox style="mso-fit-shape-to-text:t" inset="0,15pt,0,0">
                <w:txbxContent>
                  <w:p w14:paraId="65D61BE4" w14:textId="77777777" w:rsidR="00486E0B" w:rsidRPr="003146C7" w:rsidRDefault="00486E0B"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v:textbox>
              <w10:wrap anchorx="page" anchory="page"/>
            </v:shape>
          </w:pict>
        </mc:Fallback>
      </mc:AlternateContent>
    </w:r>
    <w:r w:rsidRPr="0059331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31E6A" w14:textId="53AE956C" w:rsidR="00486E0B" w:rsidRDefault="00486E0B" w:rsidP="00D4123E">
    <w:pPr>
      <w:pStyle w:val="Header"/>
    </w:pPr>
    <w:r w:rsidRPr="00290B06">
      <w:rPr>
        <w:noProof/>
        <w:shd w:val="clear" w:color="auto" w:fill="FFFFFF" w:themeFill="background1"/>
      </w:rPr>
      <mc:AlternateContent>
        <mc:Choice Requires="wps">
          <w:drawing>
            <wp:anchor distT="0" distB="0" distL="0" distR="0" simplePos="0" relativeHeight="251658240" behindDoc="0" locked="0" layoutInCell="1" allowOverlap="1" wp14:anchorId="64F40A18" wp14:editId="01342BA4">
              <wp:simplePos x="900953" y="215153"/>
              <wp:positionH relativeFrom="page">
                <wp:align>center</wp:align>
              </wp:positionH>
              <wp:positionV relativeFrom="page">
                <wp:align>top</wp:align>
              </wp:positionV>
              <wp:extent cx="551815" cy="432435"/>
              <wp:effectExtent l="0" t="0" r="635" b="5715"/>
              <wp:wrapNone/>
              <wp:docPr id="186880602" name="Text Box 1" descr="OFFICIAL">
                <a:extLst xmlns:a="http://schemas.openxmlformats.org/drawingml/2006/main">
                  <a:ext uri="{FF2B5EF4-FFF2-40B4-BE49-F238E27FC236}">
                    <a16:creationId xmlns:a16="http://schemas.microsoft.com/office/drawing/2014/main" id="{1303F2BA-B291-4F4D-954B-8C2D3BEF1C19}"/>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32435"/>
                      </a:xfrm>
                      <a:prstGeom prst="rect">
                        <a:avLst/>
                      </a:prstGeom>
                      <a:noFill/>
                      <a:ln>
                        <a:noFill/>
                      </a:ln>
                    </wps:spPr>
                    <wps:txbx>
                      <w:txbxContent>
                        <w:p w14:paraId="0076E126" w14:textId="77777777" w:rsidR="00486E0B" w:rsidRPr="003146C7" w:rsidRDefault="00486E0B"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F40A18" id="_x0000_t202" coordsize="21600,21600" o:spt="202" path="m,l,21600r21600,l21600,xe">
              <v:stroke joinstyle="miter"/>
              <v:path gradientshapeok="t" o:connecttype="rect"/>
            </v:shapetype>
            <v:shape id="Text Box 1" o:spid="_x0000_s1030" type="#_x0000_t202" alt="OFFICIAL" style="position:absolute;margin-left:0;margin-top:0;width:43.45pt;height:34.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" filled="f" stroked="f">
              <v:textbox style="mso-fit-shape-to-text:t" inset="0,15pt,0,0">
                <w:txbxContent>
                  <w:p w14:paraId="0076E126" w14:textId="77777777" w:rsidR="00486E0B" w:rsidRPr="003146C7" w:rsidRDefault="00486E0B" w:rsidP="003146C7">
                    <w:pPr>
                      <w:spacing w:after="0"/>
                      <w:rPr>
                        <w:rFonts w:ascii="Calibri" w:eastAsia="Calibri" w:hAnsi="Calibri" w:cs="Calibri"/>
                        <w:noProof/>
                        <w:color w:val="FF0000"/>
                        <w:szCs w:val="24"/>
                      </w:rPr>
                    </w:pPr>
                    <w:r w:rsidRPr="003146C7">
                      <w:rPr>
                        <w:rFonts w:ascii="Calibri" w:eastAsia="Calibri" w:hAnsi="Calibri" w:cs="Calibri"/>
                        <w:noProof/>
                        <w:color w:val="FF0000"/>
                        <w:szCs w:val="24"/>
                      </w:rPr>
                      <w:t>OFFICIAL</w:t>
                    </w:r>
                  </w:p>
                </w:txbxContent>
              </v:textbox>
              <w10:wrap anchorx="page" anchory="page"/>
            </v:shape>
          </w:pict>
        </mc:Fallback>
      </mc:AlternateContent>
    </w:r>
    <w:r w:rsidRPr="00290B06">
      <w:rPr>
        <w:noProof/>
        <w:shd w:val="clear" w:color="auto" w:fill="FFFFFF" w:themeFill="background1"/>
      </w:rPr>
      <w:drawing>
        <wp:anchor distT="0" distB="0" distL="114300" distR="114300" simplePos="0" relativeHeight="251658246" behindDoc="1" locked="0" layoutInCell="1" allowOverlap="1" wp14:anchorId="497ADBCA" wp14:editId="26FD1957">
          <wp:simplePos x="0" y="0"/>
          <wp:positionH relativeFrom="page">
            <wp:align>right</wp:align>
          </wp:positionH>
          <wp:positionV relativeFrom="paragraph">
            <wp:posOffset>-215900</wp:posOffset>
          </wp:positionV>
          <wp:extent cx="2930525" cy="685165"/>
          <wp:effectExtent l="0" t="0" r="3175" b="635"/>
          <wp:wrapNone/>
          <wp:docPr id="1717228967" name="Picture 1">
            <a:extLst xmlns:a="http://schemas.openxmlformats.org/drawingml/2006/main">
              <a:ext uri="{FF2B5EF4-FFF2-40B4-BE49-F238E27FC236}">
                <a16:creationId xmlns:a16="http://schemas.microsoft.com/office/drawing/2014/main" id="{6C84D214-9D39-4BE3-9DA7-20EC871D710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228967" name="Picture 1">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l="49118"/>
                  <a:stretch/>
                </pic:blipFill>
                <pic:spPr bwMode="auto">
                  <a:xfrm>
                    <a:off x="0" y="0"/>
                    <a:ext cx="2930525" cy="6851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290B06">
      <w:rPr>
        <w:shd w:val="clear" w:color="auto" w:fill="FFFFFF" w:themeFill="background1"/>
      </w:rPr>
      <w:t xml:space="preserve">Version </w:t>
    </w:r>
    <w:r w:rsidR="00654D4B" w:rsidRPr="00290B06">
      <w:rPr>
        <w:shd w:val="clear" w:color="auto" w:fill="FFFFFF" w:themeFill="background1"/>
      </w:rPr>
      <w:t>2</w:t>
    </w:r>
    <w:r w:rsidRPr="00290B06">
      <w:rPr>
        <w:shd w:val="clear" w:color="auto" w:fill="FFFFFF" w:themeFill="background1"/>
      </w:rPr>
      <w:t xml:space="preserve"> | </w:t>
    </w:r>
    <w:r w:rsidR="000C1F78" w:rsidRPr="00290B06">
      <w:rPr>
        <w:shd w:val="clear" w:color="auto" w:fill="FFFFFF" w:themeFill="background1"/>
      </w:rPr>
      <w:t>26/148871</w:t>
    </w:r>
    <w:r w:rsidR="000C1F78" w:rsidRPr="000C1F78">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D51AE402"/>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B29C9202"/>
    <w:lvl w:ilvl="0">
      <w:start w:val="1"/>
      <w:numFmt w:val="decimal"/>
      <w:lvlText w:val="%1."/>
      <w:lvlJc w:val="left"/>
      <w:pPr>
        <w:tabs>
          <w:tab w:val="num" w:pos="643"/>
        </w:tabs>
        <w:ind w:left="643" w:hanging="360"/>
      </w:pPr>
    </w:lvl>
  </w:abstractNum>
  <w:abstractNum w:abstractNumId="2" w15:restartNumberingAfterBreak="0">
    <w:nsid w:val="FFFFFF88"/>
    <w:multiLevelType w:val="singleLevel"/>
    <w:tmpl w:val="0C1A87C2"/>
    <w:lvl w:ilvl="0">
      <w:start w:val="1"/>
      <w:numFmt w:val="decimal"/>
      <w:lvlText w:val="%1."/>
      <w:lvlJc w:val="left"/>
      <w:pPr>
        <w:tabs>
          <w:tab w:val="num" w:pos="360"/>
        </w:tabs>
        <w:ind w:left="360" w:hanging="360"/>
      </w:pPr>
    </w:lvl>
  </w:abstractNum>
  <w:abstractNum w:abstractNumId="3" w15:restartNumberingAfterBreak="0">
    <w:nsid w:val="026D339C"/>
    <w:multiLevelType w:val="hybridMultilevel"/>
    <w:tmpl w:val="76E4AC94"/>
    <w:lvl w:ilvl="0" w:tplc="5942B51A">
      <w:start w:val="1"/>
      <w:numFmt w:val="bullet"/>
      <w:pStyle w:val="Table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6F7512E"/>
    <w:multiLevelType w:val="hybridMultilevel"/>
    <w:tmpl w:val="C6AA1AC4"/>
    <w:lvl w:ilvl="0" w:tplc="34644A9E">
      <w:start w:val="1"/>
      <w:numFmt w:val="bullet"/>
      <w:pStyle w:val="BulletsLevel1"/>
      <w:lvlText w:val=""/>
      <w:lvlJc w:val="left"/>
      <w:pPr>
        <w:ind w:left="6597"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A022384"/>
    <w:multiLevelType w:val="hybridMultilevel"/>
    <w:tmpl w:val="3092DCD4"/>
    <w:lvl w:ilvl="0" w:tplc="96E425F6">
      <w:start w:val="1"/>
      <w:numFmt w:val="bullet"/>
      <w:pStyle w:val="BulletL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056D25"/>
    <w:multiLevelType w:val="hybridMultilevel"/>
    <w:tmpl w:val="BD06408E"/>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6F615E8"/>
    <w:multiLevelType w:val="hybridMultilevel"/>
    <w:tmpl w:val="ACF02174"/>
    <w:lvl w:ilvl="0" w:tplc="8DFC8B78">
      <w:start w:val="1"/>
      <w:numFmt w:val="bullet"/>
      <w:pStyle w:val="BulletL3"/>
      <w:lvlText w:val="-"/>
      <w:lvlJc w:val="left"/>
      <w:pPr>
        <w:ind w:left="1778" w:hanging="360"/>
      </w:pPr>
      <w:rPr>
        <w:rFonts w:ascii="Arial" w:hAnsi="Aria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8" w15:restartNumberingAfterBreak="0">
    <w:nsid w:val="19156A88"/>
    <w:multiLevelType w:val="multilevel"/>
    <w:tmpl w:val="E5D2673C"/>
    <w:lvl w:ilvl="0">
      <w:start w:val="1"/>
      <w:numFmt w:val="decimal"/>
      <w:lvlText w:val="%1."/>
      <w:lvlJc w:val="left"/>
      <w:pPr>
        <w:ind w:left="360" w:hanging="360"/>
      </w:pPr>
    </w:lvl>
    <w:lvl w:ilvl="1">
      <w:start w:val="1"/>
      <w:numFmt w:val="decimal"/>
      <w:pStyle w:val="NumberlistL2"/>
      <w:lvlText w:val="%1.%2."/>
      <w:lvlJc w:val="left"/>
      <w:pPr>
        <w:ind w:left="792" w:hanging="432"/>
      </w:pPr>
    </w:lvl>
    <w:lvl w:ilvl="2">
      <w:start w:val="1"/>
      <w:numFmt w:val="decimal"/>
      <w:pStyle w:val="Numberlist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A92A8D"/>
    <w:multiLevelType w:val="hybridMultilevel"/>
    <w:tmpl w:val="58B822AC"/>
    <w:lvl w:ilvl="0" w:tplc="720806CE">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0" w15:restartNumberingAfterBreak="0">
    <w:nsid w:val="666B58F7"/>
    <w:multiLevelType w:val="hybridMultilevel"/>
    <w:tmpl w:val="90DCDB2E"/>
    <w:lvl w:ilvl="0" w:tplc="2C8EABD2">
      <w:start w:val="1"/>
      <w:numFmt w:val="bullet"/>
      <w:pStyle w:val="BulletL2"/>
      <w:lvlText w:val="-"/>
      <w:lvlJc w:val="left"/>
      <w:pPr>
        <w:ind w:left="927" w:hanging="360"/>
      </w:pPr>
      <w:rPr>
        <w:rFonts w:ascii="Arial" w:hAnsi="Arial" w:hint="default"/>
        <w:spacing w:val="0"/>
        <w:sz w:val="20"/>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11" w15:restartNumberingAfterBreak="0">
    <w:nsid w:val="66B86610"/>
    <w:multiLevelType w:val="multilevel"/>
    <w:tmpl w:val="6BD66B4C"/>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92" w:hanging="432"/>
      </w:pPr>
      <w:rPr>
        <w:rFonts w:hint="default"/>
      </w:rPr>
    </w:lvl>
    <w:lvl w:ilvl="2">
      <w:start w:val="1"/>
      <w:numFmt w:val="decimal"/>
      <w:pStyle w:val="ListNumber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78E07FEE"/>
    <w:multiLevelType w:val="hybridMultilevel"/>
    <w:tmpl w:val="C71636A6"/>
    <w:lvl w:ilvl="0" w:tplc="FFFFFFFF">
      <w:start w:val="1"/>
      <w:numFmt w:val="bullet"/>
      <w:lvlText w:val=""/>
      <w:lvlJc w:val="left"/>
      <w:pPr>
        <w:ind w:left="720" w:hanging="360"/>
      </w:pPr>
      <w:rPr>
        <w:rFonts w:ascii="Symbol" w:hAnsi="Symbol" w:hint="default"/>
      </w:rPr>
    </w:lvl>
    <w:lvl w:ilvl="1" w:tplc="F6781C02">
      <w:start w:val="1"/>
      <w:numFmt w:val="bullet"/>
      <w:pStyle w:val="Bulletlevel2"/>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E555ED5"/>
    <w:multiLevelType w:val="multilevel"/>
    <w:tmpl w:val="33ACC6A2"/>
    <w:lvl w:ilvl="0">
      <w:start w:val="1"/>
      <w:numFmt w:val="decimal"/>
      <w:pStyle w:val="NumberlistL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40732817">
    <w:abstractNumId w:val="8"/>
  </w:num>
  <w:num w:numId="2" w16cid:durableId="1161774435">
    <w:abstractNumId w:val="13"/>
  </w:num>
  <w:num w:numId="3" w16cid:durableId="1380325260">
    <w:abstractNumId w:val="11"/>
  </w:num>
  <w:num w:numId="4" w16cid:durableId="13830974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97010386">
    <w:abstractNumId w:val="11"/>
  </w:num>
  <w:num w:numId="6" w16cid:durableId="1656833321">
    <w:abstractNumId w:val="11"/>
  </w:num>
  <w:num w:numId="7" w16cid:durableId="1797407731">
    <w:abstractNumId w:val="2"/>
  </w:num>
  <w:num w:numId="8" w16cid:durableId="18822700">
    <w:abstractNumId w:val="10"/>
  </w:num>
  <w:num w:numId="9" w16cid:durableId="1884638788">
    <w:abstractNumId w:val="3"/>
  </w:num>
  <w:num w:numId="10" w16cid:durableId="1971204888">
    <w:abstractNumId w:val="6"/>
  </w:num>
  <w:num w:numId="11" w16cid:durableId="396364326">
    <w:abstractNumId w:val="5"/>
  </w:num>
  <w:num w:numId="12" w16cid:durableId="413205355">
    <w:abstractNumId w:val="8"/>
  </w:num>
  <w:num w:numId="13" w16cid:durableId="529490499">
    <w:abstractNumId w:val="0"/>
  </w:num>
  <w:num w:numId="14" w16cid:durableId="546643098">
    <w:abstractNumId w:val="4"/>
  </w:num>
  <w:num w:numId="15" w16cid:durableId="589579785">
    <w:abstractNumId w:val="12"/>
  </w:num>
  <w:num w:numId="16" w16cid:durableId="90667290">
    <w:abstractNumId w:val="7"/>
  </w:num>
  <w:num w:numId="17" w16cid:durableId="948122419">
    <w:abstractNumId w:val="1"/>
  </w:num>
  <w:num w:numId="18" w16cid:durableId="10108354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defaultTableStyle w:val="ListTable3-Accent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C51"/>
    <w:rsid w:val="000319F9"/>
    <w:rsid w:val="00043209"/>
    <w:rsid w:val="0005235B"/>
    <w:rsid w:val="00053172"/>
    <w:rsid w:val="000C1F78"/>
    <w:rsid w:val="000E5348"/>
    <w:rsid w:val="00106871"/>
    <w:rsid w:val="00120915"/>
    <w:rsid w:val="001314BC"/>
    <w:rsid w:val="00131E55"/>
    <w:rsid w:val="00146D0B"/>
    <w:rsid w:val="00162D35"/>
    <w:rsid w:val="001707FD"/>
    <w:rsid w:val="001838B0"/>
    <w:rsid w:val="001914D6"/>
    <w:rsid w:val="001B3E6E"/>
    <w:rsid w:val="001D36D8"/>
    <w:rsid w:val="001D48DC"/>
    <w:rsid w:val="00201B7A"/>
    <w:rsid w:val="00211928"/>
    <w:rsid w:val="00220C1B"/>
    <w:rsid w:val="002610CB"/>
    <w:rsid w:val="002623EA"/>
    <w:rsid w:val="00285F8A"/>
    <w:rsid w:val="002907E9"/>
    <w:rsid w:val="00290B06"/>
    <w:rsid w:val="00297F6C"/>
    <w:rsid w:val="002A0413"/>
    <w:rsid w:val="002B3394"/>
    <w:rsid w:val="002B6732"/>
    <w:rsid w:val="002D12FB"/>
    <w:rsid w:val="002D5128"/>
    <w:rsid w:val="002D7078"/>
    <w:rsid w:val="00305AEA"/>
    <w:rsid w:val="003146C7"/>
    <w:rsid w:val="00336856"/>
    <w:rsid w:val="00365C9D"/>
    <w:rsid w:val="0037420C"/>
    <w:rsid w:val="003813E5"/>
    <w:rsid w:val="00393AC3"/>
    <w:rsid w:val="003A4DED"/>
    <w:rsid w:val="003A7DDB"/>
    <w:rsid w:val="003B79A1"/>
    <w:rsid w:val="003C0ED1"/>
    <w:rsid w:val="003C79F5"/>
    <w:rsid w:val="00412BDA"/>
    <w:rsid w:val="00420A05"/>
    <w:rsid w:val="00421B3F"/>
    <w:rsid w:val="004237A8"/>
    <w:rsid w:val="00447BD4"/>
    <w:rsid w:val="00454E8B"/>
    <w:rsid w:val="00481AB8"/>
    <w:rsid w:val="004854DC"/>
    <w:rsid w:val="00486E0B"/>
    <w:rsid w:val="004B0531"/>
    <w:rsid w:val="004B40BB"/>
    <w:rsid w:val="004D1E00"/>
    <w:rsid w:val="004D3811"/>
    <w:rsid w:val="00512870"/>
    <w:rsid w:val="00517409"/>
    <w:rsid w:val="00545B11"/>
    <w:rsid w:val="00571BFB"/>
    <w:rsid w:val="005918D3"/>
    <w:rsid w:val="0059331B"/>
    <w:rsid w:val="00597179"/>
    <w:rsid w:val="00597859"/>
    <w:rsid w:val="005B3569"/>
    <w:rsid w:val="005E18A0"/>
    <w:rsid w:val="005E50EE"/>
    <w:rsid w:val="00602C3B"/>
    <w:rsid w:val="00620211"/>
    <w:rsid w:val="00624039"/>
    <w:rsid w:val="00635C51"/>
    <w:rsid w:val="00653335"/>
    <w:rsid w:val="00654D4B"/>
    <w:rsid w:val="00656E64"/>
    <w:rsid w:val="006606A4"/>
    <w:rsid w:val="006615EF"/>
    <w:rsid w:val="00663B53"/>
    <w:rsid w:val="006653CD"/>
    <w:rsid w:val="006655E7"/>
    <w:rsid w:val="006968A5"/>
    <w:rsid w:val="006D3F1D"/>
    <w:rsid w:val="006E6FA2"/>
    <w:rsid w:val="00721D4D"/>
    <w:rsid w:val="007303A1"/>
    <w:rsid w:val="00740C39"/>
    <w:rsid w:val="007639D5"/>
    <w:rsid w:val="00767CB9"/>
    <w:rsid w:val="00771200"/>
    <w:rsid w:val="00774FCA"/>
    <w:rsid w:val="00781449"/>
    <w:rsid w:val="007825E1"/>
    <w:rsid w:val="007C2716"/>
    <w:rsid w:val="007D5AD4"/>
    <w:rsid w:val="007E4689"/>
    <w:rsid w:val="00802BC9"/>
    <w:rsid w:val="0083141A"/>
    <w:rsid w:val="00844EC9"/>
    <w:rsid w:val="00847538"/>
    <w:rsid w:val="00852988"/>
    <w:rsid w:val="008664C1"/>
    <w:rsid w:val="0086711A"/>
    <w:rsid w:val="008848B2"/>
    <w:rsid w:val="00891D35"/>
    <w:rsid w:val="008C0033"/>
    <w:rsid w:val="008C5385"/>
    <w:rsid w:val="008C53F1"/>
    <w:rsid w:val="008D11B2"/>
    <w:rsid w:val="008E090E"/>
    <w:rsid w:val="008E40F0"/>
    <w:rsid w:val="008F2D2F"/>
    <w:rsid w:val="008F788D"/>
    <w:rsid w:val="00911B06"/>
    <w:rsid w:val="00912482"/>
    <w:rsid w:val="00941B8F"/>
    <w:rsid w:val="00945CE8"/>
    <w:rsid w:val="00950DB8"/>
    <w:rsid w:val="00952DC6"/>
    <w:rsid w:val="00952E97"/>
    <w:rsid w:val="00957B6E"/>
    <w:rsid w:val="00971D85"/>
    <w:rsid w:val="009720CE"/>
    <w:rsid w:val="00975D9C"/>
    <w:rsid w:val="00984244"/>
    <w:rsid w:val="00990420"/>
    <w:rsid w:val="009922C2"/>
    <w:rsid w:val="00996D62"/>
    <w:rsid w:val="009A1586"/>
    <w:rsid w:val="009A3712"/>
    <w:rsid w:val="009B5FFD"/>
    <w:rsid w:val="009C5837"/>
    <w:rsid w:val="009F0C39"/>
    <w:rsid w:val="009F393A"/>
    <w:rsid w:val="009F705B"/>
    <w:rsid w:val="00A043C9"/>
    <w:rsid w:val="00A05F05"/>
    <w:rsid w:val="00A06251"/>
    <w:rsid w:val="00A271B7"/>
    <w:rsid w:val="00A2725B"/>
    <w:rsid w:val="00A37496"/>
    <w:rsid w:val="00A60A27"/>
    <w:rsid w:val="00A73B2F"/>
    <w:rsid w:val="00A93B7F"/>
    <w:rsid w:val="00AB08AB"/>
    <w:rsid w:val="00AE0737"/>
    <w:rsid w:val="00AE18EF"/>
    <w:rsid w:val="00AF294A"/>
    <w:rsid w:val="00B00BF1"/>
    <w:rsid w:val="00B046E2"/>
    <w:rsid w:val="00B2209C"/>
    <w:rsid w:val="00B22645"/>
    <w:rsid w:val="00B33B13"/>
    <w:rsid w:val="00B352E9"/>
    <w:rsid w:val="00B3631D"/>
    <w:rsid w:val="00B67B16"/>
    <w:rsid w:val="00B90D66"/>
    <w:rsid w:val="00B9727B"/>
    <w:rsid w:val="00BB2B79"/>
    <w:rsid w:val="00BD0AF7"/>
    <w:rsid w:val="00BF44DF"/>
    <w:rsid w:val="00C03F27"/>
    <w:rsid w:val="00C44747"/>
    <w:rsid w:val="00C46353"/>
    <w:rsid w:val="00C64514"/>
    <w:rsid w:val="00C75FDA"/>
    <w:rsid w:val="00C814A1"/>
    <w:rsid w:val="00C951E8"/>
    <w:rsid w:val="00CB2738"/>
    <w:rsid w:val="00CB277F"/>
    <w:rsid w:val="00CC4A79"/>
    <w:rsid w:val="00CC7E63"/>
    <w:rsid w:val="00CD5A11"/>
    <w:rsid w:val="00CE17E7"/>
    <w:rsid w:val="00D01548"/>
    <w:rsid w:val="00D054CB"/>
    <w:rsid w:val="00D4123E"/>
    <w:rsid w:val="00D500A0"/>
    <w:rsid w:val="00D61493"/>
    <w:rsid w:val="00D7400B"/>
    <w:rsid w:val="00DA6B55"/>
    <w:rsid w:val="00DD0D3B"/>
    <w:rsid w:val="00E169C2"/>
    <w:rsid w:val="00E34504"/>
    <w:rsid w:val="00E37190"/>
    <w:rsid w:val="00E55448"/>
    <w:rsid w:val="00E563CC"/>
    <w:rsid w:val="00E65FE5"/>
    <w:rsid w:val="00E7642B"/>
    <w:rsid w:val="00E92DFF"/>
    <w:rsid w:val="00EB5D25"/>
    <w:rsid w:val="00EC53C9"/>
    <w:rsid w:val="00EC6026"/>
    <w:rsid w:val="00EE3F8B"/>
    <w:rsid w:val="00EE51C1"/>
    <w:rsid w:val="00F16B4E"/>
    <w:rsid w:val="00F31D7C"/>
    <w:rsid w:val="00F83934"/>
    <w:rsid w:val="00FB2A98"/>
    <w:rsid w:val="00FD07B0"/>
    <w:rsid w:val="00FE3A40"/>
    <w:rsid w:val="0F151F29"/>
    <w:rsid w:val="1006846E"/>
    <w:rsid w:val="1DD5C33F"/>
    <w:rsid w:val="28EA8C79"/>
    <w:rsid w:val="3E7DBC43"/>
    <w:rsid w:val="4620D6FE"/>
    <w:rsid w:val="79C641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F9DA5"/>
  <w15:chartTrackingRefBased/>
  <w15:docId w15:val="{94BDB8BC-899A-4F26-9621-0ECDB870E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4" w:unhideWhenUsed="1" w:qFormat="1"/>
    <w:lsdException w:name="List Number 3" w:semiHidden="1" w:uiPriority="4"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4"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12 pt RECOMMENDED"/>
    <w:qFormat/>
    <w:rsid w:val="007E4689"/>
    <w:pPr>
      <w:spacing w:after="120" w:line="312" w:lineRule="auto"/>
    </w:pPr>
    <w:rPr>
      <w:color w:val="1A1A1A" w:themeColor="text1"/>
      <w:sz w:val="24"/>
    </w:rPr>
  </w:style>
  <w:style w:type="paragraph" w:styleId="Heading1">
    <w:name w:val="heading 1"/>
    <w:basedOn w:val="Normal"/>
    <w:next w:val="Normal"/>
    <w:link w:val="Heading1Char"/>
    <w:uiPriority w:val="9"/>
    <w:qFormat/>
    <w:rsid w:val="003146C7"/>
    <w:pPr>
      <w:keepNext/>
      <w:keepLines/>
      <w:spacing w:line="240" w:lineRule="auto"/>
      <w:outlineLvl w:val="0"/>
    </w:pPr>
    <w:rPr>
      <w:rFonts w:asciiTheme="majorHAnsi" w:eastAsiaTheme="majorEastAsia" w:hAnsiTheme="majorHAnsi" w:cstheme="majorBidi"/>
      <w:b/>
      <w:color w:val="003858" w:themeColor="accent2"/>
      <w:sz w:val="44"/>
      <w:szCs w:val="32"/>
    </w:rPr>
  </w:style>
  <w:style w:type="paragraph" w:styleId="Heading2">
    <w:name w:val="heading 2"/>
    <w:basedOn w:val="Normal"/>
    <w:next w:val="Normal"/>
    <w:link w:val="Heading2Char"/>
    <w:uiPriority w:val="9"/>
    <w:unhideWhenUsed/>
    <w:qFormat/>
    <w:rsid w:val="003146C7"/>
    <w:pPr>
      <w:keepNext/>
      <w:keepLines/>
      <w:spacing w:line="240" w:lineRule="auto"/>
      <w:outlineLvl w:val="1"/>
    </w:pPr>
    <w:rPr>
      <w:rFonts w:asciiTheme="majorHAnsi" w:eastAsiaTheme="majorEastAsia" w:hAnsiTheme="majorHAnsi" w:cstheme="majorBidi"/>
      <w:b/>
      <w:color w:val="003858" w:themeColor="accent2"/>
      <w:sz w:val="40"/>
      <w:szCs w:val="26"/>
    </w:rPr>
  </w:style>
  <w:style w:type="paragraph" w:styleId="Heading3">
    <w:name w:val="heading 3"/>
    <w:basedOn w:val="Normal"/>
    <w:next w:val="Normal"/>
    <w:link w:val="Heading3Char"/>
    <w:uiPriority w:val="9"/>
    <w:unhideWhenUsed/>
    <w:qFormat/>
    <w:rsid w:val="003146C7"/>
    <w:pPr>
      <w:keepNext/>
      <w:keepLines/>
      <w:spacing w:line="240" w:lineRule="auto"/>
      <w:outlineLvl w:val="2"/>
    </w:pPr>
    <w:rPr>
      <w:rFonts w:asciiTheme="majorHAnsi" w:eastAsiaTheme="majorEastAsia" w:hAnsiTheme="majorHAnsi" w:cstheme="majorBidi"/>
      <w:b/>
      <w:color w:val="003858" w:themeColor="accent2"/>
      <w:sz w:val="36"/>
      <w:szCs w:val="24"/>
    </w:rPr>
  </w:style>
  <w:style w:type="paragraph" w:styleId="Heading4">
    <w:name w:val="heading 4"/>
    <w:basedOn w:val="Normal"/>
    <w:next w:val="Normal"/>
    <w:link w:val="Heading4Char"/>
    <w:autoRedefine/>
    <w:uiPriority w:val="9"/>
    <w:unhideWhenUsed/>
    <w:qFormat/>
    <w:rsid w:val="003146C7"/>
    <w:pPr>
      <w:keepNext/>
      <w:keepLines/>
      <w:spacing w:line="240" w:lineRule="auto"/>
      <w:outlineLvl w:val="3"/>
    </w:pPr>
    <w:rPr>
      <w:rFonts w:asciiTheme="majorHAnsi" w:eastAsiaTheme="majorEastAsia" w:hAnsiTheme="majorHAnsi" w:cstheme="majorBidi"/>
      <w:b/>
      <w:iCs/>
      <w:color w:val="003858" w:themeColor="accent2"/>
      <w:sz w:val="32"/>
    </w:rPr>
  </w:style>
  <w:style w:type="paragraph" w:styleId="Heading5">
    <w:name w:val="heading 5"/>
    <w:basedOn w:val="Normal"/>
    <w:next w:val="Normal"/>
    <w:link w:val="Heading5Char"/>
    <w:uiPriority w:val="9"/>
    <w:unhideWhenUsed/>
    <w:qFormat/>
    <w:rsid w:val="003146C7"/>
    <w:pPr>
      <w:keepNext/>
      <w:keepLines/>
      <w:spacing w:line="240" w:lineRule="auto"/>
      <w:outlineLvl w:val="4"/>
    </w:pPr>
    <w:rPr>
      <w:rFonts w:asciiTheme="majorHAnsi" w:eastAsiaTheme="majorEastAsia" w:hAnsiTheme="majorHAnsi" w:cstheme="majorBidi"/>
      <w:b/>
      <w:color w:val="003858" w:themeColor="accent2"/>
      <w:sz w:val="28"/>
    </w:rPr>
  </w:style>
  <w:style w:type="paragraph" w:styleId="Heading6">
    <w:name w:val="heading 6"/>
    <w:basedOn w:val="Normal"/>
    <w:next w:val="Normal"/>
    <w:link w:val="Heading6Char"/>
    <w:autoRedefine/>
    <w:uiPriority w:val="9"/>
    <w:unhideWhenUsed/>
    <w:qFormat/>
    <w:rsid w:val="0059331B"/>
    <w:pPr>
      <w:keepNext/>
      <w:keepLines/>
      <w:spacing w:after="80" w:line="240" w:lineRule="auto"/>
      <w:outlineLvl w:val="5"/>
    </w:pPr>
    <w:rPr>
      <w:rFonts w:asciiTheme="majorHAnsi" w:eastAsiaTheme="majorEastAsia" w:hAnsiTheme="majorHAnsi" w:cstheme="majorBidi"/>
      <w:b/>
    </w:rPr>
  </w:style>
  <w:style w:type="paragraph" w:styleId="Heading7">
    <w:name w:val="heading 7"/>
    <w:basedOn w:val="Normal"/>
    <w:next w:val="Normal"/>
    <w:link w:val="Heading7Char"/>
    <w:uiPriority w:val="9"/>
    <w:unhideWhenUsed/>
    <w:rsid w:val="007E4689"/>
    <w:pPr>
      <w:keepNext/>
      <w:keepLines/>
      <w:spacing w:before="120"/>
      <w:outlineLvl w:val="6"/>
    </w:pPr>
    <w:rPr>
      <w:rFonts w:asciiTheme="majorHAnsi" w:eastAsiaTheme="majorEastAsia" w:hAnsiTheme="majorHAnsi" w:cstheme="majorBidi"/>
      <w:b/>
      <w:iCs/>
      <w:color w:val="692A0E" w:themeColor="accent1" w:themeShade="80"/>
      <w:sz w:val="32"/>
    </w:rPr>
  </w:style>
  <w:style w:type="paragraph" w:styleId="Heading8">
    <w:name w:val="heading 8"/>
    <w:basedOn w:val="Normal"/>
    <w:next w:val="Normal"/>
    <w:link w:val="Heading8Char"/>
    <w:uiPriority w:val="9"/>
    <w:unhideWhenUsed/>
    <w:rsid w:val="007E4689"/>
    <w:pPr>
      <w:keepNext/>
      <w:keepLines/>
      <w:spacing w:before="120"/>
      <w:outlineLvl w:val="7"/>
    </w:pPr>
    <w:rPr>
      <w:rFonts w:asciiTheme="majorHAnsi" w:eastAsiaTheme="majorEastAsia" w:hAnsiTheme="majorHAnsi" w:cstheme="majorBidi"/>
      <w:b/>
      <w:color w:val="692A0E" w:themeColor="accent1" w:themeShade="80"/>
      <w:sz w:val="28"/>
      <w:szCs w:val="21"/>
    </w:rPr>
  </w:style>
  <w:style w:type="paragraph" w:styleId="Heading9">
    <w:name w:val="heading 9"/>
    <w:basedOn w:val="Normal"/>
    <w:next w:val="Normal"/>
    <w:link w:val="Heading9Char"/>
    <w:uiPriority w:val="9"/>
    <w:unhideWhenUsed/>
    <w:rsid w:val="007E4689"/>
    <w:pPr>
      <w:keepNext/>
      <w:keepLines/>
      <w:spacing w:before="40" w:after="0"/>
      <w:outlineLvl w:val="8"/>
    </w:pPr>
    <w:rPr>
      <w:rFonts w:asciiTheme="majorHAnsi" w:eastAsiaTheme="majorEastAsia" w:hAnsiTheme="majorHAnsi" w:cstheme="majorBidi"/>
      <w:b/>
      <w:iCs/>
      <w:color w:val="692A0E" w:themeColor="accent1" w:themeShade="80"/>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635C51"/>
    <w:pPr>
      <w:autoSpaceDE w:val="0"/>
      <w:autoSpaceDN w:val="0"/>
      <w:adjustRightInd w:val="0"/>
      <w:spacing w:after="0" w:line="288" w:lineRule="auto"/>
      <w:textAlignment w:val="center"/>
    </w:pPr>
    <w:rPr>
      <w:rFonts w:ascii="MinionPro-Regular" w:hAnsi="MinionPro-Regular" w:cs="MinionPro-Regular"/>
      <w:color w:val="000000"/>
      <w:kern w:val="0"/>
      <w:szCs w:val="24"/>
      <w:lang w:val="en-US"/>
    </w:rPr>
  </w:style>
  <w:style w:type="paragraph" w:styleId="Title">
    <w:name w:val="Title"/>
    <w:next w:val="Heading1"/>
    <w:link w:val="TitleChar"/>
    <w:uiPriority w:val="10"/>
    <w:qFormat/>
    <w:rsid w:val="003146C7"/>
    <w:pPr>
      <w:spacing w:before="120" w:after="120" w:line="240" w:lineRule="auto"/>
      <w:contextualSpacing/>
    </w:pPr>
    <w:rPr>
      <w:rFonts w:asciiTheme="majorHAnsi" w:eastAsiaTheme="majorEastAsia" w:hAnsiTheme="majorHAnsi" w:cstheme="majorBidi"/>
      <w:b/>
      <w:color w:val="003858" w:themeColor="accent2"/>
      <w:spacing w:val="-10"/>
      <w:kern w:val="28"/>
      <w:sz w:val="52"/>
      <w:szCs w:val="56"/>
    </w:rPr>
  </w:style>
  <w:style w:type="character" w:customStyle="1" w:styleId="TitleChar">
    <w:name w:val="Title Char"/>
    <w:basedOn w:val="DefaultParagraphFont"/>
    <w:link w:val="Title"/>
    <w:uiPriority w:val="10"/>
    <w:rsid w:val="003146C7"/>
    <w:rPr>
      <w:rFonts w:asciiTheme="majorHAnsi" w:eastAsiaTheme="majorEastAsia" w:hAnsiTheme="majorHAnsi" w:cstheme="majorBidi"/>
      <w:b/>
      <w:color w:val="003858" w:themeColor="accent2"/>
      <w:spacing w:val="-10"/>
      <w:kern w:val="28"/>
      <w:sz w:val="52"/>
      <w:szCs w:val="56"/>
    </w:rPr>
  </w:style>
  <w:style w:type="paragraph" w:styleId="Subtitle">
    <w:name w:val="Subtitle"/>
    <w:basedOn w:val="Normal"/>
    <w:next w:val="Normal"/>
    <w:link w:val="SubtitleChar"/>
    <w:uiPriority w:val="11"/>
    <w:qFormat/>
    <w:rsid w:val="007E4689"/>
    <w:pPr>
      <w:numPr>
        <w:ilvl w:val="1"/>
      </w:numPr>
    </w:pPr>
    <w:rPr>
      <w:rFonts w:eastAsiaTheme="minorEastAsia"/>
      <w:b/>
      <w:sz w:val="28"/>
    </w:rPr>
  </w:style>
  <w:style w:type="character" w:customStyle="1" w:styleId="SubtitleChar">
    <w:name w:val="Subtitle Char"/>
    <w:basedOn w:val="DefaultParagraphFont"/>
    <w:link w:val="Subtitle"/>
    <w:uiPriority w:val="11"/>
    <w:rsid w:val="007E4689"/>
    <w:rPr>
      <w:rFonts w:eastAsiaTheme="minorEastAsia"/>
      <w:b/>
      <w:color w:val="1A1A1A" w:themeColor="text1"/>
      <w:sz w:val="28"/>
    </w:rPr>
  </w:style>
  <w:style w:type="paragraph" w:styleId="NoSpacing">
    <w:name w:val="No Spacing"/>
    <w:aliases w:val="Intro text"/>
    <w:uiPriority w:val="1"/>
    <w:qFormat/>
    <w:rsid w:val="007E4689"/>
    <w:pPr>
      <w:spacing w:before="120" w:after="240" w:line="240" w:lineRule="auto"/>
    </w:pPr>
    <w:rPr>
      <w:color w:val="1A1A1A" w:themeColor="text1"/>
      <w:sz w:val="32"/>
    </w:rPr>
  </w:style>
  <w:style w:type="character" w:customStyle="1" w:styleId="Heading1Char">
    <w:name w:val="Heading 1 Char"/>
    <w:basedOn w:val="DefaultParagraphFont"/>
    <w:link w:val="Heading1"/>
    <w:uiPriority w:val="9"/>
    <w:rsid w:val="003146C7"/>
    <w:rPr>
      <w:rFonts w:asciiTheme="majorHAnsi" w:eastAsiaTheme="majorEastAsia" w:hAnsiTheme="majorHAnsi" w:cstheme="majorBidi"/>
      <w:b/>
      <w:color w:val="003858" w:themeColor="accent2"/>
      <w:sz w:val="44"/>
      <w:szCs w:val="32"/>
    </w:rPr>
  </w:style>
  <w:style w:type="character" w:customStyle="1" w:styleId="Heading2Char">
    <w:name w:val="Heading 2 Char"/>
    <w:basedOn w:val="DefaultParagraphFont"/>
    <w:link w:val="Heading2"/>
    <w:uiPriority w:val="9"/>
    <w:rsid w:val="003146C7"/>
    <w:rPr>
      <w:rFonts w:asciiTheme="majorHAnsi" w:eastAsiaTheme="majorEastAsia" w:hAnsiTheme="majorHAnsi" w:cstheme="majorBidi"/>
      <w:b/>
      <w:color w:val="003858" w:themeColor="accent2"/>
      <w:sz w:val="40"/>
      <w:szCs w:val="26"/>
    </w:rPr>
  </w:style>
  <w:style w:type="paragraph" w:styleId="Caption">
    <w:name w:val="caption"/>
    <w:basedOn w:val="Normal"/>
    <w:next w:val="Normal"/>
    <w:uiPriority w:val="35"/>
    <w:unhideWhenUsed/>
    <w:qFormat/>
    <w:rsid w:val="0059331B"/>
    <w:pPr>
      <w:spacing w:line="240" w:lineRule="auto"/>
    </w:pPr>
    <w:rPr>
      <w:iCs/>
      <w:sz w:val="18"/>
      <w:szCs w:val="18"/>
    </w:rPr>
  </w:style>
  <w:style w:type="paragraph" w:customStyle="1" w:styleId="BulletsLevel1">
    <w:name w:val="Bullets Level 1"/>
    <w:basedOn w:val="Normal"/>
    <w:link w:val="BulletsLevel1Char"/>
    <w:rsid w:val="00512870"/>
    <w:pPr>
      <w:numPr>
        <w:numId w:val="14"/>
      </w:numPr>
      <w:tabs>
        <w:tab w:val="num" w:pos="926"/>
      </w:tabs>
      <w:spacing w:after="40"/>
      <w:ind w:left="720"/>
      <w:contextualSpacing/>
    </w:pPr>
  </w:style>
  <w:style w:type="table" w:styleId="TableGrid">
    <w:name w:val="Table Grid"/>
    <w:basedOn w:val="TableNormal"/>
    <w:uiPriority w:val="39"/>
    <w:rsid w:val="007E46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lletsLevel1Char">
    <w:name w:val="Bullets Level 1 Char"/>
    <w:basedOn w:val="DefaultParagraphFont"/>
    <w:link w:val="BulletsLevel1"/>
    <w:rsid w:val="00512870"/>
    <w:rPr>
      <w:color w:val="1A1A1A" w:themeColor="text1"/>
      <w:sz w:val="24"/>
    </w:rPr>
  </w:style>
  <w:style w:type="character" w:customStyle="1" w:styleId="Heading3Char">
    <w:name w:val="Heading 3 Char"/>
    <w:basedOn w:val="DefaultParagraphFont"/>
    <w:link w:val="Heading3"/>
    <w:uiPriority w:val="9"/>
    <w:rsid w:val="003146C7"/>
    <w:rPr>
      <w:rFonts w:asciiTheme="majorHAnsi" w:eastAsiaTheme="majorEastAsia" w:hAnsiTheme="majorHAnsi" w:cstheme="majorBidi"/>
      <w:b/>
      <w:color w:val="003858" w:themeColor="accent2"/>
      <w:sz w:val="36"/>
      <w:szCs w:val="24"/>
    </w:rPr>
  </w:style>
  <w:style w:type="character" w:customStyle="1" w:styleId="Heading6Char">
    <w:name w:val="Heading 6 Char"/>
    <w:basedOn w:val="DefaultParagraphFont"/>
    <w:link w:val="Heading6"/>
    <w:uiPriority w:val="9"/>
    <w:rsid w:val="0059331B"/>
    <w:rPr>
      <w:rFonts w:asciiTheme="majorHAnsi" w:eastAsiaTheme="majorEastAsia" w:hAnsiTheme="majorHAnsi" w:cstheme="majorBidi"/>
      <w:b/>
      <w:color w:val="1A1A1A" w:themeColor="text1"/>
      <w:sz w:val="24"/>
    </w:rPr>
  </w:style>
  <w:style w:type="table" w:styleId="GridTable4">
    <w:name w:val="Grid Table 4"/>
    <w:basedOn w:val="TableNormal"/>
    <w:uiPriority w:val="49"/>
    <w:rsid w:val="007E4689"/>
    <w:pPr>
      <w:spacing w:after="0" w:line="240" w:lineRule="auto"/>
    </w:pPr>
    <w:tblPr>
      <w:tblStyleRowBandSize w:val="1"/>
      <w:tblStyleColBandSize w:val="1"/>
      <w:tblBorders>
        <w:top w:val="single" w:sz="4" w:space="0" w:color="757575" w:themeColor="text1" w:themeTint="99"/>
        <w:left w:val="single" w:sz="4" w:space="0" w:color="757575" w:themeColor="text1" w:themeTint="99"/>
        <w:bottom w:val="single" w:sz="4" w:space="0" w:color="757575" w:themeColor="text1" w:themeTint="99"/>
        <w:right w:val="single" w:sz="4" w:space="0" w:color="757575" w:themeColor="text1" w:themeTint="99"/>
        <w:insideH w:val="single" w:sz="4" w:space="0" w:color="757575" w:themeColor="text1" w:themeTint="99"/>
        <w:insideV w:val="single" w:sz="4" w:space="0" w:color="757575" w:themeColor="text1" w:themeTint="99"/>
      </w:tblBorders>
    </w:tblPr>
    <w:tblStylePr w:type="firstRow">
      <w:rPr>
        <w:b/>
        <w:bCs/>
        <w:color w:val="FFFFFF" w:themeColor="background1"/>
      </w:rPr>
      <w:tblPr/>
      <w:tcPr>
        <w:tcBorders>
          <w:top w:val="single" w:sz="4" w:space="0" w:color="1A1A1A" w:themeColor="text1"/>
          <w:left w:val="single" w:sz="4" w:space="0" w:color="1A1A1A" w:themeColor="text1"/>
          <w:bottom w:val="single" w:sz="4" w:space="0" w:color="1A1A1A" w:themeColor="text1"/>
          <w:right w:val="single" w:sz="4" w:space="0" w:color="1A1A1A" w:themeColor="text1"/>
          <w:insideH w:val="nil"/>
          <w:insideV w:val="nil"/>
        </w:tcBorders>
        <w:shd w:val="clear" w:color="auto" w:fill="1A1A1A" w:themeFill="text1"/>
      </w:tcPr>
    </w:tblStylePr>
    <w:tblStylePr w:type="lastRow">
      <w:rPr>
        <w:b/>
        <w:bCs/>
      </w:rPr>
      <w:tblPr/>
      <w:tcPr>
        <w:tcBorders>
          <w:top w:val="double" w:sz="4" w:space="0" w:color="1A1A1A" w:themeColor="text1"/>
        </w:tcBorders>
      </w:tcPr>
    </w:tblStylePr>
    <w:tblStylePr w:type="firstCol">
      <w:rPr>
        <w:b/>
        <w:bCs/>
      </w:rPr>
    </w:tblStylePr>
    <w:tblStylePr w:type="lastCol">
      <w:rPr>
        <w:b/>
        <w:bCs/>
      </w:rPr>
    </w:tblStylePr>
    <w:tblStylePr w:type="band1Vert">
      <w:tblPr/>
      <w:tcPr>
        <w:shd w:val="clear" w:color="auto" w:fill="D1D1D1" w:themeFill="text1" w:themeFillTint="33"/>
      </w:tcPr>
    </w:tblStylePr>
    <w:tblStylePr w:type="band1Horz">
      <w:tblPr/>
      <w:tcPr>
        <w:shd w:val="clear" w:color="auto" w:fill="D1D1D1" w:themeFill="text1" w:themeFillTint="33"/>
      </w:tcPr>
    </w:tblStylePr>
  </w:style>
  <w:style w:type="paragraph" w:customStyle="1" w:styleId="Bulletlevel2">
    <w:name w:val="Bullet level 2"/>
    <w:basedOn w:val="BulletsLevel1"/>
    <w:link w:val="Bulletlevel2Char"/>
    <w:rsid w:val="002B3394"/>
    <w:pPr>
      <w:numPr>
        <w:ilvl w:val="1"/>
        <w:numId w:val="15"/>
      </w:numPr>
      <w:ind w:left="1135" w:hanging="284"/>
    </w:pPr>
  </w:style>
  <w:style w:type="character" w:customStyle="1" w:styleId="Bulletlevel2Char">
    <w:name w:val="Bullet level 2 Char"/>
    <w:basedOn w:val="BulletsLevel1Char"/>
    <w:link w:val="Bulletlevel2"/>
    <w:rsid w:val="002B3394"/>
    <w:rPr>
      <w:color w:val="1A1A1A" w:themeColor="text1"/>
      <w:sz w:val="24"/>
    </w:rPr>
  </w:style>
  <w:style w:type="character" w:customStyle="1" w:styleId="Heading4Char">
    <w:name w:val="Heading 4 Char"/>
    <w:basedOn w:val="DefaultParagraphFont"/>
    <w:link w:val="Heading4"/>
    <w:uiPriority w:val="9"/>
    <w:rsid w:val="003146C7"/>
    <w:rPr>
      <w:rFonts w:asciiTheme="majorHAnsi" w:eastAsiaTheme="majorEastAsia" w:hAnsiTheme="majorHAnsi" w:cstheme="majorBidi"/>
      <w:b/>
      <w:iCs/>
      <w:color w:val="003858" w:themeColor="accent2"/>
      <w:sz w:val="32"/>
    </w:rPr>
  </w:style>
  <w:style w:type="character" w:customStyle="1" w:styleId="Heading5Char">
    <w:name w:val="Heading 5 Char"/>
    <w:basedOn w:val="DefaultParagraphFont"/>
    <w:link w:val="Heading5"/>
    <w:uiPriority w:val="9"/>
    <w:rsid w:val="003146C7"/>
    <w:rPr>
      <w:rFonts w:asciiTheme="majorHAnsi" w:eastAsiaTheme="majorEastAsia" w:hAnsiTheme="majorHAnsi" w:cstheme="majorBidi"/>
      <w:b/>
      <w:color w:val="003858" w:themeColor="accent2"/>
      <w:sz w:val="28"/>
    </w:rPr>
  </w:style>
  <w:style w:type="character" w:styleId="SubtleReference">
    <w:name w:val="Subtle Reference"/>
    <w:basedOn w:val="DefaultParagraphFont"/>
    <w:uiPriority w:val="31"/>
    <w:rsid w:val="007E4689"/>
    <w:rPr>
      <w:rFonts w:asciiTheme="minorHAnsi" w:hAnsiTheme="minorHAnsi"/>
      <w:smallCaps/>
      <w:color w:val="404040" w:themeColor="background2" w:themeShade="40"/>
      <w:sz w:val="24"/>
    </w:rPr>
  </w:style>
  <w:style w:type="paragraph" w:customStyle="1" w:styleId="Tableheadingwhite">
    <w:name w:val="Table heading white"/>
    <w:basedOn w:val="Normal"/>
    <w:link w:val="TableheadingwhiteChar"/>
    <w:autoRedefine/>
    <w:qFormat/>
    <w:rsid w:val="007E4689"/>
    <w:pPr>
      <w:spacing w:after="40" w:line="240" w:lineRule="auto"/>
    </w:pPr>
    <w:rPr>
      <w:rFonts w:asciiTheme="majorHAnsi" w:hAnsiTheme="majorHAnsi"/>
      <w:b/>
      <w:bCs/>
      <w:color w:val="FFFFFF" w:themeColor="background1"/>
      <w:sz w:val="20"/>
    </w:rPr>
  </w:style>
  <w:style w:type="character" w:customStyle="1" w:styleId="TableheadingwhiteChar">
    <w:name w:val="Table heading white Char"/>
    <w:basedOn w:val="DefaultParagraphFont"/>
    <w:link w:val="Tableheadingwhite"/>
    <w:rsid w:val="007E4689"/>
    <w:rPr>
      <w:rFonts w:asciiTheme="majorHAnsi" w:hAnsiTheme="majorHAnsi"/>
      <w:b/>
      <w:bCs/>
      <w:color w:val="FFFFFF" w:themeColor="background1"/>
      <w:sz w:val="20"/>
    </w:rPr>
  </w:style>
  <w:style w:type="paragraph" w:customStyle="1" w:styleId="Tablecopy">
    <w:name w:val="Table copy"/>
    <w:next w:val="Normal"/>
    <w:link w:val="TablecopyChar"/>
    <w:autoRedefine/>
    <w:qFormat/>
    <w:rsid w:val="007E4689"/>
    <w:pPr>
      <w:spacing w:after="40" w:line="240" w:lineRule="auto"/>
    </w:pPr>
    <w:rPr>
      <w:color w:val="1A1A1A" w:themeColor="text1"/>
      <w:sz w:val="20"/>
    </w:rPr>
  </w:style>
  <w:style w:type="character" w:customStyle="1" w:styleId="TablecopyChar">
    <w:name w:val="Table copy Char"/>
    <w:basedOn w:val="DefaultParagraphFont"/>
    <w:link w:val="Tablecopy"/>
    <w:rsid w:val="007E4689"/>
    <w:rPr>
      <w:color w:val="1A1A1A" w:themeColor="text1"/>
      <w:sz w:val="20"/>
    </w:rPr>
  </w:style>
  <w:style w:type="paragraph" w:styleId="Header">
    <w:name w:val="header"/>
    <w:link w:val="HeaderChar"/>
    <w:autoRedefine/>
    <w:uiPriority w:val="99"/>
    <w:unhideWhenUsed/>
    <w:qFormat/>
    <w:rsid w:val="0059331B"/>
    <w:pPr>
      <w:tabs>
        <w:tab w:val="center" w:pos="4513"/>
        <w:tab w:val="right" w:pos="9026"/>
      </w:tabs>
      <w:spacing w:after="0" w:line="240" w:lineRule="auto"/>
    </w:pPr>
    <w:rPr>
      <w:color w:val="1A1A1A" w:themeColor="text1"/>
      <w:sz w:val="16"/>
    </w:rPr>
  </w:style>
  <w:style w:type="character" w:customStyle="1" w:styleId="HeaderChar">
    <w:name w:val="Header Char"/>
    <w:basedOn w:val="DefaultParagraphFont"/>
    <w:link w:val="Header"/>
    <w:uiPriority w:val="99"/>
    <w:rsid w:val="0059331B"/>
    <w:rPr>
      <w:color w:val="1A1A1A" w:themeColor="text1"/>
      <w:sz w:val="16"/>
    </w:rPr>
  </w:style>
  <w:style w:type="paragraph" w:styleId="Footer">
    <w:name w:val="footer"/>
    <w:basedOn w:val="Normal"/>
    <w:link w:val="FooterChar"/>
    <w:uiPriority w:val="99"/>
    <w:unhideWhenUsed/>
    <w:qFormat/>
    <w:rsid w:val="007E4689"/>
    <w:pPr>
      <w:tabs>
        <w:tab w:val="center" w:pos="4513"/>
        <w:tab w:val="right" w:pos="9026"/>
      </w:tabs>
      <w:spacing w:after="0" w:line="240" w:lineRule="auto"/>
    </w:pPr>
    <w:rPr>
      <w:sz w:val="16"/>
    </w:rPr>
  </w:style>
  <w:style w:type="character" w:customStyle="1" w:styleId="FooterChar">
    <w:name w:val="Footer Char"/>
    <w:basedOn w:val="DefaultParagraphFont"/>
    <w:link w:val="Footer"/>
    <w:uiPriority w:val="99"/>
    <w:rsid w:val="007E4689"/>
    <w:rPr>
      <w:color w:val="1A1A1A" w:themeColor="text1"/>
      <w:sz w:val="16"/>
    </w:rPr>
  </w:style>
  <w:style w:type="paragraph" w:styleId="TOC1">
    <w:name w:val="toc 1"/>
    <w:basedOn w:val="Normal"/>
    <w:next w:val="Normal"/>
    <w:uiPriority w:val="39"/>
    <w:unhideWhenUsed/>
    <w:qFormat/>
    <w:rsid w:val="007E4689"/>
  </w:style>
  <w:style w:type="paragraph" w:styleId="TOC2">
    <w:name w:val="toc 2"/>
    <w:next w:val="Normal"/>
    <w:autoRedefine/>
    <w:uiPriority w:val="39"/>
    <w:unhideWhenUsed/>
    <w:rsid w:val="007E4689"/>
    <w:pPr>
      <w:spacing w:after="120" w:line="312" w:lineRule="auto"/>
      <w:ind w:left="284"/>
    </w:pPr>
    <w:rPr>
      <w:color w:val="1A1A1A" w:themeColor="text1"/>
      <w:sz w:val="24"/>
    </w:rPr>
  </w:style>
  <w:style w:type="paragraph" w:styleId="TOC3">
    <w:name w:val="toc 3"/>
    <w:next w:val="Normal"/>
    <w:autoRedefine/>
    <w:uiPriority w:val="39"/>
    <w:unhideWhenUsed/>
    <w:rsid w:val="007E4689"/>
    <w:pPr>
      <w:spacing w:after="120" w:line="312" w:lineRule="auto"/>
      <w:ind w:left="567"/>
    </w:pPr>
    <w:rPr>
      <w:color w:val="1A1A1A" w:themeColor="text1"/>
      <w:sz w:val="24"/>
    </w:rPr>
  </w:style>
  <w:style w:type="character" w:styleId="Hyperlink">
    <w:name w:val="Hyperlink"/>
    <w:basedOn w:val="DefaultParagraphFont"/>
    <w:uiPriority w:val="99"/>
    <w:unhideWhenUsed/>
    <w:rsid w:val="003146C7"/>
    <w:rPr>
      <w:color w:val="003858" w:themeColor="accent2"/>
      <w:u w:val="single"/>
    </w:rPr>
  </w:style>
  <w:style w:type="character" w:styleId="BookTitle">
    <w:name w:val="Book Title"/>
    <w:basedOn w:val="DefaultParagraphFont"/>
    <w:uiPriority w:val="33"/>
    <w:rsid w:val="007E4689"/>
    <w:rPr>
      <w:rFonts w:asciiTheme="minorHAnsi" w:hAnsiTheme="minorHAnsi"/>
      <w:b w:val="0"/>
      <w:bCs/>
      <w:i w:val="0"/>
      <w:iCs/>
      <w:spacing w:val="5"/>
      <w:sz w:val="24"/>
    </w:rPr>
  </w:style>
  <w:style w:type="paragraph" w:customStyle="1" w:styleId="BulletL1">
    <w:name w:val="Bullet L1"/>
    <w:link w:val="BulletL1Char"/>
    <w:qFormat/>
    <w:rsid w:val="00DA6B55"/>
    <w:pPr>
      <w:numPr>
        <w:numId w:val="11"/>
      </w:numPr>
      <w:spacing w:after="80" w:line="312" w:lineRule="auto"/>
      <w:ind w:left="568" w:hanging="284"/>
      <w:contextualSpacing/>
    </w:pPr>
    <w:rPr>
      <w:color w:val="1A1A1A" w:themeColor="text1"/>
      <w:sz w:val="24"/>
    </w:rPr>
  </w:style>
  <w:style w:type="character" w:customStyle="1" w:styleId="BulletL1Char">
    <w:name w:val="Bullet L1 Char"/>
    <w:basedOn w:val="DefaultParagraphFont"/>
    <w:link w:val="BulletL1"/>
    <w:rsid w:val="00DA6B55"/>
    <w:rPr>
      <w:color w:val="1A1A1A" w:themeColor="text1"/>
      <w:sz w:val="24"/>
    </w:rPr>
  </w:style>
  <w:style w:type="paragraph" w:customStyle="1" w:styleId="BulletL2">
    <w:name w:val="Bullet L2"/>
    <w:link w:val="BulletL2Char"/>
    <w:autoRedefine/>
    <w:qFormat/>
    <w:rsid w:val="001B3E6E"/>
    <w:pPr>
      <w:numPr>
        <w:numId w:val="8"/>
      </w:numPr>
      <w:spacing w:after="80" w:line="312" w:lineRule="auto"/>
      <w:ind w:left="851" w:hanging="284"/>
    </w:pPr>
    <w:rPr>
      <w:color w:val="1A1A1A" w:themeColor="text1"/>
      <w:sz w:val="24"/>
    </w:rPr>
  </w:style>
  <w:style w:type="character" w:customStyle="1" w:styleId="BulletL2Char">
    <w:name w:val="Bullet L2 Char"/>
    <w:basedOn w:val="BulletL1Char"/>
    <w:link w:val="BulletL2"/>
    <w:rsid w:val="001B3E6E"/>
    <w:rPr>
      <w:color w:val="1A1A1A" w:themeColor="text1"/>
      <w:sz w:val="24"/>
    </w:rPr>
  </w:style>
  <w:style w:type="paragraph" w:customStyle="1" w:styleId="BulletL3">
    <w:name w:val="Bullet L3"/>
    <w:basedOn w:val="BulletL1"/>
    <w:autoRedefine/>
    <w:rsid w:val="00DA6B55"/>
    <w:pPr>
      <w:numPr>
        <w:numId w:val="16"/>
      </w:numPr>
      <w:ind w:left="1078" w:hanging="227"/>
    </w:pPr>
  </w:style>
  <w:style w:type="character" w:styleId="Emphasis">
    <w:name w:val="Emphasis"/>
    <w:basedOn w:val="DefaultParagraphFont"/>
    <w:uiPriority w:val="20"/>
    <w:rsid w:val="007E4689"/>
    <w:rPr>
      <w:rFonts w:asciiTheme="minorHAnsi" w:hAnsiTheme="minorHAnsi"/>
      <w:b w:val="0"/>
      <w:i w:val="0"/>
      <w:iCs/>
      <w:sz w:val="28"/>
    </w:rPr>
  </w:style>
  <w:style w:type="character" w:styleId="EndnoteReference">
    <w:name w:val="endnote reference"/>
    <w:basedOn w:val="DefaultParagraphFont"/>
    <w:uiPriority w:val="99"/>
    <w:semiHidden/>
    <w:unhideWhenUsed/>
    <w:rsid w:val="007E4689"/>
    <w:rPr>
      <w:vertAlign w:val="superscript"/>
    </w:rPr>
  </w:style>
  <w:style w:type="character" w:styleId="FollowedHyperlink">
    <w:name w:val="FollowedHyperlink"/>
    <w:basedOn w:val="DefaultParagraphFont"/>
    <w:uiPriority w:val="99"/>
    <w:semiHidden/>
    <w:unhideWhenUsed/>
    <w:rsid w:val="007E4689"/>
    <w:rPr>
      <w:color w:val="1A1A1A" w:themeColor="followedHyperlink"/>
      <w:u w:val="single"/>
    </w:rPr>
  </w:style>
  <w:style w:type="paragraph" w:customStyle="1" w:styleId="FooterDepartmentdivisionunitnameCover">
    <w:name w:val="Footer Department/division/unit name (Cover)"/>
    <w:qFormat/>
    <w:rsid w:val="007E4689"/>
    <w:pPr>
      <w:spacing w:after="0" w:line="240" w:lineRule="auto"/>
    </w:pPr>
    <w:rPr>
      <w:rFonts w:asciiTheme="majorHAnsi" w:eastAsiaTheme="majorEastAsia" w:hAnsiTheme="majorHAnsi" w:cstheme="majorBidi"/>
      <w:b/>
      <w:iCs/>
      <w:noProof/>
      <w:color w:val="1A1A1A" w:themeColor="text1"/>
      <w:sz w:val="20"/>
    </w:rPr>
  </w:style>
  <w:style w:type="character" w:styleId="FootnoteReference">
    <w:name w:val="footnote reference"/>
    <w:basedOn w:val="DefaultParagraphFont"/>
    <w:uiPriority w:val="99"/>
    <w:unhideWhenUsed/>
    <w:qFormat/>
    <w:rsid w:val="007E4689"/>
    <w:rPr>
      <w:rFonts w:asciiTheme="minorHAnsi" w:hAnsiTheme="minorHAnsi"/>
      <w:color w:val="1A1A1A" w:themeColor="text1"/>
      <w:sz w:val="16"/>
      <w:szCs w:val="20"/>
      <w:vertAlign w:val="superscript"/>
    </w:rPr>
  </w:style>
  <w:style w:type="paragraph" w:styleId="FootnoteText">
    <w:name w:val="footnote text"/>
    <w:basedOn w:val="Normal"/>
    <w:link w:val="FootnoteTextChar"/>
    <w:uiPriority w:val="99"/>
    <w:semiHidden/>
    <w:unhideWhenUsed/>
    <w:rsid w:val="007E468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E4689"/>
    <w:rPr>
      <w:color w:val="1A1A1A" w:themeColor="text1"/>
      <w:sz w:val="20"/>
      <w:szCs w:val="20"/>
    </w:rPr>
  </w:style>
  <w:style w:type="table" w:styleId="GridTable2">
    <w:name w:val="Grid Table 2"/>
    <w:basedOn w:val="TableNormal"/>
    <w:uiPriority w:val="47"/>
    <w:rsid w:val="007E4689"/>
    <w:pPr>
      <w:spacing w:after="0" w:line="240" w:lineRule="auto"/>
    </w:pPr>
    <w:tblPr>
      <w:tblStyleRowBandSize w:val="1"/>
      <w:tblStyleColBandSize w:val="1"/>
      <w:tblBorders>
        <w:top w:val="single" w:sz="2" w:space="0" w:color="757575" w:themeColor="text1" w:themeTint="99"/>
        <w:bottom w:val="single" w:sz="2" w:space="0" w:color="757575" w:themeColor="text1" w:themeTint="99"/>
        <w:insideH w:val="single" w:sz="2" w:space="0" w:color="757575" w:themeColor="text1" w:themeTint="99"/>
        <w:insideV w:val="single" w:sz="2" w:space="0" w:color="757575" w:themeColor="text1" w:themeTint="99"/>
      </w:tblBorders>
    </w:tblPr>
    <w:tblStylePr w:type="firstRow">
      <w:rPr>
        <w:b/>
        <w:bCs/>
      </w:rPr>
      <w:tblPr/>
      <w:tcPr>
        <w:tcBorders>
          <w:top w:val="nil"/>
          <w:bottom w:val="single" w:sz="12" w:space="0" w:color="757575" w:themeColor="text1" w:themeTint="99"/>
          <w:insideH w:val="nil"/>
          <w:insideV w:val="nil"/>
        </w:tcBorders>
        <w:shd w:val="clear" w:color="auto" w:fill="FFFFFF" w:themeFill="background1"/>
      </w:tcPr>
    </w:tblStylePr>
    <w:tblStylePr w:type="lastRow">
      <w:rPr>
        <w:b/>
        <w:bCs/>
      </w:rPr>
      <w:tblPr/>
      <w:tcPr>
        <w:tcBorders>
          <w:top w:val="double" w:sz="2" w:space="0" w:color="757575"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D1D1" w:themeFill="text1" w:themeFillTint="33"/>
      </w:tcPr>
    </w:tblStylePr>
    <w:tblStylePr w:type="band1Horz">
      <w:tblPr/>
      <w:tcPr>
        <w:shd w:val="clear" w:color="auto" w:fill="D1D1D1" w:themeFill="text1" w:themeFillTint="33"/>
      </w:tcPr>
    </w:tblStylePr>
  </w:style>
  <w:style w:type="character" w:customStyle="1" w:styleId="Heading7Char">
    <w:name w:val="Heading 7 Char"/>
    <w:basedOn w:val="DefaultParagraphFont"/>
    <w:link w:val="Heading7"/>
    <w:uiPriority w:val="9"/>
    <w:rsid w:val="007E4689"/>
    <w:rPr>
      <w:rFonts w:asciiTheme="majorHAnsi" w:eastAsiaTheme="majorEastAsia" w:hAnsiTheme="majorHAnsi" w:cstheme="majorBidi"/>
      <w:b/>
      <w:iCs/>
      <w:color w:val="692A0E" w:themeColor="accent1" w:themeShade="80"/>
      <w:sz w:val="32"/>
    </w:rPr>
  </w:style>
  <w:style w:type="character" w:customStyle="1" w:styleId="Heading8Char">
    <w:name w:val="Heading 8 Char"/>
    <w:basedOn w:val="DefaultParagraphFont"/>
    <w:link w:val="Heading8"/>
    <w:uiPriority w:val="9"/>
    <w:rsid w:val="007E4689"/>
    <w:rPr>
      <w:rFonts w:asciiTheme="majorHAnsi" w:eastAsiaTheme="majorEastAsia" w:hAnsiTheme="majorHAnsi" w:cstheme="majorBidi"/>
      <w:b/>
      <w:color w:val="692A0E" w:themeColor="accent1" w:themeShade="80"/>
      <w:sz w:val="28"/>
      <w:szCs w:val="21"/>
    </w:rPr>
  </w:style>
  <w:style w:type="character" w:customStyle="1" w:styleId="Heading9Char">
    <w:name w:val="Heading 9 Char"/>
    <w:basedOn w:val="DefaultParagraphFont"/>
    <w:link w:val="Heading9"/>
    <w:uiPriority w:val="9"/>
    <w:rsid w:val="007E4689"/>
    <w:rPr>
      <w:rFonts w:asciiTheme="majorHAnsi" w:eastAsiaTheme="majorEastAsia" w:hAnsiTheme="majorHAnsi" w:cstheme="majorBidi"/>
      <w:b/>
      <w:iCs/>
      <w:color w:val="692A0E" w:themeColor="accent1" w:themeShade="80"/>
      <w:sz w:val="24"/>
      <w:szCs w:val="21"/>
    </w:rPr>
  </w:style>
  <w:style w:type="character" w:customStyle="1" w:styleId="InstructionalRed">
    <w:name w:val="Instructional Red"/>
    <w:basedOn w:val="DefaultParagraphFont"/>
    <w:uiPriority w:val="1"/>
    <w:qFormat/>
    <w:rsid w:val="007E4689"/>
    <w:rPr>
      <w:rFonts w:asciiTheme="minorHAnsi" w:hAnsiTheme="minorHAnsi"/>
      <w:color w:val="001B2C" w:themeColor="accent2" w:themeShade="80"/>
      <w:sz w:val="24"/>
    </w:rPr>
  </w:style>
  <w:style w:type="character" w:styleId="IntenseEmphasis">
    <w:name w:val="Intense Emphasis"/>
    <w:basedOn w:val="DefaultParagraphFont"/>
    <w:uiPriority w:val="21"/>
    <w:rsid w:val="007E4689"/>
    <w:rPr>
      <w:rFonts w:asciiTheme="minorHAnsi" w:hAnsiTheme="minorHAnsi"/>
      <w:b w:val="0"/>
      <w:i w:val="0"/>
      <w:iCs/>
      <w:color w:val="692A0E" w:themeColor="accent1" w:themeShade="80"/>
      <w:sz w:val="28"/>
    </w:rPr>
  </w:style>
  <w:style w:type="paragraph" w:styleId="IntenseQuote">
    <w:name w:val="Intense Quote"/>
    <w:basedOn w:val="Normal"/>
    <w:next w:val="Normal"/>
    <w:link w:val="IntenseQuoteChar"/>
    <w:uiPriority w:val="30"/>
    <w:rsid w:val="007E4689"/>
    <w:pPr>
      <w:pBdr>
        <w:top w:val="single" w:sz="4" w:space="6" w:color="D3551D" w:themeColor="accent1"/>
        <w:bottom w:val="single" w:sz="4" w:space="6" w:color="D3551D" w:themeColor="accent1"/>
      </w:pBdr>
      <w:spacing w:before="240" w:after="240"/>
      <w:ind w:left="851" w:right="851"/>
    </w:pPr>
    <w:rPr>
      <w:iCs/>
      <w:color w:val="692A0E" w:themeColor="accent1" w:themeShade="80"/>
    </w:rPr>
  </w:style>
  <w:style w:type="character" w:customStyle="1" w:styleId="IntenseQuoteChar">
    <w:name w:val="Intense Quote Char"/>
    <w:basedOn w:val="DefaultParagraphFont"/>
    <w:link w:val="IntenseQuote"/>
    <w:uiPriority w:val="30"/>
    <w:rsid w:val="007E4689"/>
    <w:rPr>
      <w:iCs/>
      <w:color w:val="692A0E" w:themeColor="accent1" w:themeShade="80"/>
      <w:sz w:val="24"/>
    </w:rPr>
  </w:style>
  <w:style w:type="character" w:styleId="IntenseReference">
    <w:name w:val="Intense Reference"/>
    <w:basedOn w:val="DefaultParagraphFont"/>
    <w:uiPriority w:val="32"/>
    <w:rsid w:val="007E4689"/>
    <w:rPr>
      <w:rFonts w:asciiTheme="minorHAnsi" w:hAnsiTheme="minorHAnsi"/>
      <w:b w:val="0"/>
      <w:bCs/>
      <w:smallCaps/>
      <w:color w:val="692A0E" w:themeColor="accent1" w:themeShade="80"/>
      <w:spacing w:val="5"/>
      <w:sz w:val="24"/>
    </w:rPr>
  </w:style>
  <w:style w:type="paragraph" w:styleId="ListContinue">
    <w:name w:val="List Continue"/>
    <w:basedOn w:val="Normal"/>
    <w:uiPriority w:val="4"/>
    <w:qFormat/>
    <w:rsid w:val="007E4689"/>
    <w:pPr>
      <w:spacing w:line="288" w:lineRule="auto"/>
      <w:ind w:left="284"/>
      <w:contextualSpacing/>
    </w:pPr>
    <w:rPr>
      <w:color w:val="auto"/>
      <w:spacing w:val="-2"/>
      <w:kern w:val="0"/>
      <w:sz w:val="22"/>
      <w14:ligatures w14:val="none"/>
    </w:rPr>
  </w:style>
  <w:style w:type="paragraph" w:styleId="ListNumber2">
    <w:name w:val="List Number 2"/>
    <w:aliases w:val="List Number L2"/>
    <w:basedOn w:val="Normal"/>
    <w:autoRedefine/>
    <w:uiPriority w:val="4"/>
    <w:qFormat/>
    <w:rsid w:val="00DA6B55"/>
    <w:pPr>
      <w:numPr>
        <w:ilvl w:val="1"/>
        <w:numId w:val="5"/>
      </w:numPr>
      <w:ind w:left="1134" w:hanging="567"/>
      <w:contextualSpacing/>
    </w:pPr>
    <w:rPr>
      <w:color w:val="auto"/>
      <w:spacing w:val="-2"/>
      <w:kern w:val="0"/>
      <w14:ligatures w14:val="none"/>
    </w:rPr>
  </w:style>
  <w:style w:type="paragraph" w:styleId="ListNumber3">
    <w:name w:val="List Number 3"/>
    <w:aliases w:val="List Number L3"/>
    <w:basedOn w:val="Normal"/>
    <w:uiPriority w:val="4"/>
    <w:qFormat/>
    <w:rsid w:val="00DA6B55"/>
    <w:pPr>
      <w:numPr>
        <w:ilvl w:val="2"/>
        <w:numId w:val="5"/>
      </w:numPr>
      <w:ind w:left="1985" w:hanging="851"/>
      <w:contextualSpacing/>
    </w:pPr>
    <w:rPr>
      <w:color w:val="auto"/>
      <w:spacing w:val="-2"/>
      <w:kern w:val="0"/>
      <w14:ligatures w14:val="none"/>
    </w:rPr>
  </w:style>
  <w:style w:type="paragraph" w:styleId="ListNumber">
    <w:name w:val="List Number"/>
    <w:aliases w:val="List Number L1"/>
    <w:basedOn w:val="Normal"/>
    <w:next w:val="ListContinue"/>
    <w:uiPriority w:val="4"/>
    <w:qFormat/>
    <w:rsid w:val="00DA6B55"/>
    <w:pPr>
      <w:numPr>
        <w:numId w:val="5"/>
      </w:numPr>
      <w:ind w:left="568" w:hanging="284"/>
    </w:pPr>
    <w:rPr>
      <w:color w:val="auto"/>
      <w:spacing w:val="-2"/>
      <w:kern w:val="0"/>
      <w14:ligatures w14:val="none"/>
    </w:rPr>
  </w:style>
  <w:style w:type="paragraph" w:styleId="ListParagraph">
    <w:name w:val="List Paragraph"/>
    <w:basedOn w:val="Normal"/>
    <w:uiPriority w:val="34"/>
    <w:qFormat/>
    <w:rsid w:val="007E4689"/>
    <w:pPr>
      <w:ind w:left="720"/>
      <w:contextualSpacing/>
    </w:pPr>
    <w:rPr>
      <w:color w:val="auto"/>
      <w:sz w:val="22"/>
    </w:rPr>
  </w:style>
  <w:style w:type="table" w:styleId="ListTable3">
    <w:name w:val="List Table 3"/>
    <w:basedOn w:val="TableNormal"/>
    <w:uiPriority w:val="48"/>
    <w:rsid w:val="007E4689"/>
    <w:pPr>
      <w:spacing w:after="0" w:line="240" w:lineRule="auto"/>
    </w:pPr>
    <w:tblPr>
      <w:tblStyleRowBandSize w:val="1"/>
      <w:tblStyleColBandSize w:val="1"/>
      <w:tblBorders>
        <w:top w:val="single" w:sz="4" w:space="0" w:color="1A1A1A" w:themeColor="text1"/>
        <w:left w:val="single" w:sz="4" w:space="0" w:color="1A1A1A" w:themeColor="text1"/>
        <w:bottom w:val="single" w:sz="4" w:space="0" w:color="1A1A1A" w:themeColor="text1"/>
        <w:right w:val="single" w:sz="4" w:space="0" w:color="1A1A1A" w:themeColor="text1"/>
      </w:tblBorders>
    </w:tblPr>
    <w:tblStylePr w:type="firstRow">
      <w:rPr>
        <w:b/>
        <w:bCs/>
        <w:color w:val="FFFFFF" w:themeColor="background1"/>
      </w:rPr>
      <w:tblPr/>
      <w:tcPr>
        <w:shd w:val="clear" w:color="auto" w:fill="1A1A1A" w:themeFill="text1"/>
      </w:tcPr>
    </w:tblStylePr>
    <w:tblStylePr w:type="lastRow">
      <w:rPr>
        <w:b/>
        <w:bCs/>
      </w:rPr>
      <w:tblPr/>
      <w:tcPr>
        <w:tcBorders>
          <w:top w:val="double" w:sz="4" w:space="0" w:color="1A1A1A"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1A1A" w:themeColor="text1"/>
          <w:right w:val="single" w:sz="4" w:space="0" w:color="1A1A1A" w:themeColor="text1"/>
        </w:tcBorders>
      </w:tcPr>
    </w:tblStylePr>
    <w:tblStylePr w:type="band1Horz">
      <w:tblPr/>
      <w:tcPr>
        <w:tcBorders>
          <w:top w:val="single" w:sz="4" w:space="0" w:color="1A1A1A" w:themeColor="text1"/>
          <w:bottom w:val="single" w:sz="4" w:space="0" w:color="1A1A1A"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1A1A" w:themeColor="text1"/>
          <w:left w:val="nil"/>
        </w:tcBorders>
      </w:tcPr>
    </w:tblStylePr>
    <w:tblStylePr w:type="swCell">
      <w:tblPr/>
      <w:tcPr>
        <w:tcBorders>
          <w:top w:val="double" w:sz="4" w:space="0" w:color="1A1A1A" w:themeColor="text1"/>
          <w:right w:val="nil"/>
        </w:tcBorders>
      </w:tcPr>
    </w:tblStylePr>
  </w:style>
  <w:style w:type="paragraph" w:customStyle="1" w:styleId="NumberlistL1">
    <w:name w:val="Number list L1"/>
    <w:link w:val="NumberlistL1Char"/>
    <w:autoRedefine/>
    <w:rsid w:val="007E4689"/>
    <w:pPr>
      <w:numPr>
        <w:numId w:val="2"/>
      </w:numPr>
      <w:spacing w:after="60" w:line="312" w:lineRule="auto"/>
    </w:pPr>
    <w:rPr>
      <w:color w:val="1A1A1A" w:themeColor="text1"/>
      <w:sz w:val="24"/>
    </w:rPr>
  </w:style>
  <w:style w:type="character" w:customStyle="1" w:styleId="NumberlistL1Char">
    <w:name w:val="Number list L1 Char"/>
    <w:basedOn w:val="DefaultParagraphFont"/>
    <w:link w:val="NumberlistL1"/>
    <w:rsid w:val="007E4689"/>
    <w:rPr>
      <w:color w:val="1A1A1A" w:themeColor="text1"/>
      <w:sz w:val="24"/>
    </w:rPr>
  </w:style>
  <w:style w:type="paragraph" w:customStyle="1" w:styleId="NumberlistL2">
    <w:name w:val="Number list L2"/>
    <w:basedOn w:val="NumberlistL1"/>
    <w:link w:val="NumberlistL2Char"/>
    <w:autoRedefine/>
    <w:rsid w:val="007E4689"/>
    <w:pPr>
      <w:numPr>
        <w:ilvl w:val="1"/>
        <w:numId w:val="1"/>
      </w:numPr>
    </w:pPr>
  </w:style>
  <w:style w:type="character" w:customStyle="1" w:styleId="NumberlistL2Char">
    <w:name w:val="Number list L2 Char"/>
    <w:basedOn w:val="NumberlistL1Char"/>
    <w:link w:val="NumberlistL2"/>
    <w:rsid w:val="007E4689"/>
    <w:rPr>
      <w:color w:val="1A1A1A" w:themeColor="text1"/>
      <w:sz w:val="24"/>
    </w:rPr>
  </w:style>
  <w:style w:type="paragraph" w:customStyle="1" w:styleId="NumberlistL3">
    <w:name w:val="Number list L3"/>
    <w:basedOn w:val="NumberlistL2"/>
    <w:link w:val="NumberlistL3Char"/>
    <w:rsid w:val="007E4689"/>
    <w:pPr>
      <w:numPr>
        <w:ilvl w:val="2"/>
      </w:numPr>
    </w:pPr>
  </w:style>
  <w:style w:type="character" w:customStyle="1" w:styleId="NumberlistL3Char">
    <w:name w:val="Number list L3 Char"/>
    <w:basedOn w:val="NumberlistL2Char"/>
    <w:link w:val="NumberlistL3"/>
    <w:rsid w:val="007E4689"/>
    <w:rPr>
      <w:color w:val="1A1A1A" w:themeColor="text1"/>
      <w:sz w:val="24"/>
    </w:rPr>
  </w:style>
  <w:style w:type="paragraph" w:styleId="Quote">
    <w:name w:val="Quote"/>
    <w:basedOn w:val="Normal"/>
    <w:next w:val="Normal"/>
    <w:link w:val="QuoteChar"/>
    <w:autoRedefine/>
    <w:uiPriority w:val="29"/>
    <w:rsid w:val="007E4689"/>
    <w:pPr>
      <w:pBdr>
        <w:top w:val="single" w:sz="8" w:space="6" w:color="auto"/>
        <w:bottom w:val="single" w:sz="8" w:space="6" w:color="auto"/>
      </w:pBdr>
      <w:spacing w:before="240" w:after="240"/>
      <w:ind w:left="851" w:right="851"/>
    </w:pPr>
    <w:rPr>
      <w:iCs/>
      <w:color w:val="404040" w:themeColor="background2" w:themeShade="40"/>
    </w:rPr>
  </w:style>
  <w:style w:type="character" w:customStyle="1" w:styleId="QuoteChar">
    <w:name w:val="Quote Char"/>
    <w:basedOn w:val="DefaultParagraphFont"/>
    <w:link w:val="Quote"/>
    <w:uiPriority w:val="29"/>
    <w:rsid w:val="007E4689"/>
    <w:rPr>
      <w:iCs/>
      <w:color w:val="404040" w:themeColor="background2" w:themeShade="40"/>
      <w:sz w:val="24"/>
    </w:rPr>
  </w:style>
  <w:style w:type="character" w:styleId="SubtleEmphasis">
    <w:name w:val="Subtle Emphasis"/>
    <w:basedOn w:val="DefaultParagraphFont"/>
    <w:uiPriority w:val="19"/>
    <w:rsid w:val="007E4689"/>
    <w:rPr>
      <w:rFonts w:asciiTheme="minorHAnsi" w:hAnsiTheme="minorHAnsi"/>
      <w:i/>
      <w:iCs/>
      <w:color w:val="404040" w:themeColor="background2" w:themeShade="40"/>
      <w:sz w:val="24"/>
    </w:rPr>
  </w:style>
  <w:style w:type="paragraph" w:customStyle="1" w:styleId="Tablebullet">
    <w:name w:val="Table bullet"/>
    <w:basedOn w:val="Tablecopy"/>
    <w:qFormat/>
    <w:rsid w:val="007E4689"/>
    <w:pPr>
      <w:numPr>
        <w:numId w:val="9"/>
      </w:numPr>
    </w:pPr>
  </w:style>
  <w:style w:type="paragraph" w:customStyle="1" w:styleId="Tableheadingblack">
    <w:name w:val="Table heading black"/>
    <w:basedOn w:val="Tableheadingwhite"/>
    <w:next w:val="Normal"/>
    <w:autoRedefine/>
    <w:qFormat/>
    <w:rsid w:val="007E4689"/>
    <w:pPr>
      <w:jc w:val="center"/>
    </w:pPr>
    <w:rPr>
      <w:color w:val="1A1A1A" w:themeColor="text1"/>
    </w:rPr>
  </w:style>
  <w:style w:type="paragraph" w:styleId="TOCHeading">
    <w:name w:val="TOC Heading"/>
    <w:basedOn w:val="Heading1"/>
    <w:next w:val="Heading1"/>
    <w:uiPriority w:val="39"/>
    <w:semiHidden/>
    <w:unhideWhenUsed/>
    <w:qFormat/>
    <w:rsid w:val="007E4689"/>
    <w:pPr>
      <w:spacing w:after="240"/>
      <w:outlineLvl w:val="9"/>
    </w:pPr>
  </w:style>
  <w:style w:type="character" w:styleId="UnresolvedMention">
    <w:name w:val="Unresolved Mention"/>
    <w:basedOn w:val="DefaultParagraphFont"/>
    <w:uiPriority w:val="99"/>
    <w:semiHidden/>
    <w:unhideWhenUsed/>
    <w:rsid w:val="007E4689"/>
    <w:rPr>
      <w:rFonts w:asciiTheme="minorHAnsi" w:hAnsiTheme="minorHAnsi"/>
      <w:color w:val="C00000"/>
      <w:sz w:val="24"/>
      <w:shd w:val="clear" w:color="auto" w:fill="E1DFDD"/>
    </w:rPr>
  </w:style>
  <w:style w:type="table" w:styleId="ListTable3-Accent2">
    <w:name w:val="List Table 3 Accent 2"/>
    <w:basedOn w:val="TableNormal"/>
    <w:uiPriority w:val="48"/>
    <w:rsid w:val="003146C7"/>
    <w:pPr>
      <w:spacing w:after="0" w:line="240" w:lineRule="auto"/>
    </w:pPr>
    <w:tblPr>
      <w:tblStyleRowBandSize w:val="1"/>
      <w:tblStyleColBandSize w:val="1"/>
      <w:tblBorders>
        <w:top w:val="single" w:sz="4" w:space="0" w:color="003858" w:themeColor="accent2"/>
        <w:left w:val="single" w:sz="4" w:space="0" w:color="003858" w:themeColor="accent2"/>
        <w:bottom w:val="single" w:sz="4" w:space="0" w:color="003858" w:themeColor="accent2"/>
        <w:right w:val="single" w:sz="4" w:space="0" w:color="003858" w:themeColor="accent2"/>
      </w:tblBorders>
    </w:tblPr>
    <w:tblStylePr w:type="firstRow">
      <w:rPr>
        <w:b/>
        <w:bCs/>
        <w:color w:val="FFFFFF" w:themeColor="background1"/>
      </w:rPr>
      <w:tblPr/>
      <w:tcPr>
        <w:shd w:val="clear" w:color="auto" w:fill="003858" w:themeFill="accent2"/>
      </w:tcPr>
    </w:tblStylePr>
    <w:tblStylePr w:type="lastRow">
      <w:rPr>
        <w:b/>
        <w:bCs/>
      </w:rPr>
      <w:tblPr/>
      <w:tcPr>
        <w:tcBorders>
          <w:top w:val="double" w:sz="4" w:space="0" w:color="003858"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858" w:themeColor="accent2"/>
          <w:right w:val="single" w:sz="4" w:space="0" w:color="003858" w:themeColor="accent2"/>
        </w:tcBorders>
      </w:tcPr>
    </w:tblStylePr>
    <w:tblStylePr w:type="band1Horz">
      <w:tblPr/>
      <w:tcPr>
        <w:tcBorders>
          <w:top w:val="single" w:sz="4" w:space="0" w:color="003858" w:themeColor="accent2"/>
          <w:bottom w:val="single" w:sz="4" w:space="0" w:color="003858"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858" w:themeColor="accent2"/>
          <w:left w:val="nil"/>
        </w:tcBorders>
      </w:tcPr>
    </w:tblStylePr>
    <w:tblStylePr w:type="swCell">
      <w:tblPr/>
      <w:tcPr>
        <w:tcBorders>
          <w:top w:val="double" w:sz="4" w:space="0" w:color="003858" w:themeColor="accent2"/>
          <w:right w:val="nil"/>
        </w:tcBorders>
      </w:tcPr>
    </w:tblStylePr>
  </w:style>
  <w:style w:type="table" w:customStyle="1" w:styleId="ListTable3-Accent11">
    <w:name w:val="List Table 3 - Accent 11"/>
    <w:basedOn w:val="TableNormal"/>
    <w:next w:val="ListTable3-Accent1"/>
    <w:uiPriority w:val="48"/>
    <w:rsid w:val="001838B0"/>
    <w:pPr>
      <w:spacing w:after="0" w:line="240" w:lineRule="auto"/>
    </w:pPr>
    <w:tblPr>
      <w:tblStyleRowBandSize w:val="1"/>
      <w:tblStyleColBandSize w:val="1"/>
      <w:tblBorders>
        <w:top w:val="single" w:sz="4" w:space="0" w:color="003858"/>
        <w:left w:val="single" w:sz="4" w:space="0" w:color="003858"/>
        <w:bottom w:val="single" w:sz="4" w:space="0" w:color="003858"/>
        <w:right w:val="single" w:sz="4" w:space="0" w:color="003858"/>
      </w:tblBorders>
    </w:tblPr>
    <w:tblStylePr w:type="firstRow">
      <w:rPr>
        <w:b/>
        <w:bCs/>
        <w:color w:val="FFFFFF"/>
      </w:rPr>
      <w:tblPr/>
      <w:tcPr>
        <w:shd w:val="clear" w:color="auto" w:fill="003858"/>
      </w:tcPr>
    </w:tblStylePr>
    <w:tblStylePr w:type="lastRow">
      <w:rPr>
        <w:b/>
        <w:bCs/>
      </w:rPr>
      <w:tblPr/>
      <w:tcPr>
        <w:tcBorders>
          <w:top w:val="double" w:sz="4" w:space="0" w:color="003858"/>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3858"/>
          <w:right w:val="single" w:sz="4" w:space="0" w:color="003858"/>
        </w:tcBorders>
      </w:tcPr>
    </w:tblStylePr>
    <w:tblStylePr w:type="band1Horz">
      <w:tblPr/>
      <w:tcPr>
        <w:tcBorders>
          <w:top w:val="single" w:sz="4" w:space="0" w:color="003858"/>
          <w:bottom w:val="single" w:sz="4" w:space="0" w:color="003858"/>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858"/>
          <w:left w:val="nil"/>
        </w:tcBorders>
      </w:tcPr>
    </w:tblStylePr>
    <w:tblStylePr w:type="swCell">
      <w:tblPr/>
      <w:tcPr>
        <w:tcBorders>
          <w:top w:val="double" w:sz="4" w:space="0" w:color="003858"/>
          <w:right w:val="nil"/>
        </w:tcBorders>
      </w:tcPr>
    </w:tblStylePr>
  </w:style>
  <w:style w:type="table" w:styleId="ListTable3-Accent1">
    <w:name w:val="List Table 3 Accent 1"/>
    <w:basedOn w:val="TableNormal"/>
    <w:uiPriority w:val="48"/>
    <w:rsid w:val="001838B0"/>
    <w:pPr>
      <w:spacing w:after="0" w:line="240" w:lineRule="auto"/>
    </w:pPr>
    <w:tblPr>
      <w:tblStyleRowBandSize w:val="1"/>
      <w:tblStyleColBandSize w:val="1"/>
      <w:tblBorders>
        <w:top w:val="single" w:sz="4" w:space="0" w:color="D3551D" w:themeColor="accent1"/>
        <w:left w:val="single" w:sz="4" w:space="0" w:color="D3551D" w:themeColor="accent1"/>
        <w:bottom w:val="single" w:sz="4" w:space="0" w:color="D3551D" w:themeColor="accent1"/>
        <w:right w:val="single" w:sz="4" w:space="0" w:color="D3551D" w:themeColor="accent1"/>
      </w:tblBorders>
    </w:tblPr>
    <w:tblStylePr w:type="firstRow">
      <w:rPr>
        <w:b/>
        <w:bCs/>
        <w:color w:val="FFFFFF" w:themeColor="background1"/>
      </w:rPr>
      <w:tblPr/>
      <w:tcPr>
        <w:shd w:val="clear" w:color="auto" w:fill="D3551D" w:themeFill="accent1"/>
      </w:tcPr>
    </w:tblStylePr>
    <w:tblStylePr w:type="lastRow">
      <w:rPr>
        <w:b/>
        <w:bCs/>
      </w:rPr>
      <w:tblPr/>
      <w:tcPr>
        <w:tcBorders>
          <w:top w:val="double" w:sz="4" w:space="0" w:color="D3551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3551D" w:themeColor="accent1"/>
          <w:right w:val="single" w:sz="4" w:space="0" w:color="D3551D" w:themeColor="accent1"/>
        </w:tcBorders>
      </w:tcPr>
    </w:tblStylePr>
    <w:tblStylePr w:type="band1Horz">
      <w:tblPr/>
      <w:tcPr>
        <w:tcBorders>
          <w:top w:val="single" w:sz="4" w:space="0" w:color="D3551D" w:themeColor="accent1"/>
          <w:bottom w:val="single" w:sz="4" w:space="0" w:color="D3551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3551D" w:themeColor="accent1"/>
          <w:left w:val="nil"/>
        </w:tcBorders>
      </w:tcPr>
    </w:tblStylePr>
    <w:tblStylePr w:type="swCell">
      <w:tblPr/>
      <w:tcPr>
        <w:tcBorders>
          <w:top w:val="double" w:sz="4" w:space="0" w:color="D3551D" w:themeColor="accent1"/>
          <w:right w:val="nil"/>
        </w:tcBorders>
      </w:tcPr>
    </w:tblStylePr>
  </w:style>
  <w:style w:type="character" w:styleId="CommentReference">
    <w:name w:val="annotation reference"/>
    <w:basedOn w:val="DefaultParagraphFont"/>
    <w:uiPriority w:val="99"/>
    <w:semiHidden/>
    <w:unhideWhenUsed/>
    <w:rsid w:val="008664C1"/>
    <w:rPr>
      <w:sz w:val="16"/>
      <w:szCs w:val="16"/>
    </w:rPr>
  </w:style>
  <w:style w:type="paragraph" w:styleId="CommentText">
    <w:name w:val="annotation text"/>
    <w:basedOn w:val="Normal"/>
    <w:link w:val="CommentTextChar"/>
    <w:uiPriority w:val="99"/>
    <w:unhideWhenUsed/>
    <w:rsid w:val="008664C1"/>
    <w:pPr>
      <w:spacing w:line="240" w:lineRule="auto"/>
    </w:pPr>
    <w:rPr>
      <w:sz w:val="20"/>
      <w:szCs w:val="20"/>
    </w:rPr>
  </w:style>
  <w:style w:type="character" w:customStyle="1" w:styleId="CommentTextChar">
    <w:name w:val="Comment Text Char"/>
    <w:basedOn w:val="DefaultParagraphFont"/>
    <w:link w:val="CommentText"/>
    <w:uiPriority w:val="99"/>
    <w:rsid w:val="008664C1"/>
    <w:rPr>
      <w:color w:val="1A1A1A" w:themeColor="text1"/>
      <w:sz w:val="20"/>
      <w:szCs w:val="20"/>
    </w:rPr>
  </w:style>
  <w:style w:type="paragraph" w:styleId="CommentSubject">
    <w:name w:val="annotation subject"/>
    <w:basedOn w:val="CommentText"/>
    <w:next w:val="CommentText"/>
    <w:link w:val="CommentSubjectChar"/>
    <w:uiPriority w:val="99"/>
    <w:semiHidden/>
    <w:unhideWhenUsed/>
    <w:rsid w:val="008664C1"/>
    <w:rPr>
      <w:b/>
      <w:bCs/>
    </w:rPr>
  </w:style>
  <w:style w:type="character" w:customStyle="1" w:styleId="CommentSubjectChar">
    <w:name w:val="Comment Subject Char"/>
    <w:basedOn w:val="CommentTextChar"/>
    <w:link w:val="CommentSubject"/>
    <w:uiPriority w:val="99"/>
    <w:semiHidden/>
    <w:rsid w:val="008664C1"/>
    <w:rPr>
      <w:b/>
      <w:bCs/>
      <w:color w:val="1A1A1A" w:themeColor="text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legislation.tas.gov.au/view/html/inforce/2026-07-13/act-1984-06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DPAC 2025">
      <a:dk1>
        <a:srgbClr val="1A1A1A"/>
      </a:dk1>
      <a:lt1>
        <a:srgbClr val="FFFFFF"/>
      </a:lt1>
      <a:dk2>
        <a:srgbClr val="2A312D"/>
      </a:dk2>
      <a:lt2>
        <a:srgbClr val="FFFFFF"/>
      </a:lt2>
      <a:accent1>
        <a:srgbClr val="D3551D"/>
      </a:accent1>
      <a:accent2>
        <a:srgbClr val="003858"/>
      </a:accent2>
      <a:accent3>
        <a:srgbClr val="535353"/>
      </a:accent3>
      <a:accent4>
        <a:srgbClr val="8C8C8C"/>
      </a:accent4>
      <a:accent5>
        <a:srgbClr val="A4BBD5"/>
      </a:accent5>
      <a:accent6>
        <a:srgbClr val="D38F14"/>
      </a:accent6>
      <a:hlink>
        <a:srgbClr val="701622"/>
      </a:hlink>
      <a:folHlink>
        <a:srgbClr val="1A1A1A"/>
      </a:folHlink>
    </a:clrScheme>
    <a:fontScheme name="TasGov">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4755367-4b2a-4a1b-8829-9e1fd886e214"/>
    <lcf76f155ced4ddcb4097134ff3c332f xmlns="4e68bc7d-4cbe-4c73-86a1-00cbaf9cda27">
      <Terms xmlns="http://schemas.microsoft.com/office/infopath/2007/PartnerControls"/>
    </lcf76f155ced4ddcb4097134ff3c332f>
    <_Version xmlns="http://schemas.microsoft.com/sharepoint/v3/fields" xsi:nil="true"/>
    <Reviewed xmlns="4e68bc7d-4cbe-4c73-86a1-00cbaf9cda27">true</Reviewed>
    <Assignedto xmlns="4e68bc7d-4cbe-4c73-86a1-00cbaf9cda27">
      <UserInfo>
        <DisplayName/>
        <AccountId xsi:nil="true"/>
        <AccountType/>
      </UserInfo>
    </Assignedto>
    <Comments xmlns="4e68bc7d-4cbe-4c73-86a1-00cbaf9cda2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9F9E154BB7FB4BBCEE17F6782182E5" ma:contentTypeVersion="22" ma:contentTypeDescription="Create a new document." ma:contentTypeScope="" ma:versionID="3de740e9b52041d226d509d3281752ed">
  <xsd:schema xmlns:xsd="http://www.w3.org/2001/XMLSchema" xmlns:xs="http://www.w3.org/2001/XMLSchema" xmlns:p="http://schemas.microsoft.com/office/2006/metadata/properties" xmlns:ns2="4e68bc7d-4cbe-4c73-86a1-00cbaf9cda27" xmlns:ns3="d4755367-4b2a-4a1b-8829-9e1fd886e214" xmlns:ns4="http://schemas.microsoft.com/sharepoint/v3/fields" targetNamespace="http://schemas.microsoft.com/office/2006/metadata/properties" ma:root="true" ma:fieldsID="a9273fda0cf8ebd25045cf9904b51e4b" ns2:_="" ns3:_="" ns4:_="">
    <xsd:import namespace="4e68bc7d-4cbe-4c73-86a1-00cbaf9cda27"/>
    <xsd:import namespace="d4755367-4b2a-4a1b-8829-9e1fd886e214"/>
    <xsd:import namespace="http://schemas.microsoft.com/sharepoint/v3/fields"/>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Assignedto" minOccurs="0"/>
                <xsd:element ref="ns2:Reviewed" minOccurs="0"/>
                <xsd:element ref="ns2:Comments" minOccurs="0"/>
                <xsd:element ref="ns4: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68bc7d-4cbe-4c73-86a1-00cbaf9cda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5fa8d43-ebde-4843-a9f4-94e805a6a40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Assignedto" ma:index="26" nillable="true" ma:displayName="Assigned to" ma:format="Dropdown" ma:list="UserInfo" ma:SharePointGroup="0" ma:internalName="Assignedt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viewed" ma:index="27" nillable="true" ma:displayName="Reviewed" ma:default="1" ma:format="Dropdown" ma:internalName="Reviewed">
      <xsd:simpleType>
        <xsd:restriction base="dms:Boolean"/>
      </xsd:simpleType>
    </xsd:element>
    <xsd:element name="Comments" ma:index="28" nillable="true" ma:displayName="Comments" ma:format="Dropdown" ma:internalName="Comment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4755367-4b2a-4a1b-8829-9e1fd886e21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635dcf2-699b-4077-b3e1-4942c3a439c0}" ma:internalName="TaxCatchAll" ma:showField="CatchAllData" ma:web="d4755367-4b2a-4a1b-8829-9e1fd886e2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29" nillable="true" ma:displayName="Version"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64C93B-33A9-4092-8B50-32C43E8784B7}">
  <ds:schemaRefs>
    <ds:schemaRef ds:uri="http://schemas.microsoft.com/office/2006/metadata/properties"/>
    <ds:schemaRef ds:uri="http://schemas.microsoft.com/office/infopath/2007/PartnerControls"/>
    <ds:schemaRef ds:uri="d4755367-4b2a-4a1b-8829-9e1fd886e214"/>
    <ds:schemaRef ds:uri="4e68bc7d-4cbe-4c73-86a1-00cbaf9cda27"/>
    <ds:schemaRef ds:uri="http://schemas.microsoft.com/sharepoint/v3/fields"/>
  </ds:schemaRefs>
</ds:datastoreItem>
</file>

<file path=customXml/itemProps2.xml><?xml version="1.0" encoding="utf-8"?>
<ds:datastoreItem xmlns:ds="http://schemas.openxmlformats.org/officeDocument/2006/customXml" ds:itemID="{17AD455B-C3F2-4DAF-A4D9-82336FFBD9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68bc7d-4cbe-4c73-86a1-00cbaf9cda27"/>
    <ds:schemaRef ds:uri="d4755367-4b2a-4a1b-8829-9e1fd886e214"/>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AF632C-7E23-4B9E-899A-14EFFD8FC2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869</Words>
  <Characters>4711</Characters>
  <Application>Microsoft Office Word</Application>
  <DocSecurity>0</DocSecurity>
  <Lines>134</Lines>
  <Paragraphs>52</Paragraphs>
  <ScaleCrop>false</ScaleCrop>
  <HeadingPairs>
    <vt:vector size="2" baseType="variant">
      <vt:variant>
        <vt:lpstr>Title</vt:lpstr>
      </vt:variant>
      <vt:variant>
        <vt:i4>1</vt:i4>
      </vt:variant>
    </vt:vector>
  </HeadingPairs>
  <TitlesOfParts>
    <vt:vector size="1" baseType="lpstr">
      <vt:lpstr/>
    </vt:vector>
  </TitlesOfParts>
  <Company>Department of Premier and Cabinet</Company>
  <LinksUpToDate>false</LinksUpToDate>
  <CharactersWithSpaces>5528</CharactersWithSpaces>
  <SharedDoc>false</SharedDoc>
  <HLinks>
    <vt:vector size="6" baseType="variant">
      <vt:variant>
        <vt:i4>1835088</vt:i4>
      </vt:variant>
      <vt:variant>
        <vt:i4>0</vt:i4>
      </vt:variant>
      <vt:variant>
        <vt:i4>0</vt:i4>
      </vt:variant>
      <vt:variant>
        <vt:i4>5</vt:i4>
      </vt:variant>
      <vt:variant>
        <vt:lpwstr>https://www.legislation.tas.gov.au/view/html/inforce/2026-07-13/act-1984-061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Review of the Anzac Day Observance Act 1929 Discussion Paper</dc:title>
  <dc:subject/>
  <dc:creator/>
  <cp:keywords/>
  <dc:description/>
  <cp:lastModifiedBy>van Beek, Haylee</cp:lastModifiedBy>
  <cp:revision>5</cp:revision>
  <dcterms:created xsi:type="dcterms:W3CDTF">2026-10-21T07:04:00Z</dcterms:created>
  <dcterms:modified xsi:type="dcterms:W3CDTF">2026-10-21T07:16:00Z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b23925a,56995783,35206f93</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7883d80b,223a0a81,5892248b</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4413e457-4e4b-40f6-9507-365301b2e0d0_Enabled">
    <vt:lpwstr>true</vt:lpwstr>
  </property>
  <property fmtid="{D5CDD505-2E9C-101B-9397-08002B2CF9AE}" pid="9" name="MSIP_Label_4413e457-4e4b-40f6-9507-365301b2e0d0_SetDate">
    <vt:lpwstr>2025-10-14T22:00:56Z</vt:lpwstr>
  </property>
  <property fmtid="{D5CDD505-2E9C-101B-9397-08002B2CF9AE}" pid="10" name="MSIP_Label_4413e457-4e4b-40f6-9507-365301b2e0d0_Method">
    <vt:lpwstr>Privileged</vt:lpwstr>
  </property>
  <property fmtid="{D5CDD505-2E9C-101B-9397-08002B2CF9AE}" pid="11" name="MSIP_Label_4413e457-4e4b-40f6-9507-365301b2e0d0_Name">
    <vt:lpwstr>OFFICIAL</vt:lpwstr>
  </property>
  <property fmtid="{D5CDD505-2E9C-101B-9397-08002B2CF9AE}" pid="12" name="MSIP_Label_4413e457-4e4b-40f6-9507-365301b2e0d0_SiteId">
    <vt:lpwstr>ea732b1f-3d1a-4be9-b48b-6cee25b8a074</vt:lpwstr>
  </property>
  <property fmtid="{D5CDD505-2E9C-101B-9397-08002B2CF9AE}" pid="13" name="MSIP_Label_4413e457-4e4b-40f6-9507-365301b2e0d0_ActionId">
    <vt:lpwstr>0d84d9ce-f2d5-4987-a19a-4c74b9e676b8</vt:lpwstr>
  </property>
  <property fmtid="{D5CDD505-2E9C-101B-9397-08002B2CF9AE}" pid="14" name="MSIP_Label_4413e457-4e4b-40f6-9507-365301b2e0d0_ContentBits">
    <vt:lpwstr>3</vt:lpwstr>
  </property>
  <property fmtid="{D5CDD505-2E9C-101B-9397-08002B2CF9AE}" pid="15" name="MSIP_Label_4413e457-4e4b-40f6-9507-365301b2e0d0_Tag">
    <vt:lpwstr>10, 0, 1, 1</vt:lpwstr>
  </property>
  <property fmtid="{D5CDD505-2E9C-101B-9397-08002B2CF9AE}" pid="16" name="ContentTypeId">
    <vt:lpwstr>0x0101000E9F9E154BB7FB4BBCEE17F6782182E5</vt:lpwstr>
  </property>
  <property fmtid="{D5CDD505-2E9C-101B-9397-08002B2CF9AE}" pid="17" name="MediaServiceImageTags">
    <vt:lpwstr/>
  </property>
</Properties>
</file>