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873B1" w14:textId="3BD3AD87" w:rsidR="009F705B" w:rsidRPr="003813E5" w:rsidRDefault="00971D85" w:rsidP="009F705B">
      <w:pPr>
        <w:pStyle w:val="Title"/>
      </w:pPr>
      <w:bookmarkStart w:id="0" w:name="_Toc160358825"/>
      <w:r>
        <w:t xml:space="preserve">Review of the </w:t>
      </w:r>
      <w:r w:rsidR="4955C9F3" w:rsidRPr="00FB65CE">
        <w:rPr>
          <w:i/>
          <w:iCs/>
        </w:rPr>
        <w:t>Anzac</w:t>
      </w:r>
      <w:r w:rsidR="21BB82A2" w:rsidRPr="00FB65CE">
        <w:rPr>
          <w:i/>
          <w:iCs/>
        </w:rPr>
        <w:t xml:space="preserve"> </w:t>
      </w:r>
      <w:r w:rsidRPr="00FB65CE">
        <w:rPr>
          <w:i/>
          <w:iCs/>
        </w:rPr>
        <w:t xml:space="preserve">Day Observance Act 1929 </w:t>
      </w:r>
      <w:r>
        <w:t>Discussion Paper</w:t>
      </w:r>
    </w:p>
    <w:p w14:paraId="5AAB397F" w14:textId="56D5AAAF" w:rsidR="009F705B" w:rsidRPr="00F23E25" w:rsidRDefault="00971D85" w:rsidP="00970580">
      <w:pPr>
        <w:pStyle w:val="Subtitle"/>
      </w:pPr>
      <w:r w:rsidRPr="00F23E25">
        <w:t xml:space="preserve">Fact Sheet </w:t>
      </w:r>
      <w:r w:rsidR="00331379" w:rsidRPr="00F23E25">
        <w:t>1</w:t>
      </w:r>
      <w:r w:rsidRPr="00F23E25">
        <w:t xml:space="preserve">: </w:t>
      </w:r>
      <w:r w:rsidR="00331379" w:rsidRPr="00F23E25">
        <w:t>Observance</w:t>
      </w:r>
      <w:r w:rsidR="00F23E25" w:rsidRPr="00F23E25">
        <w:t xml:space="preserve"> of Anzac Day</w:t>
      </w:r>
    </w:p>
    <w:bookmarkEnd w:id="0"/>
    <w:p w14:paraId="186E2DAB" w14:textId="74D1D437" w:rsidR="007639D5" w:rsidRDefault="007639D5" w:rsidP="00970580">
      <w:pPr>
        <w:pStyle w:val="Heading1"/>
      </w:pPr>
      <w:r>
        <w:t xml:space="preserve">Current Tasmanian </w:t>
      </w:r>
      <w:r w:rsidR="00970580">
        <w:t>l</w:t>
      </w:r>
      <w:r w:rsidR="14E790AD">
        <w:t>egislation</w:t>
      </w:r>
    </w:p>
    <w:p w14:paraId="247B1502" w14:textId="77777777" w:rsidR="0032231A" w:rsidRPr="0032231A" w:rsidRDefault="0032231A" w:rsidP="0032231A">
      <w:pPr>
        <w:rPr>
          <w:rFonts w:ascii="Arial" w:eastAsia="Arial" w:hAnsi="Arial" w:cs="Arial"/>
          <w:szCs w:val="24"/>
          <w:lang w:val="en-GB"/>
        </w:rPr>
      </w:pPr>
      <w:r w:rsidRPr="0032231A">
        <w:rPr>
          <w:rFonts w:ascii="Arial" w:eastAsia="Arial" w:hAnsi="Arial" w:cs="Arial"/>
          <w:szCs w:val="24"/>
          <w:lang w:val="en-GB"/>
        </w:rPr>
        <w:t xml:space="preserve">The </w:t>
      </w:r>
      <w:r w:rsidRPr="0032231A">
        <w:rPr>
          <w:rFonts w:ascii="Arial" w:eastAsia="Arial" w:hAnsi="Arial" w:cs="Arial"/>
          <w:i/>
          <w:iCs/>
          <w:szCs w:val="24"/>
          <w:lang w:val="en-GB"/>
        </w:rPr>
        <w:t>Anzac Day Observance Act 1929</w:t>
      </w:r>
      <w:r w:rsidRPr="0032231A">
        <w:rPr>
          <w:rFonts w:ascii="Arial" w:eastAsia="Arial" w:hAnsi="Arial" w:cs="Arial"/>
          <w:szCs w:val="24"/>
          <w:lang w:val="en-GB"/>
        </w:rPr>
        <w:t xml:space="preserve"> (the Act) was established to provide for the fitting observance of Anzac Day as a national holiday. The Act provides that 25 April each year is to be observed as Anzac Day. </w:t>
      </w:r>
    </w:p>
    <w:p w14:paraId="20E1C578" w14:textId="77777777" w:rsidR="0032231A" w:rsidRPr="0032231A" w:rsidRDefault="0032231A" w:rsidP="0032231A">
      <w:pPr>
        <w:rPr>
          <w:rFonts w:ascii="Arial" w:eastAsia="Arial" w:hAnsi="Arial" w:cs="Arial"/>
          <w:szCs w:val="24"/>
          <w:lang w:val="en-GB"/>
        </w:rPr>
      </w:pPr>
      <w:r w:rsidRPr="0032231A">
        <w:rPr>
          <w:rFonts w:ascii="Arial" w:eastAsia="Arial" w:hAnsi="Arial" w:cs="Arial"/>
          <w:szCs w:val="24"/>
          <w:lang w:val="en-GB"/>
        </w:rPr>
        <w:t xml:space="preserve">A central purpose of the Act is to protect the special commemorative character of Anzac Day morning. Before 12:30 pm, the Act restricts a range of activities, including racing, sporting events, public entertainment, markets, gaming, bookmaking and shop trading. The Act also contains protections for some employees who may otherwise be required to work in connection with restricted activities. </w:t>
      </w:r>
    </w:p>
    <w:p w14:paraId="10615AF9" w14:textId="77777777" w:rsidR="0032231A" w:rsidRPr="0032231A" w:rsidRDefault="0032231A" w:rsidP="0032231A">
      <w:pPr>
        <w:rPr>
          <w:rFonts w:ascii="Arial" w:eastAsia="Arial" w:hAnsi="Arial" w:cs="Arial"/>
          <w:szCs w:val="24"/>
          <w:lang w:val="en-GB"/>
        </w:rPr>
      </w:pPr>
      <w:r w:rsidRPr="0032231A">
        <w:rPr>
          <w:rFonts w:ascii="Arial" w:eastAsia="Arial" w:hAnsi="Arial" w:cs="Arial"/>
          <w:szCs w:val="24"/>
          <w:lang w:val="en-GB"/>
        </w:rPr>
        <w:t>These restrictions recognise that Anzac Day is not an ordinary public holiday. The period before 12:30 pm is specifically protected so that commemorative observance remains the primary focus of the morning.</w:t>
      </w:r>
    </w:p>
    <w:p w14:paraId="01EBB5C9" w14:textId="533F37A4" w:rsidR="0032231A" w:rsidRPr="00F23E25" w:rsidRDefault="0032231A" w:rsidP="0032231A">
      <w:pPr>
        <w:rPr>
          <w:rFonts w:ascii="Arial" w:eastAsia="Arial" w:hAnsi="Arial" w:cs="Arial"/>
          <w:szCs w:val="24"/>
          <w:lang w:val="en-GB"/>
        </w:rPr>
      </w:pPr>
      <w:r w:rsidRPr="00F23E25">
        <w:rPr>
          <w:rFonts w:ascii="Arial" w:eastAsia="Arial" w:hAnsi="Arial" w:cs="Arial"/>
          <w:szCs w:val="24"/>
          <w:lang w:val="en-GB"/>
        </w:rPr>
        <w:t>This Review will not diminish the importance, character or special status of Anzac Day observance. The existing protection of the morning before 12:30 pm will remain fundamental to the Review.</w:t>
      </w:r>
    </w:p>
    <w:p w14:paraId="280D2119" w14:textId="77777777" w:rsidR="001858F2" w:rsidRPr="001858F2" w:rsidRDefault="001858F2" w:rsidP="001858F2">
      <w:pPr>
        <w:rPr>
          <w:rFonts w:ascii="Arial" w:eastAsia="Arial" w:hAnsi="Arial" w:cs="Arial"/>
          <w:szCs w:val="24"/>
          <w:lang w:val="en-GB"/>
        </w:rPr>
      </w:pPr>
      <w:r w:rsidRPr="001858F2">
        <w:rPr>
          <w:rFonts w:ascii="Arial" w:eastAsia="Arial" w:hAnsi="Arial" w:cs="Arial"/>
          <w:szCs w:val="24"/>
          <w:lang w:val="en-GB"/>
        </w:rPr>
        <w:t>The review will not consider changes to the conduct or content of Anzac Day commemorative services. This includes matters such as the order of service, music and anthems, the Ode of Remembrance and speeches. Guidance on these matters is available through the Australian Government Department of Veterans’ Affairs Anzac Portal and its Anzac Day event planning guidance.</w:t>
      </w:r>
    </w:p>
    <w:p w14:paraId="1ABB9061" w14:textId="77777777" w:rsidR="001858F2" w:rsidRPr="00970580" w:rsidRDefault="001858F2" w:rsidP="00970580">
      <w:pPr>
        <w:pStyle w:val="BulletL1"/>
        <w:rPr>
          <w:rFonts w:ascii="Arial" w:eastAsia="Arial" w:hAnsi="Arial" w:cs="Arial"/>
          <w:szCs w:val="24"/>
          <w:lang w:val="en-GB"/>
        </w:rPr>
      </w:pPr>
      <w:hyperlink r:id="rId10" w:history="1">
        <w:r w:rsidRPr="00970580">
          <w:rPr>
            <w:rStyle w:val="Hyperlink"/>
            <w:rFonts w:ascii="Arial" w:eastAsia="Arial" w:hAnsi="Arial" w:cs="Arial"/>
            <w:szCs w:val="24"/>
            <w:lang w:val="en-GB"/>
          </w:rPr>
          <w:t>Anzac Day Portal</w:t>
        </w:r>
      </w:hyperlink>
    </w:p>
    <w:p w14:paraId="289E99FA" w14:textId="77777777" w:rsidR="001858F2" w:rsidRPr="00970580" w:rsidRDefault="001858F2" w:rsidP="00970580">
      <w:pPr>
        <w:pStyle w:val="BulletL1"/>
        <w:rPr>
          <w:rFonts w:ascii="Arial" w:eastAsia="Arial" w:hAnsi="Arial" w:cs="Arial"/>
          <w:szCs w:val="24"/>
          <w:lang w:val="en-GB"/>
        </w:rPr>
      </w:pPr>
      <w:hyperlink r:id="rId11" w:history="1">
        <w:r w:rsidRPr="00970580">
          <w:rPr>
            <w:rStyle w:val="Hyperlink"/>
            <w:rFonts w:ascii="Arial" w:eastAsia="Arial" w:hAnsi="Arial" w:cs="Arial"/>
            <w:szCs w:val="24"/>
            <w:lang w:val="en-GB"/>
          </w:rPr>
          <w:t>Anzac Day event planning guidance</w:t>
        </w:r>
      </w:hyperlink>
    </w:p>
    <w:p w14:paraId="355560F3" w14:textId="22A0FBC6" w:rsidR="007639D5" w:rsidRPr="0032231A" w:rsidRDefault="0032231A" w:rsidP="007639D5">
      <w:pPr>
        <w:rPr>
          <w:rFonts w:ascii="Arial" w:eastAsia="Arial" w:hAnsi="Arial" w:cs="Arial"/>
          <w:szCs w:val="24"/>
          <w:lang w:val="en-GB"/>
        </w:rPr>
      </w:pPr>
      <w:r w:rsidRPr="0032231A">
        <w:rPr>
          <w:rFonts w:ascii="Arial" w:eastAsia="Arial" w:hAnsi="Arial" w:cs="Arial"/>
          <w:szCs w:val="24"/>
          <w:lang w:val="en-GB"/>
        </w:rPr>
        <w:t xml:space="preserve">The </w:t>
      </w:r>
      <w:r w:rsidR="00DC15BC">
        <w:rPr>
          <w:rFonts w:ascii="Arial" w:eastAsia="Arial" w:hAnsi="Arial" w:cs="Arial"/>
          <w:szCs w:val="24"/>
          <w:lang w:val="en-GB"/>
        </w:rPr>
        <w:t>R</w:t>
      </w:r>
      <w:r w:rsidRPr="0032231A">
        <w:rPr>
          <w:rFonts w:ascii="Arial" w:eastAsia="Arial" w:hAnsi="Arial" w:cs="Arial"/>
          <w:szCs w:val="24"/>
          <w:lang w:val="en-GB"/>
        </w:rPr>
        <w:t>eview will instead consider whether the Act remains clear, workable and appropriate for contemporary Tasmania, while ensuring that any changes continue to protect the commemorative purpose of Anzac Day.</w:t>
      </w:r>
    </w:p>
    <w:p w14:paraId="72A130A4" w14:textId="5374B57F" w:rsidR="009F705B" w:rsidRPr="003C79F5" w:rsidRDefault="001838B0" w:rsidP="00970580">
      <w:pPr>
        <w:pStyle w:val="Heading2"/>
      </w:pPr>
      <w:r>
        <w:t xml:space="preserve">Approach of </w:t>
      </w:r>
      <w:r w:rsidR="00FB65CE">
        <w:t>o</w:t>
      </w:r>
      <w:r>
        <w:t xml:space="preserve">ther </w:t>
      </w:r>
      <w:r w:rsidR="00970580">
        <w:t>j</w:t>
      </w:r>
      <w:r>
        <w:t>urisdictions</w:t>
      </w:r>
      <w:r w:rsidR="138B2249" w:rsidRPr="53DE8FAC">
        <w:rPr>
          <w:rFonts w:ascii="Arial" w:eastAsia="Arial" w:hAnsi="Arial" w:cs="Arial"/>
          <w:color w:val="1A1A1A" w:themeColor="text1"/>
          <w:sz w:val="24"/>
        </w:rPr>
        <w:t xml:space="preserve"> </w:t>
      </w:r>
    </w:p>
    <w:p w14:paraId="29CBE4F1" w14:textId="77777777" w:rsidR="0032231A" w:rsidRPr="0032231A" w:rsidRDefault="0032231A" w:rsidP="0032231A">
      <w:r w:rsidRPr="0032231A">
        <w:t>Other states and territories also recognise Anzac Day through legislation, although the way they protect observance differs. Some have dedicated Anzac Day legislation that regulates activities which may detract from commemoration, while others rely on trading, public holiday and other legislation.</w:t>
      </w:r>
    </w:p>
    <w:p w14:paraId="7B8734C1" w14:textId="77777777" w:rsidR="00DC15BC" w:rsidRDefault="0032231A" w:rsidP="00DC15BC">
      <w:r w:rsidRPr="0032231A">
        <w:lastRenderedPageBreak/>
        <w:t>Victoria and South Australia provide particularly strong examples of legislation that expressly places commemoration at the centre of their approach. Queensland also links restrictions on activity to the commemorative significance of Anzac Day.</w:t>
      </w:r>
    </w:p>
    <w:p w14:paraId="6A2AD03F" w14:textId="30E7DCEB" w:rsidR="007F315C" w:rsidRPr="00970580" w:rsidRDefault="138B2249" w:rsidP="00970580">
      <w:pPr>
        <w:rPr>
          <w:b/>
          <w:bCs/>
        </w:rPr>
      </w:pPr>
      <w:r w:rsidRPr="00970580">
        <w:rPr>
          <w:b/>
          <w:bCs/>
        </w:rPr>
        <w:t xml:space="preserve">Table </w:t>
      </w:r>
      <w:r w:rsidR="00FB65CE" w:rsidRPr="00970580">
        <w:rPr>
          <w:b/>
          <w:bCs/>
        </w:rPr>
        <w:t>1</w:t>
      </w:r>
      <w:r w:rsidRPr="00970580">
        <w:rPr>
          <w:b/>
          <w:bCs/>
        </w:rPr>
        <w:t xml:space="preserve">: Jurisdictional </w:t>
      </w:r>
      <w:r w:rsidR="00FB65CE" w:rsidRPr="00970580">
        <w:rPr>
          <w:b/>
          <w:bCs/>
        </w:rPr>
        <w:t xml:space="preserve">Anzac Day </w:t>
      </w:r>
      <w:r w:rsidR="005952DD">
        <w:rPr>
          <w:b/>
          <w:bCs/>
        </w:rPr>
        <w:t>o</w:t>
      </w:r>
      <w:r w:rsidR="00FB65CE" w:rsidRPr="00970580">
        <w:rPr>
          <w:b/>
          <w:bCs/>
        </w:rPr>
        <w:t xml:space="preserve">bservance </w:t>
      </w:r>
    </w:p>
    <w:tbl>
      <w:tblPr>
        <w:tblStyle w:val="TableGridLight"/>
        <w:tblW w:w="0" w:type="auto"/>
        <w:tblLook w:val="04A0" w:firstRow="1" w:lastRow="0" w:firstColumn="1" w:lastColumn="0" w:noHBand="0" w:noVBand="1"/>
      </w:tblPr>
      <w:tblGrid>
        <w:gridCol w:w="9060"/>
      </w:tblGrid>
      <w:tr w:rsidR="007F315C" w:rsidRPr="007F315C" w14:paraId="6D7E28C9" w14:textId="77777777" w:rsidTr="007F315C">
        <w:trPr>
          <w:trHeight w:val="469"/>
        </w:trPr>
        <w:tc>
          <w:tcPr>
            <w:tcW w:w="9060" w:type="dxa"/>
            <w:shd w:val="clear" w:color="auto" w:fill="A4BBD5" w:themeFill="accent5"/>
          </w:tcPr>
          <w:p w14:paraId="0783FC99" w14:textId="554E433B" w:rsidR="007F315C" w:rsidRPr="007F315C" w:rsidRDefault="007F315C" w:rsidP="007F315C">
            <w:pPr>
              <w:spacing w:before="60" w:after="60" w:line="264" w:lineRule="auto"/>
              <w:rPr>
                <w:rFonts w:ascii="Arial" w:eastAsia="Times New Roman" w:hAnsi="Arial" w:cs="Arial"/>
                <w:i/>
                <w:iCs/>
                <w:color w:val="auto"/>
                <w:kern w:val="0"/>
                <w:szCs w:val="24"/>
                <w:lang w:val="en-GB" w:eastAsia="en-GB"/>
                <w14:ligatures w14:val="none"/>
              </w:rPr>
            </w:pPr>
            <w:r w:rsidRPr="007F315C">
              <w:rPr>
                <w:rFonts w:ascii="Arial" w:eastAsia="Times New Roman" w:hAnsi="Arial" w:cs="Arial"/>
                <w:b/>
                <w:bCs/>
                <w:color w:val="auto"/>
                <w:kern w:val="0"/>
                <w:szCs w:val="24"/>
                <w:lang w:val="en-GB" w:eastAsia="en-GB"/>
                <w14:ligatures w14:val="none"/>
              </w:rPr>
              <w:t>Victoria</w:t>
            </w:r>
            <w:r w:rsidRPr="007F315C">
              <w:rPr>
                <w:rFonts w:ascii="Arial" w:eastAsia="Times New Roman" w:hAnsi="Arial" w:cs="Arial"/>
                <w:color w:val="auto"/>
                <w:kern w:val="0"/>
                <w:szCs w:val="24"/>
                <w:lang w:val="en-GB" w:eastAsia="en-GB"/>
                <w14:ligatures w14:val="none"/>
              </w:rPr>
              <w:t xml:space="preserve"> </w:t>
            </w:r>
            <w:r>
              <w:rPr>
                <w:rFonts w:ascii="Arial" w:eastAsia="Times New Roman" w:hAnsi="Arial" w:cs="Arial"/>
                <w:color w:val="auto"/>
                <w:kern w:val="0"/>
                <w:szCs w:val="24"/>
                <w:lang w:val="en-GB" w:eastAsia="en-GB"/>
                <w14:ligatures w14:val="none"/>
              </w:rPr>
              <w:t xml:space="preserve">- </w:t>
            </w:r>
            <w:r w:rsidRPr="007F315C">
              <w:rPr>
                <w:rFonts w:ascii="Arial" w:eastAsia="Times New Roman" w:hAnsi="Arial" w:cs="Arial"/>
                <w:i/>
                <w:iCs/>
                <w:color w:val="auto"/>
                <w:kern w:val="0"/>
                <w:szCs w:val="24"/>
                <w:lang w:val="en-GB" w:eastAsia="en-GB"/>
                <w14:ligatures w14:val="none"/>
              </w:rPr>
              <w:t>Anzac Day Act 1958</w:t>
            </w:r>
          </w:p>
        </w:tc>
      </w:tr>
      <w:tr w:rsidR="007F315C" w14:paraId="4E4E96CD" w14:textId="77777777" w:rsidTr="0036644A">
        <w:tc>
          <w:tcPr>
            <w:tcW w:w="9060" w:type="dxa"/>
          </w:tcPr>
          <w:p w14:paraId="2839D935" w14:textId="77777777" w:rsidR="007F315C" w:rsidRDefault="007F315C" w:rsidP="007F315C">
            <w:pPr>
              <w:spacing w:before="60" w:after="60" w:line="264" w:lineRule="auto"/>
            </w:pPr>
            <w:r w:rsidRPr="00753211">
              <w:rPr>
                <w:rFonts w:ascii="Arial" w:eastAsia="Times New Roman" w:hAnsi="Arial" w:cs="Arial"/>
                <w:color w:val="auto"/>
                <w:kern w:val="0"/>
                <w:szCs w:val="24"/>
                <w:lang w:val="en-GB" w:eastAsia="en-GB"/>
                <w14:ligatures w14:val="none"/>
              </w:rPr>
              <w:t>Establishes Anzac Day as a commemorative day and regulates activities that may detract from that purpose. Sporting events cannot commence before 1:00 pm. Entertainment before 1:00 pm may only be permitted where it is a genuine commemoration of Anzac Day or would not detract from the commemorative nature of the day.</w:t>
            </w:r>
          </w:p>
        </w:tc>
      </w:tr>
      <w:tr w:rsidR="007F315C" w:rsidRPr="00753211" w14:paraId="5D8EAD46" w14:textId="77777777" w:rsidTr="007F315C">
        <w:trPr>
          <w:trHeight w:val="333"/>
        </w:trPr>
        <w:tc>
          <w:tcPr>
            <w:tcW w:w="9060" w:type="dxa"/>
            <w:shd w:val="clear" w:color="auto" w:fill="A4BBD5" w:themeFill="accent5"/>
          </w:tcPr>
          <w:p w14:paraId="37FC1A6E" w14:textId="05F26DC1" w:rsidR="007F315C" w:rsidRPr="00753211" w:rsidRDefault="007F315C" w:rsidP="007F315C">
            <w:pPr>
              <w:spacing w:before="60" w:after="60" w:line="264" w:lineRule="auto"/>
              <w:rPr>
                <w:b/>
                <w:bCs/>
              </w:rPr>
            </w:pPr>
            <w:r w:rsidRPr="007F315C">
              <w:rPr>
                <w:rFonts w:ascii="Arial" w:eastAsia="Times New Roman" w:hAnsi="Arial" w:cs="Arial"/>
                <w:b/>
                <w:bCs/>
                <w:color w:val="auto"/>
                <w:kern w:val="0"/>
                <w:szCs w:val="24"/>
                <w:lang w:val="en-GB" w:eastAsia="en-GB"/>
                <w14:ligatures w14:val="none"/>
              </w:rPr>
              <w:t>South Australia</w:t>
            </w:r>
            <w:r>
              <w:rPr>
                <w:rFonts w:ascii="Arial" w:eastAsia="Times New Roman" w:hAnsi="Arial" w:cs="Arial"/>
                <w:color w:val="auto"/>
                <w:kern w:val="0"/>
                <w:szCs w:val="24"/>
                <w:lang w:val="en-GB" w:eastAsia="en-GB"/>
                <w14:ligatures w14:val="none"/>
              </w:rPr>
              <w:t xml:space="preserve"> - </w:t>
            </w:r>
            <w:r w:rsidRPr="00263D4B">
              <w:rPr>
                <w:rFonts w:ascii="Arial" w:eastAsia="Times New Roman" w:hAnsi="Arial" w:cs="Arial"/>
                <w:i/>
                <w:iCs/>
                <w:color w:val="auto"/>
                <w:kern w:val="0"/>
                <w:szCs w:val="24"/>
                <w:lang w:val="en-GB" w:eastAsia="en-GB"/>
                <w14:ligatures w14:val="none"/>
              </w:rPr>
              <w:t>ANZAC Day Commemoration Act 2005</w:t>
            </w:r>
          </w:p>
        </w:tc>
      </w:tr>
      <w:tr w:rsidR="007F315C" w14:paraId="61FF176F" w14:textId="77777777" w:rsidTr="0036644A">
        <w:tc>
          <w:tcPr>
            <w:tcW w:w="9060" w:type="dxa"/>
          </w:tcPr>
          <w:p w14:paraId="707F62D2" w14:textId="77777777" w:rsidR="007F315C" w:rsidRDefault="007F315C" w:rsidP="007F315C">
            <w:pPr>
              <w:spacing w:before="60" w:after="60" w:line="264" w:lineRule="auto"/>
            </w:pPr>
            <w:r w:rsidRPr="00263D4B">
              <w:rPr>
                <w:rFonts w:ascii="Arial" w:eastAsia="Times New Roman" w:hAnsi="Arial" w:cs="Arial"/>
                <w:color w:val="auto"/>
                <w:kern w:val="0"/>
                <w:szCs w:val="24"/>
                <w:lang w:val="en-GB" w:eastAsia="en-GB"/>
                <w14:ligatures w14:val="none"/>
              </w:rPr>
              <w:t>The Act has an express object of ensuring the service of Australians in war, armed conflict and peacekeeping operations is recognised and commemorated. Public sporting and entertainment events are generally prohibited between 5:00 am and 12 noon unless authorised by the Premier. The Premier must consult the RSL before granting an authorisation.</w:t>
            </w:r>
          </w:p>
        </w:tc>
      </w:tr>
      <w:tr w:rsidR="007F315C" w:rsidRPr="00753211" w14:paraId="47ED4475" w14:textId="77777777" w:rsidTr="007F315C">
        <w:trPr>
          <w:trHeight w:val="466"/>
        </w:trPr>
        <w:tc>
          <w:tcPr>
            <w:tcW w:w="9060" w:type="dxa"/>
            <w:shd w:val="clear" w:color="auto" w:fill="A4BBD5" w:themeFill="accent5"/>
          </w:tcPr>
          <w:p w14:paraId="1232F4FD" w14:textId="094F6A81" w:rsidR="007F315C" w:rsidRPr="00753211" w:rsidRDefault="007F315C" w:rsidP="007F315C">
            <w:pPr>
              <w:spacing w:before="60" w:after="60" w:line="264" w:lineRule="auto"/>
              <w:rPr>
                <w:b/>
                <w:bCs/>
              </w:rPr>
            </w:pPr>
            <w:r w:rsidRPr="007F315C">
              <w:rPr>
                <w:rFonts w:ascii="Arial" w:eastAsia="Times New Roman" w:hAnsi="Arial" w:cs="Arial"/>
                <w:b/>
                <w:bCs/>
                <w:color w:val="auto"/>
                <w:kern w:val="0"/>
                <w:szCs w:val="24"/>
                <w:lang w:val="en-GB" w:eastAsia="en-GB"/>
                <w14:ligatures w14:val="none"/>
              </w:rPr>
              <w:t>Queensland</w:t>
            </w:r>
            <w:r>
              <w:rPr>
                <w:rFonts w:ascii="Arial" w:eastAsia="Times New Roman" w:hAnsi="Arial" w:cs="Arial"/>
                <w:color w:val="auto"/>
                <w:kern w:val="0"/>
                <w:szCs w:val="24"/>
                <w:lang w:val="en-GB" w:eastAsia="en-GB"/>
                <w14:ligatures w14:val="none"/>
              </w:rPr>
              <w:t xml:space="preserve"> - </w:t>
            </w:r>
            <w:r w:rsidRPr="00263D4B">
              <w:rPr>
                <w:rFonts w:ascii="Arial" w:eastAsia="Times New Roman" w:hAnsi="Arial" w:cs="Arial"/>
                <w:i/>
                <w:iCs/>
                <w:color w:val="auto"/>
                <w:kern w:val="0"/>
                <w:szCs w:val="24"/>
                <w:lang w:val="en-GB" w:eastAsia="en-GB"/>
                <w14:ligatures w14:val="none"/>
              </w:rPr>
              <w:t>Anzac Day Act 1995</w:t>
            </w:r>
            <w:r w:rsidRPr="00263D4B">
              <w:rPr>
                <w:rFonts w:ascii="Arial" w:eastAsia="Times New Roman" w:hAnsi="Arial" w:cs="Arial"/>
                <w:color w:val="auto"/>
                <w:kern w:val="0"/>
                <w:szCs w:val="24"/>
                <w:lang w:val="en-GB" w:eastAsia="en-GB"/>
                <w14:ligatures w14:val="none"/>
              </w:rPr>
              <w:t xml:space="preserve">; </w:t>
            </w:r>
            <w:r w:rsidRPr="00263D4B">
              <w:rPr>
                <w:rFonts w:ascii="Arial" w:eastAsia="Times New Roman" w:hAnsi="Arial" w:cs="Arial"/>
                <w:i/>
                <w:iCs/>
                <w:color w:val="auto"/>
                <w:kern w:val="0"/>
                <w:szCs w:val="24"/>
                <w:lang w:val="en-GB" w:eastAsia="en-GB"/>
                <w14:ligatures w14:val="none"/>
              </w:rPr>
              <w:t>Trading (Allowable Hours) Act 1990</w:t>
            </w:r>
          </w:p>
        </w:tc>
      </w:tr>
      <w:tr w:rsidR="007F315C" w14:paraId="03FDC365" w14:textId="77777777" w:rsidTr="0036644A">
        <w:tc>
          <w:tcPr>
            <w:tcW w:w="9060" w:type="dxa"/>
          </w:tcPr>
          <w:p w14:paraId="28B6B300" w14:textId="77777777" w:rsidR="007F315C" w:rsidRDefault="007F315C" w:rsidP="007F315C">
            <w:pPr>
              <w:spacing w:before="60" w:after="60" w:line="264" w:lineRule="auto"/>
            </w:pPr>
            <w:r w:rsidRPr="00263D4B">
              <w:rPr>
                <w:rFonts w:ascii="Arial" w:eastAsia="Times New Roman" w:hAnsi="Arial" w:cs="Arial"/>
                <w:color w:val="auto"/>
                <w:kern w:val="0"/>
                <w:szCs w:val="24"/>
                <w:lang w:val="en-GB" w:eastAsia="en-GB"/>
                <w14:ligatures w14:val="none"/>
              </w:rPr>
              <w:t>Uses a broader closure-based approach covering shops, factories and places of public amusement. Queensland’s Anzac Day legislation expressly links these restrictions to the commemorative significance of the day.</w:t>
            </w:r>
          </w:p>
        </w:tc>
      </w:tr>
      <w:tr w:rsidR="007F315C" w:rsidRPr="00753211" w14:paraId="107941A8" w14:textId="77777777" w:rsidTr="007F315C">
        <w:trPr>
          <w:trHeight w:val="334"/>
        </w:trPr>
        <w:tc>
          <w:tcPr>
            <w:tcW w:w="9060" w:type="dxa"/>
            <w:shd w:val="clear" w:color="auto" w:fill="A4BBD5" w:themeFill="accent5"/>
          </w:tcPr>
          <w:p w14:paraId="393DBC9A" w14:textId="1DF8780D" w:rsidR="007F315C" w:rsidRPr="00753211" w:rsidRDefault="007F315C" w:rsidP="007F315C">
            <w:pPr>
              <w:spacing w:before="60" w:after="60" w:line="264" w:lineRule="auto"/>
              <w:rPr>
                <w:b/>
                <w:bCs/>
              </w:rPr>
            </w:pPr>
            <w:r w:rsidRPr="007F315C">
              <w:rPr>
                <w:rFonts w:ascii="Arial" w:eastAsia="Times New Roman" w:hAnsi="Arial" w:cs="Arial"/>
                <w:b/>
                <w:bCs/>
                <w:color w:val="auto"/>
                <w:kern w:val="0"/>
                <w:szCs w:val="24"/>
                <w:lang w:val="en-GB" w:eastAsia="en-GB"/>
                <w14:ligatures w14:val="none"/>
              </w:rPr>
              <w:t>New South Wales</w:t>
            </w:r>
            <w:r>
              <w:rPr>
                <w:rFonts w:ascii="Arial" w:eastAsia="Times New Roman" w:hAnsi="Arial" w:cs="Arial"/>
                <w:color w:val="auto"/>
                <w:kern w:val="0"/>
                <w:szCs w:val="24"/>
                <w:lang w:val="en-GB" w:eastAsia="en-GB"/>
                <w14:ligatures w14:val="none"/>
              </w:rPr>
              <w:t xml:space="preserve"> - </w:t>
            </w:r>
            <w:r w:rsidRPr="00263D4B">
              <w:rPr>
                <w:rFonts w:ascii="Arial" w:eastAsia="Times New Roman" w:hAnsi="Arial" w:cs="Arial"/>
                <w:i/>
                <w:iCs/>
                <w:color w:val="auto"/>
                <w:kern w:val="0"/>
                <w:szCs w:val="24"/>
                <w:lang w:val="en-GB" w:eastAsia="en-GB"/>
                <w14:ligatures w14:val="none"/>
              </w:rPr>
              <w:t>Retail Trading Act 2008</w:t>
            </w:r>
            <w:r w:rsidRPr="00263D4B">
              <w:rPr>
                <w:rFonts w:ascii="Arial" w:eastAsia="Times New Roman" w:hAnsi="Arial" w:cs="Arial"/>
                <w:color w:val="auto"/>
                <w:kern w:val="0"/>
                <w:szCs w:val="24"/>
                <w:lang w:val="en-GB" w:eastAsia="en-GB"/>
                <w14:ligatures w14:val="none"/>
              </w:rPr>
              <w:t xml:space="preserve">; </w:t>
            </w:r>
            <w:r w:rsidRPr="00263D4B">
              <w:rPr>
                <w:rFonts w:ascii="Arial" w:eastAsia="Times New Roman" w:hAnsi="Arial" w:cs="Arial"/>
                <w:i/>
                <w:iCs/>
                <w:color w:val="auto"/>
                <w:kern w:val="0"/>
                <w:szCs w:val="24"/>
                <w:lang w:val="en-GB" w:eastAsia="en-GB"/>
                <w14:ligatures w14:val="none"/>
              </w:rPr>
              <w:t>Public Holidays Act 2010</w:t>
            </w:r>
          </w:p>
        </w:tc>
      </w:tr>
      <w:tr w:rsidR="007F315C" w14:paraId="0724B08B" w14:textId="77777777" w:rsidTr="0036644A">
        <w:tc>
          <w:tcPr>
            <w:tcW w:w="9060" w:type="dxa"/>
          </w:tcPr>
          <w:p w14:paraId="44A849D1" w14:textId="77777777" w:rsidR="007F315C" w:rsidRDefault="007F315C" w:rsidP="007F315C">
            <w:pPr>
              <w:spacing w:before="60" w:after="60" w:line="264" w:lineRule="auto"/>
            </w:pPr>
            <w:r w:rsidRPr="00263D4B">
              <w:rPr>
                <w:rFonts w:ascii="Arial" w:eastAsia="Times New Roman" w:hAnsi="Arial" w:cs="Arial"/>
                <w:color w:val="auto"/>
                <w:kern w:val="0"/>
                <w:szCs w:val="24"/>
                <w:lang w:val="en-GB" w:eastAsia="en-GB"/>
                <w14:ligatures w14:val="none"/>
              </w:rPr>
              <w:t>Primarily protects Anzac Day through retail trading restrictions and public holiday legislation. It does not have a single dedicated observance Act regulating sporting, entertainment and other activities.</w:t>
            </w:r>
          </w:p>
        </w:tc>
      </w:tr>
      <w:tr w:rsidR="007F315C" w:rsidRPr="00753211" w14:paraId="738CCD17" w14:textId="77777777" w:rsidTr="007F315C">
        <w:trPr>
          <w:trHeight w:val="770"/>
        </w:trPr>
        <w:tc>
          <w:tcPr>
            <w:tcW w:w="9060" w:type="dxa"/>
            <w:shd w:val="clear" w:color="auto" w:fill="A4BBD5" w:themeFill="accent5"/>
          </w:tcPr>
          <w:p w14:paraId="25958144" w14:textId="44C0F560" w:rsidR="007F315C" w:rsidRPr="00753211" w:rsidRDefault="007F315C" w:rsidP="007F315C">
            <w:pPr>
              <w:spacing w:before="60" w:after="60" w:line="264" w:lineRule="auto"/>
              <w:rPr>
                <w:b/>
                <w:bCs/>
              </w:rPr>
            </w:pPr>
            <w:r w:rsidRPr="007F315C">
              <w:rPr>
                <w:rFonts w:ascii="Arial" w:eastAsia="Times New Roman" w:hAnsi="Arial" w:cs="Arial"/>
                <w:b/>
                <w:bCs/>
                <w:color w:val="auto"/>
                <w:kern w:val="0"/>
                <w:szCs w:val="24"/>
                <w:lang w:val="en-GB" w:eastAsia="en-GB"/>
                <w14:ligatures w14:val="none"/>
              </w:rPr>
              <w:t>Western Australia</w:t>
            </w:r>
            <w:r>
              <w:rPr>
                <w:rFonts w:ascii="Arial" w:eastAsia="Times New Roman" w:hAnsi="Arial" w:cs="Arial"/>
                <w:color w:val="auto"/>
                <w:kern w:val="0"/>
                <w:szCs w:val="24"/>
                <w:lang w:val="en-GB" w:eastAsia="en-GB"/>
                <w14:ligatures w14:val="none"/>
              </w:rPr>
              <w:t xml:space="preserve"> - </w:t>
            </w:r>
            <w:r w:rsidRPr="001858F2">
              <w:rPr>
                <w:rFonts w:ascii="Arial" w:eastAsia="Times New Roman" w:hAnsi="Arial" w:cs="Arial"/>
                <w:i/>
                <w:iCs/>
                <w:color w:val="auto"/>
                <w:kern w:val="0"/>
                <w:szCs w:val="24"/>
                <w:lang w:val="en-GB" w:eastAsia="en-GB"/>
                <w14:ligatures w14:val="none"/>
              </w:rPr>
              <w:t>Anzac Day Act 1960</w:t>
            </w:r>
            <w:r>
              <w:rPr>
                <w:rFonts w:ascii="Arial" w:eastAsia="Times New Roman" w:hAnsi="Arial" w:cs="Arial"/>
                <w:color w:val="auto"/>
                <w:kern w:val="0"/>
                <w:szCs w:val="24"/>
                <w:lang w:val="en-GB" w:eastAsia="en-GB"/>
                <w14:ligatures w14:val="none"/>
              </w:rPr>
              <w:t xml:space="preserve">; </w:t>
            </w:r>
            <w:r w:rsidRPr="00263D4B">
              <w:rPr>
                <w:rFonts w:ascii="Arial" w:eastAsia="Times New Roman" w:hAnsi="Arial" w:cs="Arial"/>
                <w:color w:val="auto"/>
                <w:kern w:val="0"/>
                <w:szCs w:val="24"/>
                <w:lang w:val="en-GB" w:eastAsia="en-GB"/>
                <w14:ligatures w14:val="none"/>
              </w:rPr>
              <w:t>General trading, gaming and public holiday legislation</w:t>
            </w:r>
          </w:p>
        </w:tc>
      </w:tr>
      <w:tr w:rsidR="007F315C" w14:paraId="30E694C3" w14:textId="77777777" w:rsidTr="0036644A">
        <w:tc>
          <w:tcPr>
            <w:tcW w:w="9060" w:type="dxa"/>
          </w:tcPr>
          <w:p w14:paraId="7C2BA1AE" w14:textId="77777777" w:rsidR="007F315C" w:rsidRDefault="007F315C" w:rsidP="007F315C">
            <w:pPr>
              <w:spacing w:before="60" w:after="60" w:line="264" w:lineRule="auto"/>
            </w:pPr>
            <w:r w:rsidRPr="001858F2">
              <w:rPr>
                <w:rFonts w:ascii="Arial" w:eastAsia="Times New Roman" w:hAnsi="Arial" w:cs="Arial"/>
                <w:color w:val="auto"/>
                <w:kern w:val="0"/>
                <w:szCs w:val="24"/>
                <w:lang w:val="en-GB" w:eastAsia="en-GB"/>
                <w14:ligatures w14:val="none"/>
              </w:rPr>
              <w:t>Regulates racing and sporting events on Anzac Day, including restrictions before 1:00 pm. The Act also establishes the Anzac Day Trust Account and provides for contributions from certain professional sporting and large racing events.</w:t>
            </w:r>
            <w:r w:rsidRPr="00263D4B">
              <w:rPr>
                <w:rFonts w:ascii="Arial" w:eastAsia="Times New Roman" w:hAnsi="Arial" w:cs="Arial"/>
                <w:color w:val="auto"/>
                <w:kern w:val="0"/>
                <w:szCs w:val="24"/>
                <w:lang w:val="en-GB" w:eastAsia="en-GB"/>
                <w14:ligatures w14:val="none"/>
              </w:rPr>
              <w:t xml:space="preserve"> Trading, gaming and other activities are regulated through separate legislative frameworks.</w:t>
            </w:r>
          </w:p>
        </w:tc>
      </w:tr>
      <w:tr w:rsidR="007F315C" w:rsidRPr="00753211" w14:paraId="40870FA1" w14:textId="77777777" w:rsidTr="007F315C">
        <w:trPr>
          <w:trHeight w:val="337"/>
        </w:trPr>
        <w:tc>
          <w:tcPr>
            <w:tcW w:w="9060" w:type="dxa"/>
            <w:shd w:val="clear" w:color="auto" w:fill="A4BBD5" w:themeFill="accent5"/>
          </w:tcPr>
          <w:p w14:paraId="18E5BCC2" w14:textId="2E0A1F23" w:rsidR="007F315C" w:rsidRPr="00753211" w:rsidRDefault="007F315C" w:rsidP="007F315C">
            <w:pPr>
              <w:spacing w:before="60" w:after="60" w:line="264" w:lineRule="auto"/>
              <w:rPr>
                <w:b/>
                <w:bCs/>
              </w:rPr>
            </w:pPr>
            <w:r w:rsidRPr="007F315C">
              <w:rPr>
                <w:rFonts w:ascii="Arial" w:eastAsia="Times New Roman" w:hAnsi="Arial" w:cs="Arial"/>
                <w:b/>
                <w:bCs/>
                <w:color w:val="auto"/>
                <w:kern w:val="0"/>
                <w:szCs w:val="24"/>
                <w:lang w:val="en-GB" w:eastAsia="en-GB"/>
                <w14:ligatures w14:val="none"/>
              </w:rPr>
              <w:t>Australian Capital Territory</w:t>
            </w:r>
            <w:r>
              <w:rPr>
                <w:rFonts w:ascii="Arial" w:eastAsia="Times New Roman" w:hAnsi="Arial" w:cs="Arial"/>
                <w:color w:val="auto"/>
                <w:kern w:val="0"/>
                <w:szCs w:val="24"/>
                <w:lang w:val="en-GB" w:eastAsia="en-GB"/>
                <w14:ligatures w14:val="none"/>
              </w:rPr>
              <w:t xml:space="preserve"> - </w:t>
            </w:r>
            <w:r w:rsidRPr="00263D4B">
              <w:rPr>
                <w:rFonts w:ascii="Arial" w:eastAsia="Times New Roman" w:hAnsi="Arial" w:cs="Arial"/>
                <w:i/>
                <w:iCs/>
                <w:color w:val="auto"/>
                <w:kern w:val="0"/>
                <w:szCs w:val="24"/>
                <w:lang w:val="en-GB" w:eastAsia="en-GB"/>
                <w14:ligatures w14:val="none"/>
              </w:rPr>
              <w:t>Holidays Act 1958</w:t>
            </w:r>
            <w:r w:rsidRPr="00263D4B">
              <w:rPr>
                <w:rFonts w:ascii="Arial" w:eastAsia="Times New Roman" w:hAnsi="Arial" w:cs="Arial"/>
                <w:color w:val="auto"/>
                <w:kern w:val="0"/>
                <w:szCs w:val="24"/>
                <w:lang w:val="en-GB" w:eastAsia="en-GB"/>
                <w14:ligatures w14:val="none"/>
              </w:rPr>
              <w:t xml:space="preserve"> and other legislation</w:t>
            </w:r>
          </w:p>
        </w:tc>
      </w:tr>
      <w:tr w:rsidR="007F315C" w14:paraId="71D90E76" w14:textId="77777777" w:rsidTr="0036644A">
        <w:tc>
          <w:tcPr>
            <w:tcW w:w="9060" w:type="dxa"/>
          </w:tcPr>
          <w:p w14:paraId="74B57F14" w14:textId="77777777" w:rsidR="007F315C" w:rsidRDefault="007F315C" w:rsidP="007F315C">
            <w:pPr>
              <w:spacing w:before="60" w:after="60" w:line="264" w:lineRule="auto"/>
            </w:pPr>
            <w:r w:rsidRPr="00263D4B">
              <w:rPr>
                <w:rFonts w:ascii="Arial" w:eastAsia="Times New Roman" w:hAnsi="Arial" w:cs="Arial"/>
                <w:color w:val="auto"/>
                <w:kern w:val="0"/>
                <w:szCs w:val="24"/>
                <w:lang w:val="en-GB" w:eastAsia="en-GB"/>
                <w14:ligatures w14:val="none"/>
              </w:rPr>
              <w:t>Recognises Anzac Day as a public holiday but does not have a dedicated observance statute or a general protected morning period for sporting, entertainment or commercial activities.</w:t>
            </w:r>
          </w:p>
        </w:tc>
      </w:tr>
      <w:tr w:rsidR="007F315C" w:rsidRPr="00753211" w14:paraId="47269E35" w14:textId="77777777" w:rsidTr="00727535">
        <w:trPr>
          <w:trHeight w:val="337"/>
        </w:trPr>
        <w:tc>
          <w:tcPr>
            <w:tcW w:w="9060" w:type="dxa"/>
            <w:shd w:val="clear" w:color="auto" w:fill="A4BBD5" w:themeFill="accent5"/>
          </w:tcPr>
          <w:p w14:paraId="18AD3067" w14:textId="77C1AE12" w:rsidR="007F315C" w:rsidRPr="00753211" w:rsidRDefault="007F315C" w:rsidP="00727535">
            <w:pPr>
              <w:spacing w:before="60" w:after="60" w:line="264" w:lineRule="auto"/>
              <w:rPr>
                <w:b/>
                <w:bCs/>
              </w:rPr>
            </w:pPr>
            <w:r w:rsidRPr="007F315C">
              <w:rPr>
                <w:rFonts w:ascii="Arial" w:eastAsia="Times New Roman" w:hAnsi="Arial" w:cs="Arial"/>
                <w:b/>
                <w:bCs/>
                <w:color w:val="auto"/>
                <w:kern w:val="0"/>
                <w:szCs w:val="24"/>
                <w:lang w:val="en-GB" w:eastAsia="en-GB"/>
                <w14:ligatures w14:val="none"/>
              </w:rPr>
              <w:t>Northern Territory</w:t>
            </w:r>
            <w:r>
              <w:rPr>
                <w:rFonts w:ascii="Arial" w:eastAsia="Times New Roman" w:hAnsi="Arial" w:cs="Arial"/>
                <w:i/>
                <w:iCs/>
                <w:color w:val="auto"/>
                <w:kern w:val="0"/>
                <w:szCs w:val="24"/>
                <w:lang w:val="en-GB" w:eastAsia="en-GB"/>
                <w14:ligatures w14:val="none"/>
              </w:rPr>
              <w:t xml:space="preserve"> - </w:t>
            </w:r>
            <w:r w:rsidRPr="00263D4B">
              <w:rPr>
                <w:rFonts w:ascii="Arial" w:eastAsia="Times New Roman" w:hAnsi="Arial" w:cs="Arial"/>
                <w:i/>
                <w:iCs/>
                <w:color w:val="auto"/>
                <w:kern w:val="0"/>
                <w:szCs w:val="24"/>
                <w:lang w:val="en-GB" w:eastAsia="en-GB"/>
                <w14:ligatures w14:val="none"/>
              </w:rPr>
              <w:t>Public Holidays Act 1981</w:t>
            </w:r>
            <w:r w:rsidRPr="00263D4B">
              <w:rPr>
                <w:rFonts w:ascii="Arial" w:eastAsia="Times New Roman" w:hAnsi="Arial" w:cs="Arial"/>
                <w:color w:val="auto"/>
                <w:kern w:val="0"/>
                <w:szCs w:val="24"/>
                <w:lang w:val="en-GB" w:eastAsia="en-GB"/>
                <w14:ligatures w14:val="none"/>
              </w:rPr>
              <w:t xml:space="preserve"> and other legislation</w:t>
            </w:r>
          </w:p>
        </w:tc>
      </w:tr>
      <w:tr w:rsidR="007F315C" w14:paraId="6D53C1C6" w14:textId="77777777" w:rsidTr="0036644A">
        <w:tc>
          <w:tcPr>
            <w:tcW w:w="9060" w:type="dxa"/>
          </w:tcPr>
          <w:p w14:paraId="49F594A1" w14:textId="05CE336D" w:rsidR="007F315C" w:rsidRPr="00263D4B" w:rsidRDefault="007F315C" w:rsidP="007F315C">
            <w:pPr>
              <w:spacing w:before="60" w:after="60" w:line="264" w:lineRule="auto"/>
              <w:rPr>
                <w:rFonts w:ascii="Arial" w:eastAsia="Times New Roman" w:hAnsi="Arial" w:cs="Arial"/>
                <w:color w:val="auto"/>
                <w:kern w:val="0"/>
                <w:szCs w:val="24"/>
                <w:lang w:val="en-GB" w:eastAsia="en-GB"/>
                <w14:ligatures w14:val="none"/>
              </w:rPr>
            </w:pPr>
            <w:r w:rsidRPr="00263D4B">
              <w:rPr>
                <w:rFonts w:ascii="Arial" w:eastAsia="Times New Roman" w:hAnsi="Arial" w:cs="Arial"/>
                <w:color w:val="auto"/>
                <w:kern w:val="0"/>
                <w:szCs w:val="24"/>
                <w:lang w:val="en-GB" w:eastAsia="en-GB"/>
                <w14:ligatures w14:val="none"/>
              </w:rPr>
              <w:t>Recognises Anzac Day as a public holiday but does not have a comprehensive observance statute or a general legislated morning restriction on sporting, entertainment or commercial activity.</w:t>
            </w:r>
          </w:p>
        </w:tc>
      </w:tr>
    </w:tbl>
    <w:p w14:paraId="69EEC008" w14:textId="77777777" w:rsidR="00753211" w:rsidRPr="00263D4B" w:rsidRDefault="00753211" w:rsidP="00263D4B"/>
    <w:sectPr w:rsidR="00753211" w:rsidRPr="00263D4B" w:rsidSect="00D61493">
      <w:headerReference w:type="even" r:id="rId12"/>
      <w:headerReference w:type="default" r:id="rId13"/>
      <w:footerReference w:type="even" r:id="rId14"/>
      <w:footerReference w:type="default" r:id="rId15"/>
      <w:headerReference w:type="first" r:id="rId16"/>
      <w:footerReference w:type="first" r:id="rId17"/>
      <w:pgSz w:w="11906" w:h="16838" w:code="9"/>
      <w:pgMar w:top="851" w:right="1418" w:bottom="567" w:left="1418"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EDF52" w14:textId="77777777" w:rsidR="00AB79B6" w:rsidRDefault="00AB79B6" w:rsidP="00BD0AF7">
      <w:pPr>
        <w:spacing w:after="0" w:line="240" w:lineRule="auto"/>
      </w:pPr>
      <w:r>
        <w:separator/>
      </w:r>
    </w:p>
  </w:endnote>
  <w:endnote w:type="continuationSeparator" w:id="0">
    <w:p w14:paraId="0DBE6B1A" w14:textId="77777777" w:rsidR="00AB79B6" w:rsidRDefault="00AB79B6" w:rsidP="00BD0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3B7E1" w14:textId="25E740B8" w:rsidR="003146C7" w:rsidRDefault="003146C7">
    <w:pPr>
      <w:pStyle w:val="Footer"/>
    </w:pPr>
    <w:r>
      <w:rPr>
        <w:noProof/>
      </w:rPr>
      <mc:AlternateContent>
        <mc:Choice Requires="wps">
          <w:drawing>
            <wp:anchor distT="0" distB="0" distL="0" distR="0" simplePos="0" relativeHeight="251658246" behindDoc="0" locked="0" layoutInCell="1" allowOverlap="1" wp14:anchorId="33AA9AA0" wp14:editId="492530E0">
              <wp:simplePos x="635" y="635"/>
              <wp:positionH relativeFrom="page">
                <wp:align>center</wp:align>
              </wp:positionH>
              <wp:positionV relativeFrom="page">
                <wp:align>bottom</wp:align>
              </wp:positionV>
              <wp:extent cx="551815" cy="432435"/>
              <wp:effectExtent l="0" t="0" r="635" b="0"/>
              <wp:wrapNone/>
              <wp:docPr id="574229121" name="Text Box 5" descr="OFFICIAL">
                <a:extLst xmlns:a="http://schemas.openxmlformats.org/drawingml/2006/main">
                  <a:ext uri="{FF2B5EF4-FFF2-40B4-BE49-F238E27FC236}">
                    <a16:creationId xmlns:a16="http://schemas.microsoft.com/office/drawing/2014/main" id="{0FFB2B86-6C13-451A-8019-DD727857BFAE}"/>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1CD0D227" w14:textId="121AF2A5"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AA9AA0" id="_x0000_t202" coordsize="21600,21600" o:spt="202" path="m,l,21600r21600,l21600,xe">
              <v:stroke joinstyle="miter"/>
              <v:path gradientshapeok="t" o:connecttype="rect"/>
            </v:shapetype>
            <v:shape id="Text Box 5" o:spid="_x0000_s1028" type="#_x0000_t202" alt="OFFICIAL" style="position:absolute;margin-left:0;margin-top:0;width:43.45pt;height:34.0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" filled="f" stroked="f">
              <v:textbox style="mso-fit-shape-to-text:t" inset="0,0,0,15pt">
                <w:txbxContent>
                  <w:p w14:paraId="1CD0D227" w14:textId="121AF2A5"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80FB" w14:textId="324F1342" w:rsidR="00BD0AF7" w:rsidRPr="00F16B4E" w:rsidRDefault="003146C7" w:rsidP="003C79F5">
    <w:pPr>
      <w:pStyle w:val="FooterDepartmentdivisionunitnameCover"/>
    </w:pPr>
    <w:r>
      <mc:AlternateContent>
        <mc:Choice Requires="wps">
          <w:drawing>
            <wp:anchor distT="0" distB="0" distL="0" distR="0" simplePos="0" relativeHeight="251658247" behindDoc="0" locked="0" layoutInCell="1" allowOverlap="1" wp14:anchorId="5D7168F6" wp14:editId="49E3DEFE">
              <wp:simplePos x="635" y="635"/>
              <wp:positionH relativeFrom="page">
                <wp:align>center</wp:align>
              </wp:positionH>
              <wp:positionV relativeFrom="page">
                <wp:align>bottom</wp:align>
              </wp:positionV>
              <wp:extent cx="551815" cy="432435"/>
              <wp:effectExtent l="0" t="0" r="635" b="0"/>
              <wp:wrapNone/>
              <wp:docPr id="1485972619" name="Text Box 6" descr="OFFICIAL">
                <a:extLst xmlns:a="http://schemas.openxmlformats.org/drawingml/2006/main">
                  <a:ext uri="{FF2B5EF4-FFF2-40B4-BE49-F238E27FC236}">
                    <a16:creationId xmlns:a16="http://schemas.microsoft.com/office/drawing/2014/main" id="{659AC1F0-7390-4575-87A5-67541940D97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1413E7FD" w14:textId="5AB7A229"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7168F6" id="_x0000_t202" coordsize="21600,21600" o:spt="202" path="m,l,21600r21600,l21600,xe">
              <v:stroke joinstyle="miter"/>
              <v:path gradientshapeok="t" o:connecttype="rect"/>
            </v:shapetype>
            <v:shape id="Text Box 6" o:spid="_x0000_s1029" type="#_x0000_t202" alt="OFFICIAL" style="position:absolute;margin-left:0;margin-top:0;width:43.45pt;height:34.0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" filled="f" stroked="f">
              <v:textbox style="mso-fit-shape-to-text:t" inset="0,0,0,15pt">
                <w:txbxContent>
                  <w:p w14:paraId="1413E7FD" w14:textId="5AB7A229"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00263D4B" w:rsidRPr="00263D4B">
      <w:t xml:space="preserve"> Fact Sheet 1: Anzac Day Observance</w:t>
    </w:r>
    <w:r w:rsidR="00263D4B">
      <w:t xml:space="preserve"> </w:t>
    </w:r>
    <w:r w:rsidR="009F393A">
      <w:t xml:space="preserve">| </w:t>
    </w:r>
    <w:r w:rsidR="009F393A">
      <w:rPr>
        <w:noProof w:val="0"/>
      </w:rPr>
      <w:fldChar w:fldCharType="begin"/>
    </w:r>
    <w:r w:rsidR="009F393A">
      <w:instrText xml:space="preserve"> PAGE   \* MERGEFORMAT </w:instrText>
    </w:r>
    <w:r w:rsidR="009F393A">
      <w:rPr>
        <w:noProof w:val="0"/>
      </w:rPr>
      <w:fldChar w:fldCharType="separate"/>
    </w:r>
    <w:r w:rsidR="009F393A">
      <w:t>1</w:t>
    </w:r>
    <w:r w:rsidR="009F393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0042" w14:textId="3FCE604E" w:rsidR="003813E5" w:rsidRDefault="003146C7" w:rsidP="003146C7">
    <w:pPr>
      <w:pStyle w:val="FooterDepartmentdivisionunitnameCover"/>
    </w:pPr>
    <w:r w:rsidRPr="00336856">
      <w:rPr>
        <w:highlight w:val="yellow"/>
      </w:rPr>
      <w:drawing>
        <wp:anchor distT="0" distB="0" distL="114300" distR="114300" simplePos="0" relativeHeight="251658240" behindDoc="1" locked="0" layoutInCell="1" allowOverlap="1" wp14:anchorId="6104815D" wp14:editId="20F86EB9">
          <wp:simplePos x="0" y="0"/>
          <wp:positionH relativeFrom="margin">
            <wp:align>right</wp:align>
          </wp:positionH>
          <wp:positionV relativeFrom="paragraph">
            <wp:posOffset>-216535</wp:posOffset>
          </wp:positionV>
          <wp:extent cx="1439545" cy="568325"/>
          <wp:effectExtent l="0" t="0" r="8255" b="3175"/>
          <wp:wrapNone/>
          <wp:docPr id="1298520708" name="Picture 1298520708" descr="Tasmanian Government logo consisting of stylised Tasmanian tiger looking through grass to drink water. the words Tasmanian Government stacked to the right.">
            <a:extLst xmlns:a="http://schemas.openxmlformats.org/drawingml/2006/main">
              <a:ext uri="{FF2B5EF4-FFF2-40B4-BE49-F238E27FC236}">
                <a16:creationId xmlns:a16="http://schemas.microsoft.com/office/drawing/2014/main" id="{9E911E36-77BE-4B84-8B96-C6258B5E70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smanian Government logo consisting of stylised Tasmanian tiger looking through grass to drink water. the words Tasmanian Government stacked to the right."/>
                  <pic:cNvPicPr/>
                </pic:nvPicPr>
                <pic:blipFill>
                  <a:blip r:embed="rId1">
                    <a:extLst>
                      <a:ext uri="{28A0092B-C50C-407E-A947-70E740481C1C}">
                        <a14:useLocalDpi xmlns:a14="http://schemas.microsoft.com/office/drawing/2010/main" val="0"/>
                      </a:ext>
                    </a:extLst>
                  </a:blip>
                  <a:stretch>
                    <a:fillRect/>
                  </a:stretch>
                </pic:blipFill>
                <pic:spPr>
                  <a:xfrm>
                    <a:off x="0" y="0"/>
                    <a:ext cx="1439545" cy="568325"/>
                  </a:xfrm>
                  <a:prstGeom prst="rect">
                    <a:avLst/>
                  </a:prstGeom>
                </pic:spPr>
              </pic:pic>
            </a:graphicData>
          </a:graphic>
        </wp:anchor>
      </w:drawing>
    </w:r>
    <w:r w:rsidRPr="00336856">
      <w:rPr>
        <w:highlight w:val="yellow"/>
      </w:rPr>
      <mc:AlternateContent>
        <mc:Choice Requires="wps">
          <w:drawing>
            <wp:anchor distT="0" distB="0" distL="0" distR="0" simplePos="0" relativeHeight="251658245" behindDoc="0" locked="0" layoutInCell="1" allowOverlap="1" wp14:anchorId="346ABF2E" wp14:editId="42C35FAA">
              <wp:simplePos x="900953" y="9977718"/>
              <wp:positionH relativeFrom="page">
                <wp:align>center</wp:align>
              </wp:positionH>
              <wp:positionV relativeFrom="page">
                <wp:align>bottom</wp:align>
              </wp:positionV>
              <wp:extent cx="551815" cy="432435"/>
              <wp:effectExtent l="0" t="0" r="635" b="0"/>
              <wp:wrapNone/>
              <wp:docPr id="2021906443" name="Text Box 4" descr="OFFICIAL">
                <a:extLst xmlns:a="http://schemas.openxmlformats.org/drawingml/2006/main">
                  <a:ext uri="{FF2B5EF4-FFF2-40B4-BE49-F238E27FC236}">
                    <a16:creationId xmlns:a16="http://schemas.microsoft.com/office/drawing/2014/main" id="{D8CD9FB9-2CD2-4CCD-AA52-2577EBD28BF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1BB1D73D" w14:textId="109B0AD7"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6ABF2E" id="_x0000_t202" coordsize="21600,21600" o:spt="202" path="m,l,21600r21600,l21600,xe">
              <v:stroke joinstyle="miter"/>
              <v:path gradientshapeok="t" o:connecttype="rect"/>
            </v:shapetype>
            <v:shape id="Text Box 4" o:spid="_x0000_s1031" type="#_x0000_t202" alt="OFFICIAL" style="position:absolute;margin-left:0;margin-top:0;width:43.45pt;height:34.0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" filled="f" stroked="f">
              <v:textbox style="mso-fit-shape-to-text:t" inset="0,0,0,15pt">
                <w:txbxContent>
                  <w:p w14:paraId="1BB1D73D" w14:textId="109B0AD7"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000732B2">
      <w:t>Policy and Reform</w:t>
    </w:r>
    <w:r w:rsidR="003813E5">
      <w:br/>
      <w:t xml:space="preserve">Department of </w:t>
    </w:r>
    <w:r>
      <w:t>Premier and Cabinet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9864F" w14:textId="77777777" w:rsidR="00AB79B6" w:rsidRDefault="00AB79B6" w:rsidP="00BD0AF7">
      <w:pPr>
        <w:spacing w:after="0" w:line="240" w:lineRule="auto"/>
      </w:pPr>
      <w:r>
        <w:separator/>
      </w:r>
    </w:p>
  </w:footnote>
  <w:footnote w:type="continuationSeparator" w:id="0">
    <w:p w14:paraId="063A2636" w14:textId="77777777" w:rsidR="00AB79B6" w:rsidRDefault="00AB79B6" w:rsidP="00BD0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E720C" w14:textId="07E3FE4B" w:rsidR="003146C7" w:rsidRDefault="003146C7">
    <w:pPr>
      <w:pStyle w:val="Header"/>
    </w:pPr>
    <w:r>
      <w:rPr>
        <w:noProof/>
      </w:rPr>
      <mc:AlternateContent>
        <mc:Choice Requires="wps">
          <w:drawing>
            <wp:anchor distT="0" distB="0" distL="0" distR="0" simplePos="0" relativeHeight="251658243" behindDoc="0" locked="0" layoutInCell="1" allowOverlap="1" wp14:anchorId="509F3F43" wp14:editId="3933E971">
              <wp:simplePos x="635" y="635"/>
              <wp:positionH relativeFrom="page">
                <wp:align>center</wp:align>
              </wp:positionH>
              <wp:positionV relativeFrom="page">
                <wp:align>top</wp:align>
              </wp:positionV>
              <wp:extent cx="551815" cy="432435"/>
              <wp:effectExtent l="0" t="0" r="635" b="5715"/>
              <wp:wrapNone/>
              <wp:docPr id="1452889987" name="Text Box 2" descr="OFFICIAL">
                <a:extLst xmlns:a="http://schemas.openxmlformats.org/drawingml/2006/main">
                  <a:ext uri="{FF2B5EF4-FFF2-40B4-BE49-F238E27FC236}">
                    <a16:creationId xmlns:a16="http://schemas.microsoft.com/office/drawing/2014/main" id="{6AC4F67B-D855-43E3-8FFB-79B5BAADF61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0A808C55" w14:textId="009452CD"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9F3F43" id="_x0000_t202" coordsize="21600,21600" o:spt="202" path="m,l,21600r21600,l21600,xe">
              <v:stroke joinstyle="miter"/>
              <v:path gradientshapeok="t" o:connecttype="rect"/>
            </v:shapetype>
            <v:shape id="Text Box 2" o:spid="_x0000_s1026" type="#_x0000_t202" alt="OFFICIAL" style="position:absolute;margin-left:0;margin-top:0;width:43.45pt;height:34.0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" filled="f" stroked="f">
              <v:textbox style="mso-fit-shape-to-text:t" inset="0,15pt,0,0">
                <w:txbxContent>
                  <w:p w14:paraId="0A808C55" w14:textId="009452CD"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31E6" w14:textId="78363E7F" w:rsidR="0059331B" w:rsidRPr="0059331B" w:rsidRDefault="003146C7" w:rsidP="0059331B">
    <w:pPr>
      <w:pStyle w:val="Header"/>
    </w:pPr>
    <w:r>
      <w:rPr>
        <w:noProof/>
      </w:rPr>
      <mc:AlternateContent>
        <mc:Choice Requires="wps">
          <w:drawing>
            <wp:anchor distT="0" distB="0" distL="0" distR="0" simplePos="0" relativeHeight="251658244" behindDoc="0" locked="0" layoutInCell="1" allowOverlap="1" wp14:anchorId="6E442DA0" wp14:editId="63FF07B9">
              <wp:simplePos x="635" y="635"/>
              <wp:positionH relativeFrom="page">
                <wp:align>center</wp:align>
              </wp:positionH>
              <wp:positionV relativeFrom="page">
                <wp:align>top</wp:align>
              </wp:positionV>
              <wp:extent cx="551815" cy="432435"/>
              <wp:effectExtent l="0" t="0" r="635" b="5715"/>
              <wp:wrapNone/>
              <wp:docPr id="891318163" name="Text Box 3" descr="OFFICIAL">
                <a:extLst xmlns:a="http://schemas.openxmlformats.org/drawingml/2006/main">
                  <a:ext uri="{FF2B5EF4-FFF2-40B4-BE49-F238E27FC236}">
                    <a16:creationId xmlns:a16="http://schemas.microsoft.com/office/drawing/2014/main" id="{57295657-627F-4FB3-BB06-52BD83924FD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7EE19A47" w14:textId="2FE889B5"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442DA0" id="_x0000_t202" coordsize="21600,21600" o:spt="202" path="m,l,21600r21600,l21600,xe">
              <v:stroke joinstyle="miter"/>
              <v:path gradientshapeok="t" o:connecttype="rect"/>
            </v:shapetype>
            <v:shape id="Text Box 3" o:spid="_x0000_s1027" type="#_x0000_t202" alt="OFFICIAL" style="position:absolute;margin-left:0;margin-top:0;width:43.45pt;height:34.0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" filled="f" stroked="f">
              <v:textbox style="mso-fit-shape-to-text:t" inset="0,15pt,0,0">
                <w:txbxContent>
                  <w:p w14:paraId="7EE19A47" w14:textId="2FE889B5"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0059331B" w:rsidRPr="0059331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4109" w14:textId="446169AA" w:rsidR="00447BD4" w:rsidRDefault="003146C7" w:rsidP="00D4123E">
    <w:pPr>
      <w:pStyle w:val="Header"/>
    </w:pPr>
    <w:r w:rsidRPr="000732B2">
      <w:rPr>
        <w:noProof/>
      </w:rPr>
      <mc:AlternateContent>
        <mc:Choice Requires="wps">
          <w:drawing>
            <wp:anchor distT="0" distB="0" distL="0" distR="0" simplePos="0" relativeHeight="251658242" behindDoc="0" locked="0" layoutInCell="1" allowOverlap="1" wp14:anchorId="3156B0A7" wp14:editId="5FA4FFDF">
              <wp:simplePos x="900953" y="215153"/>
              <wp:positionH relativeFrom="page">
                <wp:align>center</wp:align>
              </wp:positionH>
              <wp:positionV relativeFrom="page">
                <wp:align>top</wp:align>
              </wp:positionV>
              <wp:extent cx="551815" cy="432435"/>
              <wp:effectExtent l="0" t="0" r="635" b="5715"/>
              <wp:wrapNone/>
              <wp:docPr id="186880602" name="Text Box 1" descr="OFFICIAL">
                <a:extLst xmlns:a="http://schemas.openxmlformats.org/drawingml/2006/main">
                  <a:ext uri="{FF2B5EF4-FFF2-40B4-BE49-F238E27FC236}">
                    <a16:creationId xmlns:a16="http://schemas.microsoft.com/office/drawing/2014/main" id="{42615E2B-7108-4284-90AC-75C593DD23C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49584D48" w14:textId="5B99986C"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56B0A7" id="_x0000_t202" coordsize="21600,21600" o:spt="202" path="m,l,21600r21600,l21600,xe">
              <v:stroke joinstyle="miter"/>
              <v:path gradientshapeok="t" o:connecttype="rect"/>
            </v:shapetype>
            <v:shape id="Text Box 1" o:spid="_x0000_s1030" type="#_x0000_t202" alt="OFFICIAL" style="position:absolute;margin-left:0;margin-top:0;width:43.45pt;height:34.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" filled="f" stroked="f">
              <v:textbox style="mso-fit-shape-to-text:t" inset="0,15pt,0,0">
                <w:txbxContent>
                  <w:p w14:paraId="49584D48" w14:textId="5B99986C" w:rsidR="003146C7" w:rsidRPr="003146C7" w:rsidRDefault="003146C7"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00D4123E" w:rsidRPr="000732B2">
      <w:rPr>
        <w:noProof/>
      </w:rPr>
      <w:drawing>
        <wp:anchor distT="0" distB="0" distL="114300" distR="114300" simplePos="0" relativeHeight="251658241" behindDoc="1" locked="0" layoutInCell="1" allowOverlap="1" wp14:anchorId="5F3CAECA" wp14:editId="0A7CAB45">
          <wp:simplePos x="0" y="0"/>
          <wp:positionH relativeFrom="page">
            <wp:align>right</wp:align>
          </wp:positionH>
          <wp:positionV relativeFrom="paragraph">
            <wp:posOffset>-215900</wp:posOffset>
          </wp:positionV>
          <wp:extent cx="2930525" cy="685165"/>
          <wp:effectExtent l="0" t="0" r="3175" b="635"/>
          <wp:wrapNone/>
          <wp:docPr id="1717228967" name="Picture 1">
            <a:extLst xmlns:a="http://schemas.openxmlformats.org/drawingml/2006/main">
              <a:ext uri="{FF2B5EF4-FFF2-40B4-BE49-F238E27FC236}">
                <a16:creationId xmlns:a16="http://schemas.microsoft.com/office/drawing/2014/main" id="{DB462F50-0B69-417A-86D7-6734A66886A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28967"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49118"/>
                  <a:stretch/>
                </pic:blipFill>
                <pic:spPr bwMode="auto">
                  <a:xfrm>
                    <a:off x="0" y="0"/>
                    <a:ext cx="2930525" cy="685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E0E4D" w:rsidRPr="000732B2">
      <w:t>Version 1</w:t>
    </w:r>
    <w:r w:rsidR="00D4123E" w:rsidRPr="000732B2">
      <w:t xml:space="preserve"> | </w:t>
    </w:r>
    <w:r w:rsidR="00DE0E4D" w:rsidRPr="000732B2">
      <w:t>26/1488</w:t>
    </w:r>
    <w:r w:rsidR="000732B2" w:rsidRPr="000732B2">
      <w:t>71/3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51AE402"/>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9C9202"/>
    <w:lvl w:ilvl="0">
      <w:start w:val="1"/>
      <w:numFmt w:val="decimal"/>
      <w:lvlText w:val="%1."/>
      <w:lvlJc w:val="left"/>
      <w:pPr>
        <w:tabs>
          <w:tab w:val="num" w:pos="643"/>
        </w:tabs>
        <w:ind w:left="643" w:hanging="360"/>
      </w:pPr>
    </w:lvl>
  </w:abstractNum>
  <w:abstractNum w:abstractNumId="2" w15:restartNumberingAfterBreak="0">
    <w:nsid w:val="FFFFFF88"/>
    <w:multiLevelType w:val="singleLevel"/>
    <w:tmpl w:val="0C1A87C2"/>
    <w:lvl w:ilvl="0">
      <w:start w:val="1"/>
      <w:numFmt w:val="decimal"/>
      <w:lvlText w:val="%1."/>
      <w:lvlJc w:val="left"/>
      <w:pPr>
        <w:tabs>
          <w:tab w:val="num" w:pos="360"/>
        </w:tabs>
        <w:ind w:left="360" w:hanging="360"/>
      </w:pPr>
    </w:lvl>
  </w:abstractNum>
  <w:abstractNum w:abstractNumId="3" w15:restartNumberingAfterBreak="0">
    <w:nsid w:val="026D339C"/>
    <w:multiLevelType w:val="hybridMultilevel"/>
    <w:tmpl w:val="76E4AC94"/>
    <w:lvl w:ilvl="0" w:tplc="5942B51A">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F28C4B"/>
    <w:multiLevelType w:val="hybridMultilevel"/>
    <w:tmpl w:val="8E885A38"/>
    <w:lvl w:ilvl="0" w:tplc="91527CAC">
      <w:start w:val="1"/>
      <w:numFmt w:val="bullet"/>
      <w:lvlText w:val=""/>
      <w:lvlJc w:val="left"/>
      <w:pPr>
        <w:ind w:left="720" w:hanging="360"/>
      </w:pPr>
      <w:rPr>
        <w:rFonts w:ascii="Symbol" w:hAnsi="Symbol" w:hint="default"/>
      </w:rPr>
    </w:lvl>
    <w:lvl w:ilvl="1" w:tplc="5A8C1534">
      <w:start w:val="1"/>
      <w:numFmt w:val="bullet"/>
      <w:lvlText w:val="o"/>
      <w:lvlJc w:val="left"/>
      <w:pPr>
        <w:ind w:left="1440" w:hanging="360"/>
      </w:pPr>
      <w:rPr>
        <w:rFonts w:ascii="Courier New" w:hAnsi="Courier New" w:hint="default"/>
      </w:rPr>
    </w:lvl>
    <w:lvl w:ilvl="2" w:tplc="C3CC107A">
      <w:start w:val="1"/>
      <w:numFmt w:val="bullet"/>
      <w:lvlText w:val=""/>
      <w:lvlJc w:val="left"/>
      <w:pPr>
        <w:ind w:left="2160" w:hanging="360"/>
      </w:pPr>
      <w:rPr>
        <w:rFonts w:ascii="Wingdings" w:hAnsi="Wingdings" w:hint="default"/>
      </w:rPr>
    </w:lvl>
    <w:lvl w:ilvl="3" w:tplc="8C6A406A">
      <w:start w:val="1"/>
      <w:numFmt w:val="bullet"/>
      <w:lvlText w:val=""/>
      <w:lvlJc w:val="left"/>
      <w:pPr>
        <w:ind w:left="2880" w:hanging="360"/>
      </w:pPr>
      <w:rPr>
        <w:rFonts w:ascii="Symbol" w:hAnsi="Symbol" w:hint="default"/>
      </w:rPr>
    </w:lvl>
    <w:lvl w:ilvl="4" w:tplc="A6105FE4">
      <w:start w:val="1"/>
      <w:numFmt w:val="bullet"/>
      <w:lvlText w:val="o"/>
      <w:lvlJc w:val="left"/>
      <w:pPr>
        <w:ind w:left="3600" w:hanging="360"/>
      </w:pPr>
      <w:rPr>
        <w:rFonts w:ascii="Courier New" w:hAnsi="Courier New" w:hint="default"/>
      </w:rPr>
    </w:lvl>
    <w:lvl w:ilvl="5" w:tplc="35BCB7E6">
      <w:start w:val="1"/>
      <w:numFmt w:val="bullet"/>
      <w:lvlText w:val=""/>
      <w:lvlJc w:val="left"/>
      <w:pPr>
        <w:ind w:left="4320" w:hanging="360"/>
      </w:pPr>
      <w:rPr>
        <w:rFonts w:ascii="Wingdings" w:hAnsi="Wingdings" w:hint="default"/>
      </w:rPr>
    </w:lvl>
    <w:lvl w:ilvl="6" w:tplc="A5AC5074">
      <w:start w:val="1"/>
      <w:numFmt w:val="bullet"/>
      <w:lvlText w:val=""/>
      <w:lvlJc w:val="left"/>
      <w:pPr>
        <w:ind w:left="5040" w:hanging="360"/>
      </w:pPr>
      <w:rPr>
        <w:rFonts w:ascii="Symbol" w:hAnsi="Symbol" w:hint="default"/>
      </w:rPr>
    </w:lvl>
    <w:lvl w:ilvl="7" w:tplc="FF700F8A">
      <w:start w:val="1"/>
      <w:numFmt w:val="bullet"/>
      <w:lvlText w:val="o"/>
      <w:lvlJc w:val="left"/>
      <w:pPr>
        <w:ind w:left="5760" w:hanging="360"/>
      </w:pPr>
      <w:rPr>
        <w:rFonts w:ascii="Courier New" w:hAnsi="Courier New" w:hint="default"/>
      </w:rPr>
    </w:lvl>
    <w:lvl w:ilvl="8" w:tplc="657223BC">
      <w:start w:val="1"/>
      <w:numFmt w:val="bullet"/>
      <w:lvlText w:val=""/>
      <w:lvlJc w:val="left"/>
      <w:pPr>
        <w:ind w:left="6480" w:hanging="360"/>
      </w:pPr>
      <w:rPr>
        <w:rFonts w:ascii="Wingdings" w:hAnsi="Wingdings" w:hint="default"/>
      </w:rPr>
    </w:lvl>
  </w:abstractNum>
  <w:abstractNum w:abstractNumId="5" w15:restartNumberingAfterBreak="0">
    <w:nsid w:val="06F7512E"/>
    <w:multiLevelType w:val="hybridMultilevel"/>
    <w:tmpl w:val="C6AA1AC4"/>
    <w:lvl w:ilvl="0" w:tplc="34644A9E">
      <w:start w:val="1"/>
      <w:numFmt w:val="bullet"/>
      <w:pStyle w:val="BulletsLevel1"/>
      <w:lvlText w:val=""/>
      <w:lvlJc w:val="left"/>
      <w:pPr>
        <w:ind w:left="6597"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022384"/>
    <w:multiLevelType w:val="hybridMultilevel"/>
    <w:tmpl w:val="3092DCD4"/>
    <w:lvl w:ilvl="0" w:tplc="96E425F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056D25"/>
    <w:multiLevelType w:val="hybridMultilevel"/>
    <w:tmpl w:val="BD06408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32A68BF"/>
    <w:multiLevelType w:val="hybridMultilevel"/>
    <w:tmpl w:val="F880F10E"/>
    <w:lvl w:ilvl="0" w:tplc="5EA8AEDE">
      <w:start w:val="1"/>
      <w:numFmt w:val="bullet"/>
      <w:lvlText w:val=""/>
      <w:lvlJc w:val="left"/>
      <w:pPr>
        <w:ind w:left="720" w:hanging="360"/>
      </w:pPr>
      <w:rPr>
        <w:rFonts w:ascii="Symbol" w:hAnsi="Symbol" w:hint="default"/>
      </w:rPr>
    </w:lvl>
    <w:lvl w:ilvl="1" w:tplc="2EC0E928">
      <w:start w:val="1"/>
      <w:numFmt w:val="bullet"/>
      <w:lvlText w:val="o"/>
      <w:lvlJc w:val="left"/>
      <w:pPr>
        <w:ind w:left="1440" w:hanging="360"/>
      </w:pPr>
      <w:rPr>
        <w:rFonts w:ascii="Courier New" w:hAnsi="Courier New" w:hint="default"/>
      </w:rPr>
    </w:lvl>
    <w:lvl w:ilvl="2" w:tplc="578AB5AC">
      <w:start w:val="1"/>
      <w:numFmt w:val="bullet"/>
      <w:lvlText w:val=""/>
      <w:lvlJc w:val="left"/>
      <w:pPr>
        <w:ind w:left="2160" w:hanging="360"/>
      </w:pPr>
      <w:rPr>
        <w:rFonts w:ascii="Wingdings" w:hAnsi="Wingdings" w:hint="default"/>
      </w:rPr>
    </w:lvl>
    <w:lvl w:ilvl="3" w:tplc="13B6AB54">
      <w:start w:val="1"/>
      <w:numFmt w:val="bullet"/>
      <w:lvlText w:val=""/>
      <w:lvlJc w:val="left"/>
      <w:pPr>
        <w:ind w:left="2880" w:hanging="360"/>
      </w:pPr>
      <w:rPr>
        <w:rFonts w:ascii="Symbol" w:hAnsi="Symbol" w:hint="default"/>
      </w:rPr>
    </w:lvl>
    <w:lvl w:ilvl="4" w:tplc="4AFE8A9C">
      <w:start w:val="1"/>
      <w:numFmt w:val="bullet"/>
      <w:lvlText w:val="o"/>
      <w:lvlJc w:val="left"/>
      <w:pPr>
        <w:ind w:left="3600" w:hanging="360"/>
      </w:pPr>
      <w:rPr>
        <w:rFonts w:ascii="Courier New" w:hAnsi="Courier New" w:hint="default"/>
      </w:rPr>
    </w:lvl>
    <w:lvl w:ilvl="5" w:tplc="F83A4D72">
      <w:start w:val="1"/>
      <w:numFmt w:val="bullet"/>
      <w:lvlText w:val=""/>
      <w:lvlJc w:val="left"/>
      <w:pPr>
        <w:ind w:left="4320" w:hanging="360"/>
      </w:pPr>
      <w:rPr>
        <w:rFonts w:ascii="Wingdings" w:hAnsi="Wingdings" w:hint="default"/>
      </w:rPr>
    </w:lvl>
    <w:lvl w:ilvl="6" w:tplc="6680DA48">
      <w:start w:val="1"/>
      <w:numFmt w:val="bullet"/>
      <w:lvlText w:val=""/>
      <w:lvlJc w:val="left"/>
      <w:pPr>
        <w:ind w:left="5040" w:hanging="360"/>
      </w:pPr>
      <w:rPr>
        <w:rFonts w:ascii="Symbol" w:hAnsi="Symbol" w:hint="default"/>
      </w:rPr>
    </w:lvl>
    <w:lvl w:ilvl="7" w:tplc="7B34E2DA">
      <w:start w:val="1"/>
      <w:numFmt w:val="bullet"/>
      <w:lvlText w:val="o"/>
      <w:lvlJc w:val="left"/>
      <w:pPr>
        <w:ind w:left="5760" w:hanging="360"/>
      </w:pPr>
      <w:rPr>
        <w:rFonts w:ascii="Courier New" w:hAnsi="Courier New" w:hint="default"/>
      </w:rPr>
    </w:lvl>
    <w:lvl w:ilvl="8" w:tplc="62EA31D8">
      <w:start w:val="1"/>
      <w:numFmt w:val="bullet"/>
      <w:lvlText w:val=""/>
      <w:lvlJc w:val="left"/>
      <w:pPr>
        <w:ind w:left="6480" w:hanging="360"/>
      </w:pPr>
      <w:rPr>
        <w:rFonts w:ascii="Wingdings" w:hAnsi="Wingdings" w:hint="default"/>
      </w:rPr>
    </w:lvl>
  </w:abstractNum>
  <w:abstractNum w:abstractNumId="9" w15:restartNumberingAfterBreak="0">
    <w:nsid w:val="16F615E8"/>
    <w:multiLevelType w:val="hybridMultilevel"/>
    <w:tmpl w:val="ACF02174"/>
    <w:lvl w:ilvl="0" w:tplc="8DFC8B78">
      <w:start w:val="1"/>
      <w:numFmt w:val="bullet"/>
      <w:pStyle w:val="BulletL3"/>
      <w:lvlText w:val="-"/>
      <w:lvlJc w:val="left"/>
      <w:pPr>
        <w:ind w:left="1778" w:hanging="360"/>
      </w:pPr>
      <w:rPr>
        <w:rFonts w:ascii="Arial" w:hAnsi="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0" w15:restartNumberingAfterBreak="0">
    <w:nsid w:val="19156A88"/>
    <w:multiLevelType w:val="multilevel"/>
    <w:tmpl w:val="E5D2673C"/>
    <w:lvl w:ilvl="0">
      <w:start w:val="1"/>
      <w:numFmt w:val="decimal"/>
      <w:lvlText w:val="%1."/>
      <w:lvlJc w:val="left"/>
      <w:pPr>
        <w:ind w:left="360" w:hanging="360"/>
      </w:pPr>
    </w:lvl>
    <w:lvl w:ilvl="1">
      <w:start w:val="1"/>
      <w:numFmt w:val="decimal"/>
      <w:pStyle w:val="NumberlistL2"/>
      <w:lvlText w:val="%1.%2."/>
      <w:lvlJc w:val="left"/>
      <w:pPr>
        <w:ind w:left="792" w:hanging="432"/>
      </w:pPr>
    </w:lvl>
    <w:lvl w:ilvl="2">
      <w:start w:val="1"/>
      <w:numFmt w:val="decimal"/>
      <w:pStyle w:val="Numberlist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571BC1"/>
    <w:multiLevelType w:val="hybridMultilevel"/>
    <w:tmpl w:val="9544B74A"/>
    <w:lvl w:ilvl="0" w:tplc="29AAAD18">
      <w:start w:val="1"/>
      <w:numFmt w:val="bullet"/>
      <w:lvlText w:val="-"/>
      <w:lvlJc w:val="left"/>
      <w:pPr>
        <w:ind w:left="1211" w:hanging="360"/>
      </w:pPr>
      <w:rPr>
        <w:rFonts w:ascii="Arial" w:hAnsi="Arial" w:hint="default"/>
      </w:rPr>
    </w:lvl>
    <w:lvl w:ilvl="1" w:tplc="FA240494">
      <w:start w:val="1"/>
      <w:numFmt w:val="bullet"/>
      <w:lvlText w:val="o"/>
      <w:lvlJc w:val="left"/>
      <w:pPr>
        <w:ind w:left="1440" w:hanging="360"/>
      </w:pPr>
      <w:rPr>
        <w:rFonts w:ascii="Courier New" w:hAnsi="Courier New" w:hint="default"/>
      </w:rPr>
    </w:lvl>
    <w:lvl w:ilvl="2" w:tplc="EC88A6BE">
      <w:start w:val="1"/>
      <w:numFmt w:val="bullet"/>
      <w:lvlText w:val=""/>
      <w:lvlJc w:val="left"/>
      <w:pPr>
        <w:ind w:left="2160" w:hanging="360"/>
      </w:pPr>
      <w:rPr>
        <w:rFonts w:ascii="Wingdings" w:hAnsi="Wingdings" w:hint="default"/>
      </w:rPr>
    </w:lvl>
    <w:lvl w:ilvl="3" w:tplc="48868FC2">
      <w:start w:val="1"/>
      <w:numFmt w:val="bullet"/>
      <w:lvlText w:val=""/>
      <w:lvlJc w:val="left"/>
      <w:pPr>
        <w:ind w:left="2880" w:hanging="360"/>
      </w:pPr>
      <w:rPr>
        <w:rFonts w:ascii="Symbol" w:hAnsi="Symbol" w:hint="default"/>
      </w:rPr>
    </w:lvl>
    <w:lvl w:ilvl="4" w:tplc="924622DE">
      <w:start w:val="1"/>
      <w:numFmt w:val="bullet"/>
      <w:lvlText w:val="o"/>
      <w:lvlJc w:val="left"/>
      <w:pPr>
        <w:ind w:left="3600" w:hanging="360"/>
      </w:pPr>
      <w:rPr>
        <w:rFonts w:ascii="Courier New" w:hAnsi="Courier New" w:hint="default"/>
      </w:rPr>
    </w:lvl>
    <w:lvl w:ilvl="5" w:tplc="F848690E">
      <w:start w:val="1"/>
      <w:numFmt w:val="bullet"/>
      <w:lvlText w:val=""/>
      <w:lvlJc w:val="left"/>
      <w:pPr>
        <w:ind w:left="4320" w:hanging="360"/>
      </w:pPr>
      <w:rPr>
        <w:rFonts w:ascii="Wingdings" w:hAnsi="Wingdings" w:hint="default"/>
      </w:rPr>
    </w:lvl>
    <w:lvl w:ilvl="6" w:tplc="D1AAF46C">
      <w:start w:val="1"/>
      <w:numFmt w:val="bullet"/>
      <w:lvlText w:val=""/>
      <w:lvlJc w:val="left"/>
      <w:pPr>
        <w:ind w:left="5040" w:hanging="360"/>
      </w:pPr>
      <w:rPr>
        <w:rFonts w:ascii="Symbol" w:hAnsi="Symbol" w:hint="default"/>
      </w:rPr>
    </w:lvl>
    <w:lvl w:ilvl="7" w:tplc="5E6AA796">
      <w:start w:val="1"/>
      <w:numFmt w:val="bullet"/>
      <w:lvlText w:val="o"/>
      <w:lvlJc w:val="left"/>
      <w:pPr>
        <w:ind w:left="5760" w:hanging="360"/>
      </w:pPr>
      <w:rPr>
        <w:rFonts w:ascii="Courier New" w:hAnsi="Courier New" w:hint="default"/>
      </w:rPr>
    </w:lvl>
    <w:lvl w:ilvl="8" w:tplc="A19A1A94">
      <w:start w:val="1"/>
      <w:numFmt w:val="bullet"/>
      <w:lvlText w:val=""/>
      <w:lvlJc w:val="left"/>
      <w:pPr>
        <w:ind w:left="6480" w:hanging="360"/>
      </w:pPr>
      <w:rPr>
        <w:rFonts w:ascii="Wingdings" w:hAnsi="Wingdings" w:hint="default"/>
      </w:rPr>
    </w:lvl>
  </w:abstractNum>
  <w:abstractNum w:abstractNumId="12" w15:restartNumberingAfterBreak="0">
    <w:nsid w:val="2EAF2E94"/>
    <w:multiLevelType w:val="hybridMultilevel"/>
    <w:tmpl w:val="99B43BE0"/>
    <w:lvl w:ilvl="0" w:tplc="7A546D68">
      <w:start w:val="1"/>
      <w:numFmt w:val="bullet"/>
      <w:lvlText w:val=""/>
      <w:lvlJc w:val="left"/>
      <w:pPr>
        <w:ind w:left="720" w:hanging="360"/>
      </w:pPr>
      <w:rPr>
        <w:rFonts w:ascii="Symbol" w:hAnsi="Symbol" w:hint="default"/>
      </w:rPr>
    </w:lvl>
    <w:lvl w:ilvl="1" w:tplc="90B25FFC">
      <w:start w:val="1"/>
      <w:numFmt w:val="bullet"/>
      <w:lvlText w:val="o"/>
      <w:lvlJc w:val="left"/>
      <w:pPr>
        <w:ind w:left="1440" w:hanging="360"/>
      </w:pPr>
      <w:rPr>
        <w:rFonts w:ascii="Courier New" w:hAnsi="Courier New" w:hint="default"/>
      </w:rPr>
    </w:lvl>
    <w:lvl w:ilvl="2" w:tplc="C696FF88">
      <w:start w:val="1"/>
      <w:numFmt w:val="bullet"/>
      <w:lvlText w:val=""/>
      <w:lvlJc w:val="left"/>
      <w:pPr>
        <w:ind w:left="2160" w:hanging="360"/>
      </w:pPr>
      <w:rPr>
        <w:rFonts w:ascii="Wingdings" w:hAnsi="Wingdings" w:hint="default"/>
      </w:rPr>
    </w:lvl>
    <w:lvl w:ilvl="3" w:tplc="8FDA078C">
      <w:start w:val="1"/>
      <w:numFmt w:val="bullet"/>
      <w:lvlText w:val=""/>
      <w:lvlJc w:val="left"/>
      <w:pPr>
        <w:ind w:left="2880" w:hanging="360"/>
      </w:pPr>
      <w:rPr>
        <w:rFonts w:ascii="Symbol" w:hAnsi="Symbol" w:hint="default"/>
      </w:rPr>
    </w:lvl>
    <w:lvl w:ilvl="4" w:tplc="03E0EF06">
      <w:start w:val="1"/>
      <w:numFmt w:val="bullet"/>
      <w:lvlText w:val="o"/>
      <w:lvlJc w:val="left"/>
      <w:pPr>
        <w:ind w:left="3600" w:hanging="360"/>
      </w:pPr>
      <w:rPr>
        <w:rFonts w:ascii="Courier New" w:hAnsi="Courier New" w:hint="default"/>
      </w:rPr>
    </w:lvl>
    <w:lvl w:ilvl="5" w:tplc="7B90DD10">
      <w:start w:val="1"/>
      <w:numFmt w:val="bullet"/>
      <w:lvlText w:val=""/>
      <w:lvlJc w:val="left"/>
      <w:pPr>
        <w:ind w:left="4320" w:hanging="360"/>
      </w:pPr>
      <w:rPr>
        <w:rFonts w:ascii="Wingdings" w:hAnsi="Wingdings" w:hint="default"/>
      </w:rPr>
    </w:lvl>
    <w:lvl w:ilvl="6" w:tplc="60C49C28">
      <w:start w:val="1"/>
      <w:numFmt w:val="bullet"/>
      <w:lvlText w:val=""/>
      <w:lvlJc w:val="left"/>
      <w:pPr>
        <w:ind w:left="5040" w:hanging="360"/>
      </w:pPr>
      <w:rPr>
        <w:rFonts w:ascii="Symbol" w:hAnsi="Symbol" w:hint="default"/>
      </w:rPr>
    </w:lvl>
    <w:lvl w:ilvl="7" w:tplc="26747316">
      <w:start w:val="1"/>
      <w:numFmt w:val="bullet"/>
      <w:lvlText w:val="o"/>
      <w:lvlJc w:val="left"/>
      <w:pPr>
        <w:ind w:left="5760" w:hanging="360"/>
      </w:pPr>
      <w:rPr>
        <w:rFonts w:ascii="Courier New" w:hAnsi="Courier New" w:hint="default"/>
      </w:rPr>
    </w:lvl>
    <w:lvl w:ilvl="8" w:tplc="A75ABA52">
      <w:start w:val="1"/>
      <w:numFmt w:val="bullet"/>
      <w:lvlText w:val=""/>
      <w:lvlJc w:val="left"/>
      <w:pPr>
        <w:ind w:left="6480" w:hanging="360"/>
      </w:pPr>
      <w:rPr>
        <w:rFonts w:ascii="Wingdings" w:hAnsi="Wingdings" w:hint="default"/>
      </w:rPr>
    </w:lvl>
  </w:abstractNum>
  <w:abstractNum w:abstractNumId="13" w15:restartNumberingAfterBreak="0">
    <w:nsid w:val="3DCB5634"/>
    <w:multiLevelType w:val="hybridMultilevel"/>
    <w:tmpl w:val="C5E2E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C5E5BF"/>
    <w:multiLevelType w:val="hybridMultilevel"/>
    <w:tmpl w:val="BB425EA2"/>
    <w:lvl w:ilvl="0" w:tplc="C794FE96">
      <w:start w:val="1"/>
      <w:numFmt w:val="bullet"/>
      <w:lvlText w:val="-"/>
      <w:lvlJc w:val="left"/>
      <w:pPr>
        <w:ind w:left="1211" w:hanging="360"/>
      </w:pPr>
      <w:rPr>
        <w:rFonts w:ascii="Arial" w:hAnsi="Arial" w:hint="default"/>
      </w:rPr>
    </w:lvl>
    <w:lvl w:ilvl="1" w:tplc="4B3E0E72">
      <w:start w:val="1"/>
      <w:numFmt w:val="bullet"/>
      <w:lvlText w:val="o"/>
      <w:lvlJc w:val="left"/>
      <w:pPr>
        <w:ind w:left="1440" w:hanging="360"/>
      </w:pPr>
      <w:rPr>
        <w:rFonts w:ascii="Courier New" w:hAnsi="Courier New" w:hint="default"/>
      </w:rPr>
    </w:lvl>
    <w:lvl w:ilvl="2" w:tplc="6F627104">
      <w:start w:val="1"/>
      <w:numFmt w:val="bullet"/>
      <w:lvlText w:val=""/>
      <w:lvlJc w:val="left"/>
      <w:pPr>
        <w:ind w:left="2160" w:hanging="360"/>
      </w:pPr>
      <w:rPr>
        <w:rFonts w:ascii="Wingdings" w:hAnsi="Wingdings" w:hint="default"/>
      </w:rPr>
    </w:lvl>
    <w:lvl w:ilvl="3" w:tplc="4288E578">
      <w:start w:val="1"/>
      <w:numFmt w:val="bullet"/>
      <w:lvlText w:val=""/>
      <w:lvlJc w:val="left"/>
      <w:pPr>
        <w:ind w:left="2880" w:hanging="360"/>
      </w:pPr>
      <w:rPr>
        <w:rFonts w:ascii="Symbol" w:hAnsi="Symbol" w:hint="default"/>
      </w:rPr>
    </w:lvl>
    <w:lvl w:ilvl="4" w:tplc="E3BE6E18">
      <w:start w:val="1"/>
      <w:numFmt w:val="bullet"/>
      <w:lvlText w:val="o"/>
      <w:lvlJc w:val="left"/>
      <w:pPr>
        <w:ind w:left="3600" w:hanging="360"/>
      </w:pPr>
      <w:rPr>
        <w:rFonts w:ascii="Courier New" w:hAnsi="Courier New" w:hint="default"/>
      </w:rPr>
    </w:lvl>
    <w:lvl w:ilvl="5" w:tplc="1B6A24B2">
      <w:start w:val="1"/>
      <w:numFmt w:val="bullet"/>
      <w:lvlText w:val=""/>
      <w:lvlJc w:val="left"/>
      <w:pPr>
        <w:ind w:left="4320" w:hanging="360"/>
      </w:pPr>
      <w:rPr>
        <w:rFonts w:ascii="Wingdings" w:hAnsi="Wingdings" w:hint="default"/>
      </w:rPr>
    </w:lvl>
    <w:lvl w:ilvl="6" w:tplc="34A4EA2A">
      <w:start w:val="1"/>
      <w:numFmt w:val="bullet"/>
      <w:lvlText w:val=""/>
      <w:lvlJc w:val="left"/>
      <w:pPr>
        <w:ind w:left="5040" w:hanging="360"/>
      </w:pPr>
      <w:rPr>
        <w:rFonts w:ascii="Symbol" w:hAnsi="Symbol" w:hint="default"/>
      </w:rPr>
    </w:lvl>
    <w:lvl w:ilvl="7" w:tplc="FF94567A">
      <w:start w:val="1"/>
      <w:numFmt w:val="bullet"/>
      <w:lvlText w:val="o"/>
      <w:lvlJc w:val="left"/>
      <w:pPr>
        <w:ind w:left="5760" w:hanging="360"/>
      </w:pPr>
      <w:rPr>
        <w:rFonts w:ascii="Courier New" w:hAnsi="Courier New" w:hint="default"/>
      </w:rPr>
    </w:lvl>
    <w:lvl w:ilvl="8" w:tplc="E286CD64">
      <w:start w:val="1"/>
      <w:numFmt w:val="bullet"/>
      <w:lvlText w:val=""/>
      <w:lvlJc w:val="left"/>
      <w:pPr>
        <w:ind w:left="6480" w:hanging="360"/>
      </w:pPr>
      <w:rPr>
        <w:rFonts w:ascii="Wingdings" w:hAnsi="Wingdings" w:hint="default"/>
      </w:rPr>
    </w:lvl>
  </w:abstractNum>
  <w:abstractNum w:abstractNumId="15" w15:restartNumberingAfterBreak="0">
    <w:nsid w:val="51612C3A"/>
    <w:multiLevelType w:val="hybridMultilevel"/>
    <w:tmpl w:val="C79A0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A0446DF"/>
    <w:multiLevelType w:val="hybridMultilevel"/>
    <w:tmpl w:val="E52C7AA6"/>
    <w:lvl w:ilvl="0" w:tplc="A762C8A4">
      <w:start w:val="1"/>
      <w:numFmt w:val="bullet"/>
      <w:lvlText w:val="-"/>
      <w:lvlJc w:val="left"/>
      <w:pPr>
        <w:ind w:left="1211" w:hanging="360"/>
      </w:pPr>
      <w:rPr>
        <w:rFonts w:ascii="Arial" w:hAnsi="Arial" w:hint="default"/>
      </w:rPr>
    </w:lvl>
    <w:lvl w:ilvl="1" w:tplc="C68A2E7A">
      <w:start w:val="1"/>
      <w:numFmt w:val="bullet"/>
      <w:lvlText w:val="o"/>
      <w:lvlJc w:val="left"/>
      <w:pPr>
        <w:ind w:left="1440" w:hanging="360"/>
      </w:pPr>
      <w:rPr>
        <w:rFonts w:ascii="Courier New" w:hAnsi="Courier New" w:hint="default"/>
      </w:rPr>
    </w:lvl>
    <w:lvl w:ilvl="2" w:tplc="5CD27A76">
      <w:start w:val="1"/>
      <w:numFmt w:val="bullet"/>
      <w:lvlText w:val=""/>
      <w:lvlJc w:val="left"/>
      <w:pPr>
        <w:ind w:left="2160" w:hanging="360"/>
      </w:pPr>
      <w:rPr>
        <w:rFonts w:ascii="Wingdings" w:hAnsi="Wingdings" w:hint="default"/>
      </w:rPr>
    </w:lvl>
    <w:lvl w:ilvl="3" w:tplc="76A293D0">
      <w:start w:val="1"/>
      <w:numFmt w:val="bullet"/>
      <w:lvlText w:val=""/>
      <w:lvlJc w:val="left"/>
      <w:pPr>
        <w:ind w:left="2880" w:hanging="360"/>
      </w:pPr>
      <w:rPr>
        <w:rFonts w:ascii="Symbol" w:hAnsi="Symbol" w:hint="default"/>
      </w:rPr>
    </w:lvl>
    <w:lvl w:ilvl="4" w:tplc="37BCB918">
      <w:start w:val="1"/>
      <w:numFmt w:val="bullet"/>
      <w:lvlText w:val="o"/>
      <w:lvlJc w:val="left"/>
      <w:pPr>
        <w:ind w:left="3600" w:hanging="360"/>
      </w:pPr>
      <w:rPr>
        <w:rFonts w:ascii="Courier New" w:hAnsi="Courier New" w:hint="default"/>
      </w:rPr>
    </w:lvl>
    <w:lvl w:ilvl="5" w:tplc="5644C1A8">
      <w:start w:val="1"/>
      <w:numFmt w:val="bullet"/>
      <w:lvlText w:val=""/>
      <w:lvlJc w:val="left"/>
      <w:pPr>
        <w:ind w:left="4320" w:hanging="360"/>
      </w:pPr>
      <w:rPr>
        <w:rFonts w:ascii="Wingdings" w:hAnsi="Wingdings" w:hint="default"/>
      </w:rPr>
    </w:lvl>
    <w:lvl w:ilvl="6" w:tplc="E2B86302">
      <w:start w:val="1"/>
      <w:numFmt w:val="bullet"/>
      <w:lvlText w:val=""/>
      <w:lvlJc w:val="left"/>
      <w:pPr>
        <w:ind w:left="5040" w:hanging="360"/>
      </w:pPr>
      <w:rPr>
        <w:rFonts w:ascii="Symbol" w:hAnsi="Symbol" w:hint="default"/>
      </w:rPr>
    </w:lvl>
    <w:lvl w:ilvl="7" w:tplc="BEA45030">
      <w:start w:val="1"/>
      <w:numFmt w:val="bullet"/>
      <w:lvlText w:val="o"/>
      <w:lvlJc w:val="left"/>
      <w:pPr>
        <w:ind w:left="5760" w:hanging="360"/>
      </w:pPr>
      <w:rPr>
        <w:rFonts w:ascii="Courier New" w:hAnsi="Courier New" w:hint="default"/>
      </w:rPr>
    </w:lvl>
    <w:lvl w:ilvl="8" w:tplc="D0282BFE">
      <w:start w:val="1"/>
      <w:numFmt w:val="bullet"/>
      <w:lvlText w:val=""/>
      <w:lvlJc w:val="left"/>
      <w:pPr>
        <w:ind w:left="6480" w:hanging="360"/>
      </w:pPr>
      <w:rPr>
        <w:rFonts w:ascii="Wingdings" w:hAnsi="Wingdings" w:hint="default"/>
      </w:rPr>
    </w:lvl>
  </w:abstractNum>
  <w:abstractNum w:abstractNumId="17" w15:restartNumberingAfterBreak="0">
    <w:nsid w:val="666B58F7"/>
    <w:multiLevelType w:val="hybridMultilevel"/>
    <w:tmpl w:val="90DCDB2E"/>
    <w:lvl w:ilvl="0" w:tplc="2C8EABD2">
      <w:start w:val="1"/>
      <w:numFmt w:val="bullet"/>
      <w:pStyle w:val="BulletL2"/>
      <w:lvlText w:val="-"/>
      <w:lvlJc w:val="left"/>
      <w:pPr>
        <w:ind w:left="927" w:hanging="360"/>
      </w:pPr>
      <w:rPr>
        <w:rFonts w:ascii="Arial" w:hAnsi="Arial" w:hint="default"/>
        <w:spacing w:val="0"/>
        <w:sz w:val="20"/>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8"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DC68992"/>
    <w:multiLevelType w:val="hybridMultilevel"/>
    <w:tmpl w:val="2BC465D2"/>
    <w:lvl w:ilvl="0" w:tplc="A942D2E8">
      <w:start w:val="1"/>
      <w:numFmt w:val="bullet"/>
      <w:lvlText w:val="-"/>
      <w:lvlJc w:val="left"/>
      <w:pPr>
        <w:ind w:left="1211" w:hanging="360"/>
      </w:pPr>
      <w:rPr>
        <w:rFonts w:ascii="Arial" w:hAnsi="Arial" w:hint="default"/>
      </w:rPr>
    </w:lvl>
    <w:lvl w:ilvl="1" w:tplc="BC8A8E98">
      <w:start w:val="1"/>
      <w:numFmt w:val="bullet"/>
      <w:lvlText w:val="o"/>
      <w:lvlJc w:val="left"/>
      <w:pPr>
        <w:ind w:left="1440" w:hanging="360"/>
      </w:pPr>
      <w:rPr>
        <w:rFonts w:ascii="Courier New" w:hAnsi="Courier New" w:hint="default"/>
      </w:rPr>
    </w:lvl>
    <w:lvl w:ilvl="2" w:tplc="0AC8EBEA">
      <w:start w:val="1"/>
      <w:numFmt w:val="bullet"/>
      <w:lvlText w:val=""/>
      <w:lvlJc w:val="left"/>
      <w:pPr>
        <w:ind w:left="2160" w:hanging="360"/>
      </w:pPr>
      <w:rPr>
        <w:rFonts w:ascii="Wingdings" w:hAnsi="Wingdings" w:hint="default"/>
      </w:rPr>
    </w:lvl>
    <w:lvl w:ilvl="3" w:tplc="1402E034">
      <w:start w:val="1"/>
      <w:numFmt w:val="bullet"/>
      <w:lvlText w:val=""/>
      <w:lvlJc w:val="left"/>
      <w:pPr>
        <w:ind w:left="2880" w:hanging="360"/>
      </w:pPr>
      <w:rPr>
        <w:rFonts w:ascii="Symbol" w:hAnsi="Symbol" w:hint="default"/>
      </w:rPr>
    </w:lvl>
    <w:lvl w:ilvl="4" w:tplc="EE340904">
      <w:start w:val="1"/>
      <w:numFmt w:val="bullet"/>
      <w:lvlText w:val="o"/>
      <w:lvlJc w:val="left"/>
      <w:pPr>
        <w:ind w:left="3600" w:hanging="360"/>
      </w:pPr>
      <w:rPr>
        <w:rFonts w:ascii="Courier New" w:hAnsi="Courier New" w:hint="default"/>
      </w:rPr>
    </w:lvl>
    <w:lvl w:ilvl="5" w:tplc="1B529296">
      <w:start w:val="1"/>
      <w:numFmt w:val="bullet"/>
      <w:lvlText w:val=""/>
      <w:lvlJc w:val="left"/>
      <w:pPr>
        <w:ind w:left="4320" w:hanging="360"/>
      </w:pPr>
      <w:rPr>
        <w:rFonts w:ascii="Wingdings" w:hAnsi="Wingdings" w:hint="default"/>
      </w:rPr>
    </w:lvl>
    <w:lvl w:ilvl="6" w:tplc="FDF2D408">
      <w:start w:val="1"/>
      <w:numFmt w:val="bullet"/>
      <w:lvlText w:val=""/>
      <w:lvlJc w:val="left"/>
      <w:pPr>
        <w:ind w:left="5040" w:hanging="360"/>
      </w:pPr>
      <w:rPr>
        <w:rFonts w:ascii="Symbol" w:hAnsi="Symbol" w:hint="default"/>
      </w:rPr>
    </w:lvl>
    <w:lvl w:ilvl="7" w:tplc="E136876A">
      <w:start w:val="1"/>
      <w:numFmt w:val="bullet"/>
      <w:lvlText w:val="o"/>
      <w:lvlJc w:val="left"/>
      <w:pPr>
        <w:ind w:left="5760" w:hanging="360"/>
      </w:pPr>
      <w:rPr>
        <w:rFonts w:ascii="Courier New" w:hAnsi="Courier New" w:hint="default"/>
      </w:rPr>
    </w:lvl>
    <w:lvl w:ilvl="8" w:tplc="8B6E9426">
      <w:start w:val="1"/>
      <w:numFmt w:val="bullet"/>
      <w:lvlText w:val=""/>
      <w:lvlJc w:val="left"/>
      <w:pPr>
        <w:ind w:left="6480" w:hanging="360"/>
      </w:pPr>
      <w:rPr>
        <w:rFonts w:ascii="Wingdings" w:hAnsi="Wingdings" w:hint="default"/>
      </w:rPr>
    </w:lvl>
  </w:abstractNum>
  <w:abstractNum w:abstractNumId="20" w15:restartNumberingAfterBreak="0">
    <w:nsid w:val="6FCFA691"/>
    <w:multiLevelType w:val="hybridMultilevel"/>
    <w:tmpl w:val="2C5ADDE8"/>
    <w:lvl w:ilvl="0" w:tplc="8604DC74">
      <w:start w:val="1"/>
      <w:numFmt w:val="bullet"/>
      <w:lvlText w:val=""/>
      <w:lvlJc w:val="left"/>
      <w:pPr>
        <w:ind w:left="720" w:hanging="360"/>
      </w:pPr>
      <w:rPr>
        <w:rFonts w:ascii="Symbol" w:hAnsi="Symbol" w:hint="default"/>
      </w:rPr>
    </w:lvl>
    <w:lvl w:ilvl="1" w:tplc="F49001C8">
      <w:start w:val="1"/>
      <w:numFmt w:val="bullet"/>
      <w:lvlText w:val="o"/>
      <w:lvlJc w:val="left"/>
      <w:pPr>
        <w:ind w:left="1440" w:hanging="360"/>
      </w:pPr>
      <w:rPr>
        <w:rFonts w:ascii="Courier New" w:hAnsi="Courier New" w:hint="default"/>
      </w:rPr>
    </w:lvl>
    <w:lvl w:ilvl="2" w:tplc="C842FFA2">
      <w:start w:val="1"/>
      <w:numFmt w:val="bullet"/>
      <w:lvlText w:val=""/>
      <w:lvlJc w:val="left"/>
      <w:pPr>
        <w:ind w:left="2160" w:hanging="360"/>
      </w:pPr>
      <w:rPr>
        <w:rFonts w:ascii="Wingdings" w:hAnsi="Wingdings" w:hint="default"/>
      </w:rPr>
    </w:lvl>
    <w:lvl w:ilvl="3" w:tplc="9C4208C2">
      <w:start w:val="1"/>
      <w:numFmt w:val="bullet"/>
      <w:lvlText w:val=""/>
      <w:lvlJc w:val="left"/>
      <w:pPr>
        <w:ind w:left="2880" w:hanging="360"/>
      </w:pPr>
      <w:rPr>
        <w:rFonts w:ascii="Symbol" w:hAnsi="Symbol" w:hint="default"/>
      </w:rPr>
    </w:lvl>
    <w:lvl w:ilvl="4" w:tplc="77B00262">
      <w:start w:val="1"/>
      <w:numFmt w:val="bullet"/>
      <w:lvlText w:val="o"/>
      <w:lvlJc w:val="left"/>
      <w:pPr>
        <w:ind w:left="3600" w:hanging="360"/>
      </w:pPr>
      <w:rPr>
        <w:rFonts w:ascii="Courier New" w:hAnsi="Courier New" w:hint="default"/>
      </w:rPr>
    </w:lvl>
    <w:lvl w:ilvl="5" w:tplc="A8CABEB4">
      <w:start w:val="1"/>
      <w:numFmt w:val="bullet"/>
      <w:lvlText w:val=""/>
      <w:lvlJc w:val="left"/>
      <w:pPr>
        <w:ind w:left="4320" w:hanging="360"/>
      </w:pPr>
      <w:rPr>
        <w:rFonts w:ascii="Wingdings" w:hAnsi="Wingdings" w:hint="default"/>
      </w:rPr>
    </w:lvl>
    <w:lvl w:ilvl="6" w:tplc="9AFE7808">
      <w:start w:val="1"/>
      <w:numFmt w:val="bullet"/>
      <w:lvlText w:val=""/>
      <w:lvlJc w:val="left"/>
      <w:pPr>
        <w:ind w:left="5040" w:hanging="360"/>
      </w:pPr>
      <w:rPr>
        <w:rFonts w:ascii="Symbol" w:hAnsi="Symbol" w:hint="default"/>
      </w:rPr>
    </w:lvl>
    <w:lvl w:ilvl="7" w:tplc="5188527E">
      <w:start w:val="1"/>
      <w:numFmt w:val="bullet"/>
      <w:lvlText w:val="o"/>
      <w:lvlJc w:val="left"/>
      <w:pPr>
        <w:ind w:left="5760" w:hanging="360"/>
      </w:pPr>
      <w:rPr>
        <w:rFonts w:ascii="Courier New" w:hAnsi="Courier New" w:hint="default"/>
      </w:rPr>
    </w:lvl>
    <w:lvl w:ilvl="8" w:tplc="1D50F6E2">
      <w:start w:val="1"/>
      <w:numFmt w:val="bullet"/>
      <w:lvlText w:val=""/>
      <w:lvlJc w:val="left"/>
      <w:pPr>
        <w:ind w:left="6480" w:hanging="360"/>
      </w:pPr>
      <w:rPr>
        <w:rFonts w:ascii="Wingdings" w:hAnsi="Wingdings" w:hint="default"/>
      </w:rPr>
    </w:lvl>
  </w:abstractNum>
  <w:abstractNum w:abstractNumId="21" w15:restartNumberingAfterBreak="0">
    <w:nsid w:val="78E07FEE"/>
    <w:multiLevelType w:val="hybridMultilevel"/>
    <w:tmpl w:val="C71636A6"/>
    <w:lvl w:ilvl="0" w:tplc="FFFFFFFF">
      <w:start w:val="1"/>
      <w:numFmt w:val="bullet"/>
      <w:lvlText w:val=""/>
      <w:lvlJc w:val="left"/>
      <w:pPr>
        <w:ind w:left="720" w:hanging="360"/>
      </w:pPr>
      <w:rPr>
        <w:rFonts w:ascii="Symbol" w:hAnsi="Symbol" w:hint="default"/>
      </w:rPr>
    </w:lvl>
    <w:lvl w:ilvl="1" w:tplc="F6781C02">
      <w:start w:val="1"/>
      <w:numFmt w:val="bullet"/>
      <w:pStyle w:val="Bulletlevel2"/>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E555ED5"/>
    <w:multiLevelType w:val="multilevel"/>
    <w:tmpl w:val="33ACC6A2"/>
    <w:lvl w:ilvl="0">
      <w:start w:val="1"/>
      <w:numFmt w:val="decimal"/>
      <w:pStyle w:val="Numberlist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04239110">
    <w:abstractNumId w:val="19"/>
  </w:num>
  <w:num w:numId="2" w16cid:durableId="405499542">
    <w:abstractNumId w:val="4"/>
  </w:num>
  <w:num w:numId="3" w16cid:durableId="1653096983">
    <w:abstractNumId w:val="14"/>
  </w:num>
  <w:num w:numId="4" w16cid:durableId="1919292216">
    <w:abstractNumId w:val="20"/>
  </w:num>
  <w:num w:numId="5" w16cid:durableId="1742674581">
    <w:abstractNumId w:val="16"/>
  </w:num>
  <w:num w:numId="6" w16cid:durableId="578439817">
    <w:abstractNumId w:val="12"/>
  </w:num>
  <w:num w:numId="7" w16cid:durableId="151525120">
    <w:abstractNumId w:val="11"/>
  </w:num>
  <w:num w:numId="8" w16cid:durableId="5642263">
    <w:abstractNumId w:val="8"/>
  </w:num>
  <w:num w:numId="9" w16cid:durableId="1140732817">
    <w:abstractNumId w:val="10"/>
  </w:num>
  <w:num w:numId="10" w16cid:durableId="1161774435">
    <w:abstractNumId w:val="22"/>
  </w:num>
  <w:num w:numId="11" w16cid:durableId="1380325260">
    <w:abstractNumId w:val="18"/>
  </w:num>
  <w:num w:numId="12" w16cid:durableId="1597010386">
    <w:abstractNumId w:val="18"/>
  </w:num>
  <w:num w:numId="13" w16cid:durableId="1656833321">
    <w:abstractNumId w:val="18"/>
  </w:num>
  <w:num w:numId="14" w16cid:durableId="1797407731">
    <w:abstractNumId w:val="2"/>
  </w:num>
  <w:num w:numId="15" w16cid:durableId="18822700">
    <w:abstractNumId w:val="17"/>
  </w:num>
  <w:num w:numId="16" w16cid:durableId="1884638788">
    <w:abstractNumId w:val="3"/>
  </w:num>
  <w:num w:numId="17" w16cid:durableId="1971204888">
    <w:abstractNumId w:val="7"/>
  </w:num>
  <w:num w:numId="18" w16cid:durableId="396364326">
    <w:abstractNumId w:val="6"/>
  </w:num>
  <w:num w:numId="19" w16cid:durableId="413205355">
    <w:abstractNumId w:val="10"/>
  </w:num>
  <w:num w:numId="20" w16cid:durableId="529490499">
    <w:abstractNumId w:val="0"/>
  </w:num>
  <w:num w:numId="21" w16cid:durableId="546643098">
    <w:abstractNumId w:val="5"/>
  </w:num>
  <w:num w:numId="22" w16cid:durableId="589579785">
    <w:abstractNumId w:val="21"/>
  </w:num>
  <w:num w:numId="23" w16cid:durableId="90667290">
    <w:abstractNumId w:val="9"/>
  </w:num>
  <w:num w:numId="24" w16cid:durableId="948122419">
    <w:abstractNumId w:val="1"/>
  </w:num>
  <w:num w:numId="25" w16cid:durableId="1937400173">
    <w:abstractNumId w:val="15"/>
  </w:num>
  <w:num w:numId="26" w16cid:durableId="5824224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defaultTableStyle w:val="ListTable3-Accent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C51"/>
    <w:rsid w:val="000319F9"/>
    <w:rsid w:val="00043209"/>
    <w:rsid w:val="00051392"/>
    <w:rsid w:val="00053172"/>
    <w:rsid w:val="000732B2"/>
    <w:rsid w:val="00106F8A"/>
    <w:rsid w:val="00120915"/>
    <w:rsid w:val="001314BC"/>
    <w:rsid w:val="00137D98"/>
    <w:rsid w:val="001604DF"/>
    <w:rsid w:val="00162D35"/>
    <w:rsid w:val="001838B0"/>
    <w:rsid w:val="001858F2"/>
    <w:rsid w:val="001B3E6E"/>
    <w:rsid w:val="001D48DC"/>
    <w:rsid w:val="001E2292"/>
    <w:rsid w:val="001F5EA5"/>
    <w:rsid w:val="00207A5B"/>
    <w:rsid w:val="002623EA"/>
    <w:rsid w:val="00263D4B"/>
    <w:rsid w:val="00285F8A"/>
    <w:rsid w:val="00297F6C"/>
    <w:rsid w:val="002B3394"/>
    <w:rsid w:val="002B5718"/>
    <w:rsid w:val="002B6732"/>
    <w:rsid w:val="002D12FB"/>
    <w:rsid w:val="002D5128"/>
    <w:rsid w:val="002D7078"/>
    <w:rsid w:val="00305AEA"/>
    <w:rsid w:val="003146C7"/>
    <w:rsid w:val="0032231A"/>
    <w:rsid w:val="00331379"/>
    <w:rsid w:val="00336856"/>
    <w:rsid w:val="00344B0D"/>
    <w:rsid w:val="003813E5"/>
    <w:rsid w:val="003C79F5"/>
    <w:rsid w:val="00421B3F"/>
    <w:rsid w:val="004237A8"/>
    <w:rsid w:val="00434146"/>
    <w:rsid w:val="00447BD4"/>
    <w:rsid w:val="00454E8B"/>
    <w:rsid w:val="004B0531"/>
    <w:rsid w:val="004D1E00"/>
    <w:rsid w:val="004D3811"/>
    <w:rsid w:val="00512870"/>
    <w:rsid w:val="00517409"/>
    <w:rsid w:val="00545B11"/>
    <w:rsid w:val="005918D3"/>
    <w:rsid w:val="0059331B"/>
    <w:rsid w:val="005952DD"/>
    <w:rsid w:val="00597859"/>
    <w:rsid w:val="005B3569"/>
    <w:rsid w:val="005E18A0"/>
    <w:rsid w:val="00624039"/>
    <w:rsid w:val="006337FB"/>
    <w:rsid w:val="00635C51"/>
    <w:rsid w:val="00651E3C"/>
    <w:rsid w:val="00653335"/>
    <w:rsid w:val="00656E64"/>
    <w:rsid w:val="006606A4"/>
    <w:rsid w:val="00663B53"/>
    <w:rsid w:val="006653CD"/>
    <w:rsid w:val="006E6FA2"/>
    <w:rsid w:val="00740C39"/>
    <w:rsid w:val="00753211"/>
    <w:rsid w:val="007639D5"/>
    <w:rsid w:val="00767CB9"/>
    <w:rsid w:val="00774FCA"/>
    <w:rsid w:val="00781449"/>
    <w:rsid w:val="00792A78"/>
    <w:rsid w:val="007B08ED"/>
    <w:rsid w:val="007C2716"/>
    <w:rsid w:val="007E4689"/>
    <w:rsid w:val="007F315C"/>
    <w:rsid w:val="00802BC9"/>
    <w:rsid w:val="0083141A"/>
    <w:rsid w:val="00852988"/>
    <w:rsid w:val="008664C1"/>
    <w:rsid w:val="0086711A"/>
    <w:rsid w:val="0087507B"/>
    <w:rsid w:val="00891D35"/>
    <w:rsid w:val="008C0033"/>
    <w:rsid w:val="008C5385"/>
    <w:rsid w:val="008C53F1"/>
    <w:rsid w:val="008E090E"/>
    <w:rsid w:val="008E40F0"/>
    <w:rsid w:val="008F2D2F"/>
    <w:rsid w:val="0091631D"/>
    <w:rsid w:val="00945CE8"/>
    <w:rsid w:val="00950DB8"/>
    <w:rsid w:val="00952DC6"/>
    <w:rsid w:val="00952E97"/>
    <w:rsid w:val="00970580"/>
    <w:rsid w:val="00971D85"/>
    <w:rsid w:val="009720CE"/>
    <w:rsid w:val="00990420"/>
    <w:rsid w:val="009922C2"/>
    <w:rsid w:val="00996D62"/>
    <w:rsid w:val="009A3712"/>
    <w:rsid w:val="009B5FFD"/>
    <w:rsid w:val="009C5837"/>
    <w:rsid w:val="009F0C39"/>
    <w:rsid w:val="009F393A"/>
    <w:rsid w:val="009F705B"/>
    <w:rsid w:val="00A06251"/>
    <w:rsid w:val="00A076C9"/>
    <w:rsid w:val="00A2725B"/>
    <w:rsid w:val="00A73B2F"/>
    <w:rsid w:val="00AB08AB"/>
    <w:rsid w:val="00AB79B6"/>
    <w:rsid w:val="00AE0737"/>
    <w:rsid w:val="00AE18EF"/>
    <w:rsid w:val="00AF294A"/>
    <w:rsid w:val="00B2209C"/>
    <w:rsid w:val="00B33B13"/>
    <w:rsid w:val="00B3631D"/>
    <w:rsid w:val="00B60198"/>
    <w:rsid w:val="00B67B16"/>
    <w:rsid w:val="00B90D66"/>
    <w:rsid w:val="00BB2B79"/>
    <w:rsid w:val="00BD0AF7"/>
    <w:rsid w:val="00C03F27"/>
    <w:rsid w:val="00C06B24"/>
    <w:rsid w:val="00C46353"/>
    <w:rsid w:val="00C51A77"/>
    <w:rsid w:val="00C814A1"/>
    <w:rsid w:val="00C951E8"/>
    <w:rsid w:val="00CB2738"/>
    <w:rsid w:val="00CC4A79"/>
    <w:rsid w:val="00CF1048"/>
    <w:rsid w:val="00D054CB"/>
    <w:rsid w:val="00D4123E"/>
    <w:rsid w:val="00D500A0"/>
    <w:rsid w:val="00D61493"/>
    <w:rsid w:val="00D6168F"/>
    <w:rsid w:val="00DA6B55"/>
    <w:rsid w:val="00DC15BC"/>
    <w:rsid w:val="00DD0D3B"/>
    <w:rsid w:val="00DE0E4D"/>
    <w:rsid w:val="00E169C2"/>
    <w:rsid w:val="00E34504"/>
    <w:rsid w:val="00E563CC"/>
    <w:rsid w:val="00E61EEC"/>
    <w:rsid w:val="00E65FE5"/>
    <w:rsid w:val="00E7F2A8"/>
    <w:rsid w:val="00EB5D25"/>
    <w:rsid w:val="00ED362F"/>
    <w:rsid w:val="00EE3F8B"/>
    <w:rsid w:val="00F16B4E"/>
    <w:rsid w:val="00F23E25"/>
    <w:rsid w:val="00F70770"/>
    <w:rsid w:val="00FB2A98"/>
    <w:rsid w:val="00FB65CE"/>
    <w:rsid w:val="00FE3A40"/>
    <w:rsid w:val="052DCDB2"/>
    <w:rsid w:val="0698020C"/>
    <w:rsid w:val="06CD10F1"/>
    <w:rsid w:val="0BF47549"/>
    <w:rsid w:val="0DA1B8D2"/>
    <w:rsid w:val="1006846E"/>
    <w:rsid w:val="108E3B88"/>
    <w:rsid w:val="12F6EE28"/>
    <w:rsid w:val="132835C9"/>
    <w:rsid w:val="138B2249"/>
    <w:rsid w:val="14E790AD"/>
    <w:rsid w:val="155C1404"/>
    <w:rsid w:val="15A44A87"/>
    <w:rsid w:val="16C1031D"/>
    <w:rsid w:val="17137970"/>
    <w:rsid w:val="186ABEA9"/>
    <w:rsid w:val="1BE736F4"/>
    <w:rsid w:val="1DD5C33F"/>
    <w:rsid w:val="1EC8D706"/>
    <w:rsid w:val="1F1201C0"/>
    <w:rsid w:val="1F6CDF62"/>
    <w:rsid w:val="203A1E51"/>
    <w:rsid w:val="20419406"/>
    <w:rsid w:val="2106ADF8"/>
    <w:rsid w:val="218888D2"/>
    <w:rsid w:val="21BB82A2"/>
    <w:rsid w:val="21F1EC85"/>
    <w:rsid w:val="22AAEEAE"/>
    <w:rsid w:val="244C006A"/>
    <w:rsid w:val="25D46474"/>
    <w:rsid w:val="260500BD"/>
    <w:rsid w:val="27B99E66"/>
    <w:rsid w:val="309D623F"/>
    <w:rsid w:val="3273D3AC"/>
    <w:rsid w:val="33AD909C"/>
    <w:rsid w:val="34733AF3"/>
    <w:rsid w:val="3718053D"/>
    <w:rsid w:val="38275C52"/>
    <w:rsid w:val="385D636F"/>
    <w:rsid w:val="398166BB"/>
    <w:rsid w:val="3D1BB6B0"/>
    <w:rsid w:val="3D543962"/>
    <w:rsid w:val="3D81DEBA"/>
    <w:rsid w:val="3E01667C"/>
    <w:rsid w:val="3E7DBC43"/>
    <w:rsid w:val="4955C9F3"/>
    <w:rsid w:val="4AEC18DF"/>
    <w:rsid w:val="4CEE7BE2"/>
    <w:rsid w:val="4E7EDBD4"/>
    <w:rsid w:val="50034FD7"/>
    <w:rsid w:val="513BE723"/>
    <w:rsid w:val="51F32908"/>
    <w:rsid w:val="53DE8FAC"/>
    <w:rsid w:val="5AEF55A6"/>
    <w:rsid w:val="5C8F3DC1"/>
    <w:rsid w:val="5CC4FBA3"/>
    <w:rsid w:val="5EF7EBBD"/>
    <w:rsid w:val="60750E30"/>
    <w:rsid w:val="6845F0D5"/>
    <w:rsid w:val="6B44F3F3"/>
    <w:rsid w:val="6B4F44E6"/>
    <w:rsid w:val="6B778C98"/>
    <w:rsid w:val="6BE7AF71"/>
    <w:rsid w:val="6D7513DF"/>
    <w:rsid w:val="704CF6B8"/>
    <w:rsid w:val="72A17E4A"/>
    <w:rsid w:val="72B84E3A"/>
    <w:rsid w:val="75D9993C"/>
    <w:rsid w:val="77CD9954"/>
    <w:rsid w:val="791CE74C"/>
    <w:rsid w:val="79C64183"/>
    <w:rsid w:val="7AC8FFDF"/>
    <w:rsid w:val="7B668427"/>
    <w:rsid w:val="7D58FA04"/>
    <w:rsid w:val="7DE83E02"/>
    <w:rsid w:val="7E68514E"/>
    <w:rsid w:val="7F3A39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F9DA5"/>
  <w15:chartTrackingRefBased/>
  <w15:docId w15:val="{5E95D274-8B6E-4A05-9E56-D23FD800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12 pt RECOMMENDED"/>
    <w:qFormat/>
    <w:rsid w:val="007E4689"/>
    <w:pPr>
      <w:spacing w:after="120" w:line="312" w:lineRule="auto"/>
    </w:pPr>
    <w:rPr>
      <w:color w:val="1A1A1A" w:themeColor="text1"/>
      <w:sz w:val="24"/>
    </w:rPr>
  </w:style>
  <w:style w:type="paragraph" w:styleId="Heading1">
    <w:name w:val="heading 1"/>
    <w:basedOn w:val="Normal"/>
    <w:next w:val="Normal"/>
    <w:link w:val="Heading1Char"/>
    <w:uiPriority w:val="9"/>
    <w:qFormat/>
    <w:rsid w:val="003146C7"/>
    <w:pPr>
      <w:keepNext/>
      <w:keepLines/>
      <w:spacing w:line="240" w:lineRule="auto"/>
      <w:outlineLvl w:val="0"/>
    </w:pPr>
    <w:rPr>
      <w:rFonts w:asciiTheme="majorHAnsi" w:eastAsiaTheme="majorEastAsia" w:hAnsiTheme="majorHAnsi" w:cstheme="majorBidi"/>
      <w:b/>
      <w:color w:val="003858" w:themeColor="accent2"/>
      <w:sz w:val="44"/>
      <w:szCs w:val="32"/>
    </w:rPr>
  </w:style>
  <w:style w:type="paragraph" w:styleId="Heading2">
    <w:name w:val="heading 2"/>
    <w:basedOn w:val="Normal"/>
    <w:next w:val="Normal"/>
    <w:link w:val="Heading2Char"/>
    <w:uiPriority w:val="9"/>
    <w:unhideWhenUsed/>
    <w:qFormat/>
    <w:rsid w:val="003146C7"/>
    <w:pPr>
      <w:keepNext/>
      <w:keepLines/>
      <w:spacing w:line="240" w:lineRule="auto"/>
      <w:outlineLvl w:val="1"/>
    </w:pPr>
    <w:rPr>
      <w:rFonts w:asciiTheme="majorHAnsi" w:eastAsiaTheme="majorEastAsia" w:hAnsiTheme="majorHAnsi" w:cstheme="majorBidi"/>
      <w:b/>
      <w:color w:val="003858" w:themeColor="accent2"/>
      <w:sz w:val="40"/>
      <w:szCs w:val="26"/>
    </w:rPr>
  </w:style>
  <w:style w:type="paragraph" w:styleId="Heading3">
    <w:name w:val="heading 3"/>
    <w:basedOn w:val="Normal"/>
    <w:next w:val="Normal"/>
    <w:link w:val="Heading3Char"/>
    <w:uiPriority w:val="9"/>
    <w:unhideWhenUsed/>
    <w:qFormat/>
    <w:rsid w:val="003146C7"/>
    <w:pPr>
      <w:keepNext/>
      <w:keepLines/>
      <w:spacing w:line="240" w:lineRule="auto"/>
      <w:outlineLvl w:val="2"/>
    </w:pPr>
    <w:rPr>
      <w:rFonts w:asciiTheme="majorHAnsi" w:eastAsiaTheme="majorEastAsia" w:hAnsiTheme="majorHAnsi" w:cstheme="majorBidi"/>
      <w:b/>
      <w:color w:val="003858" w:themeColor="accent2"/>
      <w:sz w:val="36"/>
      <w:szCs w:val="24"/>
    </w:rPr>
  </w:style>
  <w:style w:type="paragraph" w:styleId="Heading4">
    <w:name w:val="heading 4"/>
    <w:basedOn w:val="Normal"/>
    <w:next w:val="Normal"/>
    <w:link w:val="Heading4Char"/>
    <w:autoRedefine/>
    <w:uiPriority w:val="9"/>
    <w:unhideWhenUsed/>
    <w:qFormat/>
    <w:rsid w:val="003146C7"/>
    <w:pPr>
      <w:keepNext/>
      <w:keepLines/>
      <w:spacing w:line="240" w:lineRule="auto"/>
      <w:outlineLvl w:val="3"/>
    </w:pPr>
    <w:rPr>
      <w:rFonts w:asciiTheme="majorHAnsi" w:eastAsiaTheme="majorEastAsia" w:hAnsiTheme="majorHAnsi" w:cstheme="majorBidi"/>
      <w:b/>
      <w:iCs/>
      <w:color w:val="003858" w:themeColor="accent2"/>
      <w:sz w:val="32"/>
    </w:rPr>
  </w:style>
  <w:style w:type="paragraph" w:styleId="Heading5">
    <w:name w:val="heading 5"/>
    <w:basedOn w:val="Normal"/>
    <w:next w:val="Normal"/>
    <w:link w:val="Heading5Char"/>
    <w:uiPriority w:val="9"/>
    <w:unhideWhenUsed/>
    <w:qFormat/>
    <w:rsid w:val="003146C7"/>
    <w:pPr>
      <w:keepNext/>
      <w:keepLines/>
      <w:spacing w:line="240" w:lineRule="auto"/>
      <w:outlineLvl w:val="4"/>
    </w:pPr>
    <w:rPr>
      <w:rFonts w:asciiTheme="majorHAnsi" w:eastAsiaTheme="majorEastAsia" w:hAnsiTheme="majorHAnsi" w:cstheme="majorBidi"/>
      <w:b/>
      <w:color w:val="003858" w:themeColor="accent2"/>
      <w:sz w:val="28"/>
    </w:rPr>
  </w:style>
  <w:style w:type="paragraph" w:styleId="Heading6">
    <w:name w:val="heading 6"/>
    <w:basedOn w:val="Normal"/>
    <w:next w:val="Normal"/>
    <w:link w:val="Heading6Char"/>
    <w:autoRedefine/>
    <w:uiPriority w:val="9"/>
    <w:unhideWhenUsed/>
    <w:qFormat/>
    <w:rsid w:val="0059331B"/>
    <w:pPr>
      <w:keepNext/>
      <w:keepLines/>
      <w:spacing w:after="80" w:line="240" w:lineRule="auto"/>
      <w:outlineLvl w:val="5"/>
    </w:pPr>
    <w:rPr>
      <w:rFonts w:asciiTheme="majorHAnsi" w:eastAsiaTheme="majorEastAsia" w:hAnsiTheme="majorHAnsi" w:cstheme="majorBidi"/>
      <w:b/>
    </w:rPr>
  </w:style>
  <w:style w:type="paragraph" w:styleId="Heading7">
    <w:name w:val="heading 7"/>
    <w:basedOn w:val="Normal"/>
    <w:next w:val="Normal"/>
    <w:link w:val="Heading7Char"/>
    <w:uiPriority w:val="9"/>
    <w:unhideWhenUsed/>
    <w:rsid w:val="007E4689"/>
    <w:pPr>
      <w:keepNext/>
      <w:keepLines/>
      <w:spacing w:before="120"/>
      <w:outlineLvl w:val="6"/>
    </w:pPr>
    <w:rPr>
      <w:rFonts w:asciiTheme="majorHAnsi" w:eastAsiaTheme="majorEastAsia" w:hAnsiTheme="majorHAnsi" w:cstheme="majorBidi"/>
      <w:b/>
      <w:iCs/>
      <w:color w:val="692A0E" w:themeColor="accent1" w:themeShade="80"/>
      <w:sz w:val="32"/>
    </w:rPr>
  </w:style>
  <w:style w:type="paragraph" w:styleId="Heading8">
    <w:name w:val="heading 8"/>
    <w:basedOn w:val="Normal"/>
    <w:next w:val="Normal"/>
    <w:link w:val="Heading8Char"/>
    <w:uiPriority w:val="9"/>
    <w:unhideWhenUsed/>
    <w:rsid w:val="007E4689"/>
    <w:pPr>
      <w:keepNext/>
      <w:keepLines/>
      <w:spacing w:before="120"/>
      <w:outlineLvl w:val="7"/>
    </w:pPr>
    <w:rPr>
      <w:rFonts w:asciiTheme="majorHAnsi" w:eastAsiaTheme="majorEastAsia" w:hAnsiTheme="majorHAnsi" w:cstheme="majorBidi"/>
      <w:b/>
      <w:color w:val="692A0E" w:themeColor="accent1" w:themeShade="80"/>
      <w:sz w:val="28"/>
      <w:szCs w:val="21"/>
    </w:rPr>
  </w:style>
  <w:style w:type="paragraph" w:styleId="Heading9">
    <w:name w:val="heading 9"/>
    <w:basedOn w:val="Normal"/>
    <w:next w:val="Normal"/>
    <w:link w:val="Heading9Char"/>
    <w:uiPriority w:val="9"/>
    <w:unhideWhenUsed/>
    <w:rsid w:val="007E4689"/>
    <w:pPr>
      <w:keepNext/>
      <w:keepLines/>
      <w:spacing w:before="40" w:after="0"/>
      <w:outlineLvl w:val="8"/>
    </w:pPr>
    <w:rPr>
      <w:rFonts w:asciiTheme="majorHAnsi" w:eastAsiaTheme="majorEastAsia" w:hAnsiTheme="majorHAnsi" w:cstheme="majorBidi"/>
      <w:b/>
      <w:iCs/>
      <w:color w:val="692A0E" w:themeColor="accent1"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635C51"/>
    <w:pPr>
      <w:autoSpaceDE w:val="0"/>
      <w:autoSpaceDN w:val="0"/>
      <w:adjustRightInd w:val="0"/>
      <w:spacing w:after="0" w:line="288" w:lineRule="auto"/>
      <w:textAlignment w:val="center"/>
    </w:pPr>
    <w:rPr>
      <w:rFonts w:ascii="MinionPro-Regular" w:hAnsi="MinionPro-Regular" w:cs="MinionPro-Regular"/>
      <w:color w:val="000000"/>
      <w:kern w:val="0"/>
      <w:szCs w:val="24"/>
      <w:lang w:val="en-US"/>
    </w:rPr>
  </w:style>
  <w:style w:type="paragraph" w:styleId="Title">
    <w:name w:val="Title"/>
    <w:next w:val="Heading1"/>
    <w:link w:val="TitleChar"/>
    <w:uiPriority w:val="10"/>
    <w:qFormat/>
    <w:rsid w:val="003146C7"/>
    <w:pPr>
      <w:spacing w:before="120" w:after="120" w:line="240" w:lineRule="auto"/>
      <w:contextualSpacing/>
    </w:pPr>
    <w:rPr>
      <w:rFonts w:asciiTheme="majorHAnsi" w:eastAsiaTheme="majorEastAsia" w:hAnsiTheme="majorHAnsi" w:cstheme="majorBidi"/>
      <w:b/>
      <w:color w:val="003858" w:themeColor="accent2"/>
      <w:spacing w:val="-10"/>
      <w:kern w:val="28"/>
      <w:sz w:val="52"/>
      <w:szCs w:val="56"/>
    </w:rPr>
  </w:style>
  <w:style w:type="character" w:customStyle="1" w:styleId="TitleChar">
    <w:name w:val="Title Char"/>
    <w:basedOn w:val="DefaultParagraphFont"/>
    <w:link w:val="Title"/>
    <w:uiPriority w:val="10"/>
    <w:rsid w:val="003146C7"/>
    <w:rPr>
      <w:rFonts w:asciiTheme="majorHAnsi" w:eastAsiaTheme="majorEastAsia" w:hAnsiTheme="majorHAnsi" w:cstheme="majorBidi"/>
      <w:b/>
      <w:color w:val="003858" w:themeColor="accent2"/>
      <w:spacing w:val="-10"/>
      <w:kern w:val="28"/>
      <w:sz w:val="52"/>
      <w:szCs w:val="56"/>
    </w:rPr>
  </w:style>
  <w:style w:type="paragraph" w:styleId="Subtitle">
    <w:name w:val="Subtitle"/>
    <w:basedOn w:val="Normal"/>
    <w:next w:val="Normal"/>
    <w:link w:val="SubtitleChar"/>
    <w:uiPriority w:val="11"/>
    <w:qFormat/>
    <w:rsid w:val="007E4689"/>
    <w:pPr>
      <w:numPr>
        <w:ilvl w:val="1"/>
      </w:numPr>
    </w:pPr>
    <w:rPr>
      <w:rFonts w:eastAsiaTheme="minorEastAsia"/>
      <w:b/>
      <w:sz w:val="28"/>
    </w:rPr>
  </w:style>
  <w:style w:type="character" w:customStyle="1" w:styleId="SubtitleChar">
    <w:name w:val="Subtitle Char"/>
    <w:basedOn w:val="DefaultParagraphFont"/>
    <w:link w:val="Subtitle"/>
    <w:uiPriority w:val="11"/>
    <w:rsid w:val="007E4689"/>
    <w:rPr>
      <w:rFonts w:eastAsiaTheme="minorEastAsia"/>
      <w:b/>
      <w:color w:val="1A1A1A" w:themeColor="text1"/>
      <w:sz w:val="28"/>
    </w:rPr>
  </w:style>
  <w:style w:type="paragraph" w:styleId="NoSpacing">
    <w:name w:val="No Spacing"/>
    <w:aliases w:val="Intro text"/>
    <w:uiPriority w:val="1"/>
    <w:qFormat/>
    <w:rsid w:val="007E4689"/>
    <w:pPr>
      <w:spacing w:before="120" w:after="240" w:line="240" w:lineRule="auto"/>
    </w:pPr>
    <w:rPr>
      <w:color w:val="1A1A1A" w:themeColor="text1"/>
      <w:sz w:val="32"/>
    </w:rPr>
  </w:style>
  <w:style w:type="character" w:customStyle="1" w:styleId="Heading1Char">
    <w:name w:val="Heading 1 Char"/>
    <w:basedOn w:val="DefaultParagraphFont"/>
    <w:link w:val="Heading1"/>
    <w:uiPriority w:val="9"/>
    <w:rsid w:val="003146C7"/>
    <w:rPr>
      <w:rFonts w:asciiTheme="majorHAnsi" w:eastAsiaTheme="majorEastAsia" w:hAnsiTheme="majorHAnsi" w:cstheme="majorBidi"/>
      <w:b/>
      <w:color w:val="003858" w:themeColor="accent2"/>
      <w:sz w:val="44"/>
      <w:szCs w:val="32"/>
    </w:rPr>
  </w:style>
  <w:style w:type="character" w:customStyle="1" w:styleId="Heading2Char">
    <w:name w:val="Heading 2 Char"/>
    <w:basedOn w:val="DefaultParagraphFont"/>
    <w:link w:val="Heading2"/>
    <w:uiPriority w:val="9"/>
    <w:rsid w:val="003146C7"/>
    <w:rPr>
      <w:rFonts w:asciiTheme="majorHAnsi" w:eastAsiaTheme="majorEastAsia" w:hAnsiTheme="majorHAnsi" w:cstheme="majorBidi"/>
      <w:b/>
      <w:color w:val="003858" w:themeColor="accent2"/>
      <w:sz w:val="40"/>
      <w:szCs w:val="26"/>
    </w:rPr>
  </w:style>
  <w:style w:type="paragraph" w:styleId="Caption">
    <w:name w:val="caption"/>
    <w:basedOn w:val="Normal"/>
    <w:next w:val="Normal"/>
    <w:uiPriority w:val="35"/>
    <w:unhideWhenUsed/>
    <w:qFormat/>
    <w:rsid w:val="0059331B"/>
    <w:pPr>
      <w:spacing w:line="240" w:lineRule="auto"/>
    </w:pPr>
    <w:rPr>
      <w:iCs/>
      <w:sz w:val="18"/>
      <w:szCs w:val="18"/>
    </w:rPr>
  </w:style>
  <w:style w:type="paragraph" w:customStyle="1" w:styleId="BulletsLevel1">
    <w:name w:val="Bullets Level 1"/>
    <w:basedOn w:val="Normal"/>
    <w:link w:val="BulletsLevel1Char"/>
    <w:rsid w:val="00512870"/>
    <w:pPr>
      <w:numPr>
        <w:numId w:val="21"/>
      </w:numPr>
      <w:spacing w:after="40"/>
      <w:ind w:left="720"/>
      <w:contextualSpacing/>
    </w:pPr>
  </w:style>
  <w:style w:type="table" w:styleId="TableGrid">
    <w:name w:val="Table Grid"/>
    <w:basedOn w:val="TableNormal"/>
    <w:uiPriority w:val="39"/>
    <w:rsid w:val="007E4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sLevel1Char">
    <w:name w:val="Bullets Level 1 Char"/>
    <w:basedOn w:val="DefaultParagraphFont"/>
    <w:link w:val="BulletsLevel1"/>
    <w:rsid w:val="00512870"/>
    <w:rPr>
      <w:color w:val="1A1A1A" w:themeColor="text1"/>
      <w:sz w:val="24"/>
    </w:rPr>
  </w:style>
  <w:style w:type="character" w:customStyle="1" w:styleId="Heading3Char">
    <w:name w:val="Heading 3 Char"/>
    <w:basedOn w:val="DefaultParagraphFont"/>
    <w:link w:val="Heading3"/>
    <w:uiPriority w:val="9"/>
    <w:rsid w:val="003146C7"/>
    <w:rPr>
      <w:rFonts w:asciiTheme="majorHAnsi" w:eastAsiaTheme="majorEastAsia" w:hAnsiTheme="majorHAnsi" w:cstheme="majorBidi"/>
      <w:b/>
      <w:color w:val="003858" w:themeColor="accent2"/>
      <w:sz w:val="36"/>
      <w:szCs w:val="24"/>
    </w:rPr>
  </w:style>
  <w:style w:type="character" w:customStyle="1" w:styleId="Heading6Char">
    <w:name w:val="Heading 6 Char"/>
    <w:basedOn w:val="DefaultParagraphFont"/>
    <w:link w:val="Heading6"/>
    <w:uiPriority w:val="9"/>
    <w:rsid w:val="0059331B"/>
    <w:rPr>
      <w:rFonts w:asciiTheme="majorHAnsi" w:eastAsiaTheme="majorEastAsia" w:hAnsiTheme="majorHAnsi" w:cstheme="majorBidi"/>
      <w:b/>
      <w:color w:val="1A1A1A" w:themeColor="text1"/>
      <w:sz w:val="24"/>
    </w:rPr>
  </w:style>
  <w:style w:type="table" w:styleId="GridTable4">
    <w:name w:val="Grid Table 4"/>
    <w:basedOn w:val="TableNormal"/>
    <w:uiPriority w:val="49"/>
    <w:rsid w:val="007E4689"/>
    <w:pPr>
      <w:spacing w:after="0" w:line="240" w:lineRule="auto"/>
    </w:pPr>
    <w:tblPr>
      <w:tblStyleRowBandSize w:val="1"/>
      <w:tblStyleColBandSize w:val="1"/>
      <w:tblBorders>
        <w:top w:val="single" w:sz="4" w:space="0" w:color="757575" w:themeColor="text1" w:themeTint="99"/>
        <w:left w:val="single" w:sz="4" w:space="0" w:color="757575" w:themeColor="text1" w:themeTint="99"/>
        <w:bottom w:val="single" w:sz="4" w:space="0" w:color="757575" w:themeColor="text1" w:themeTint="99"/>
        <w:right w:val="single" w:sz="4" w:space="0" w:color="757575" w:themeColor="text1" w:themeTint="99"/>
        <w:insideH w:val="single" w:sz="4" w:space="0" w:color="757575" w:themeColor="text1" w:themeTint="99"/>
        <w:insideV w:val="single" w:sz="4" w:space="0" w:color="757575" w:themeColor="text1" w:themeTint="99"/>
      </w:tblBorders>
    </w:tblPr>
    <w:tblStylePr w:type="firstRow">
      <w:rPr>
        <w:b/>
        <w:bCs/>
        <w:color w:val="FFFFFF" w:themeColor="background1"/>
      </w:rPr>
      <w:tblPr/>
      <w:tcPr>
        <w:tcBorders>
          <w:top w:val="single" w:sz="4" w:space="0" w:color="1A1A1A" w:themeColor="text1"/>
          <w:left w:val="single" w:sz="4" w:space="0" w:color="1A1A1A" w:themeColor="text1"/>
          <w:bottom w:val="single" w:sz="4" w:space="0" w:color="1A1A1A" w:themeColor="text1"/>
          <w:right w:val="single" w:sz="4" w:space="0" w:color="1A1A1A" w:themeColor="text1"/>
          <w:insideH w:val="nil"/>
          <w:insideV w:val="nil"/>
        </w:tcBorders>
        <w:shd w:val="clear" w:color="auto" w:fill="1A1A1A" w:themeFill="text1"/>
      </w:tcPr>
    </w:tblStylePr>
    <w:tblStylePr w:type="lastRow">
      <w:rPr>
        <w:b/>
        <w:bCs/>
      </w:rPr>
      <w:tblPr/>
      <w:tcPr>
        <w:tcBorders>
          <w:top w:val="double" w:sz="4" w:space="0" w:color="1A1A1A" w:themeColor="text1"/>
        </w:tcBorders>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paragraph" w:customStyle="1" w:styleId="Bulletlevel2">
    <w:name w:val="Bullet level 2"/>
    <w:basedOn w:val="BulletsLevel1"/>
    <w:link w:val="Bulletlevel2Char"/>
    <w:rsid w:val="002B3394"/>
    <w:pPr>
      <w:numPr>
        <w:ilvl w:val="1"/>
        <w:numId w:val="22"/>
      </w:numPr>
      <w:ind w:left="1135" w:hanging="284"/>
    </w:pPr>
  </w:style>
  <w:style w:type="character" w:customStyle="1" w:styleId="Bulletlevel2Char">
    <w:name w:val="Bullet level 2 Char"/>
    <w:basedOn w:val="BulletsLevel1Char"/>
    <w:link w:val="Bulletlevel2"/>
    <w:rsid w:val="002B3394"/>
    <w:rPr>
      <w:color w:val="1A1A1A" w:themeColor="text1"/>
      <w:sz w:val="24"/>
    </w:rPr>
  </w:style>
  <w:style w:type="character" w:customStyle="1" w:styleId="Heading4Char">
    <w:name w:val="Heading 4 Char"/>
    <w:basedOn w:val="DefaultParagraphFont"/>
    <w:link w:val="Heading4"/>
    <w:uiPriority w:val="9"/>
    <w:rsid w:val="003146C7"/>
    <w:rPr>
      <w:rFonts w:asciiTheme="majorHAnsi" w:eastAsiaTheme="majorEastAsia" w:hAnsiTheme="majorHAnsi" w:cstheme="majorBidi"/>
      <w:b/>
      <w:iCs/>
      <w:color w:val="003858" w:themeColor="accent2"/>
      <w:sz w:val="32"/>
    </w:rPr>
  </w:style>
  <w:style w:type="character" w:customStyle="1" w:styleId="Heading5Char">
    <w:name w:val="Heading 5 Char"/>
    <w:basedOn w:val="DefaultParagraphFont"/>
    <w:link w:val="Heading5"/>
    <w:uiPriority w:val="9"/>
    <w:rsid w:val="003146C7"/>
    <w:rPr>
      <w:rFonts w:asciiTheme="majorHAnsi" w:eastAsiaTheme="majorEastAsia" w:hAnsiTheme="majorHAnsi" w:cstheme="majorBidi"/>
      <w:b/>
      <w:color w:val="003858" w:themeColor="accent2"/>
      <w:sz w:val="28"/>
    </w:rPr>
  </w:style>
  <w:style w:type="character" w:styleId="SubtleReference">
    <w:name w:val="Subtle Reference"/>
    <w:basedOn w:val="DefaultParagraphFont"/>
    <w:uiPriority w:val="31"/>
    <w:rsid w:val="007E4689"/>
    <w:rPr>
      <w:rFonts w:asciiTheme="minorHAnsi" w:hAnsiTheme="minorHAnsi"/>
      <w:smallCaps/>
      <w:color w:val="404040" w:themeColor="background2" w:themeShade="40"/>
      <w:sz w:val="24"/>
    </w:rPr>
  </w:style>
  <w:style w:type="paragraph" w:customStyle="1" w:styleId="Tableheadingwhite">
    <w:name w:val="Table heading white"/>
    <w:basedOn w:val="Normal"/>
    <w:link w:val="TableheadingwhiteChar"/>
    <w:autoRedefine/>
    <w:qFormat/>
    <w:rsid w:val="007E4689"/>
    <w:pPr>
      <w:spacing w:after="40" w:line="240" w:lineRule="auto"/>
    </w:pPr>
    <w:rPr>
      <w:rFonts w:asciiTheme="majorHAnsi" w:hAnsiTheme="majorHAnsi"/>
      <w:b/>
      <w:bCs/>
      <w:color w:val="FFFFFF" w:themeColor="background1"/>
      <w:sz w:val="20"/>
    </w:rPr>
  </w:style>
  <w:style w:type="character" w:customStyle="1" w:styleId="TableheadingwhiteChar">
    <w:name w:val="Table heading white Char"/>
    <w:basedOn w:val="DefaultParagraphFont"/>
    <w:link w:val="Tableheadingwhite"/>
    <w:rsid w:val="007E4689"/>
    <w:rPr>
      <w:rFonts w:asciiTheme="majorHAnsi" w:hAnsiTheme="majorHAnsi"/>
      <w:b/>
      <w:bCs/>
      <w:color w:val="FFFFFF" w:themeColor="background1"/>
      <w:sz w:val="20"/>
    </w:rPr>
  </w:style>
  <w:style w:type="paragraph" w:customStyle="1" w:styleId="Tablecopy">
    <w:name w:val="Table copy"/>
    <w:next w:val="Normal"/>
    <w:link w:val="TablecopyChar"/>
    <w:autoRedefine/>
    <w:qFormat/>
    <w:rsid w:val="007E4689"/>
    <w:pPr>
      <w:spacing w:after="40" w:line="240" w:lineRule="auto"/>
    </w:pPr>
    <w:rPr>
      <w:color w:val="1A1A1A" w:themeColor="text1"/>
      <w:sz w:val="20"/>
    </w:rPr>
  </w:style>
  <w:style w:type="character" w:customStyle="1" w:styleId="TablecopyChar">
    <w:name w:val="Table copy Char"/>
    <w:basedOn w:val="DefaultParagraphFont"/>
    <w:link w:val="Tablecopy"/>
    <w:rsid w:val="007E4689"/>
    <w:rPr>
      <w:color w:val="1A1A1A" w:themeColor="text1"/>
      <w:sz w:val="20"/>
    </w:rPr>
  </w:style>
  <w:style w:type="paragraph" w:styleId="Header">
    <w:name w:val="header"/>
    <w:link w:val="HeaderChar"/>
    <w:autoRedefine/>
    <w:uiPriority w:val="99"/>
    <w:unhideWhenUsed/>
    <w:qFormat/>
    <w:rsid w:val="0059331B"/>
    <w:pPr>
      <w:tabs>
        <w:tab w:val="center" w:pos="4513"/>
        <w:tab w:val="right" w:pos="9026"/>
      </w:tabs>
      <w:spacing w:after="0" w:line="240" w:lineRule="auto"/>
    </w:pPr>
    <w:rPr>
      <w:color w:val="1A1A1A" w:themeColor="text1"/>
      <w:sz w:val="16"/>
    </w:rPr>
  </w:style>
  <w:style w:type="character" w:customStyle="1" w:styleId="HeaderChar">
    <w:name w:val="Header Char"/>
    <w:basedOn w:val="DefaultParagraphFont"/>
    <w:link w:val="Header"/>
    <w:uiPriority w:val="99"/>
    <w:rsid w:val="0059331B"/>
    <w:rPr>
      <w:color w:val="1A1A1A" w:themeColor="text1"/>
      <w:sz w:val="16"/>
    </w:rPr>
  </w:style>
  <w:style w:type="paragraph" w:styleId="Footer">
    <w:name w:val="footer"/>
    <w:basedOn w:val="Normal"/>
    <w:link w:val="FooterChar"/>
    <w:uiPriority w:val="99"/>
    <w:unhideWhenUsed/>
    <w:qFormat/>
    <w:rsid w:val="007E4689"/>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7E4689"/>
    <w:rPr>
      <w:color w:val="1A1A1A" w:themeColor="text1"/>
      <w:sz w:val="16"/>
    </w:rPr>
  </w:style>
  <w:style w:type="paragraph" w:styleId="TOC1">
    <w:name w:val="toc 1"/>
    <w:basedOn w:val="Normal"/>
    <w:next w:val="Normal"/>
    <w:uiPriority w:val="39"/>
    <w:unhideWhenUsed/>
    <w:qFormat/>
    <w:rsid w:val="007E4689"/>
  </w:style>
  <w:style w:type="paragraph" w:styleId="TOC2">
    <w:name w:val="toc 2"/>
    <w:next w:val="Normal"/>
    <w:autoRedefine/>
    <w:uiPriority w:val="39"/>
    <w:unhideWhenUsed/>
    <w:rsid w:val="007E4689"/>
    <w:pPr>
      <w:spacing w:after="120" w:line="312" w:lineRule="auto"/>
      <w:ind w:left="284"/>
    </w:pPr>
    <w:rPr>
      <w:color w:val="1A1A1A" w:themeColor="text1"/>
      <w:sz w:val="24"/>
    </w:rPr>
  </w:style>
  <w:style w:type="paragraph" w:styleId="TOC3">
    <w:name w:val="toc 3"/>
    <w:next w:val="Normal"/>
    <w:autoRedefine/>
    <w:uiPriority w:val="39"/>
    <w:unhideWhenUsed/>
    <w:rsid w:val="007E4689"/>
    <w:pPr>
      <w:spacing w:after="120" w:line="312" w:lineRule="auto"/>
      <w:ind w:left="567"/>
    </w:pPr>
    <w:rPr>
      <w:color w:val="1A1A1A" w:themeColor="text1"/>
      <w:sz w:val="24"/>
    </w:rPr>
  </w:style>
  <w:style w:type="character" w:styleId="Hyperlink">
    <w:name w:val="Hyperlink"/>
    <w:basedOn w:val="DefaultParagraphFont"/>
    <w:uiPriority w:val="99"/>
    <w:unhideWhenUsed/>
    <w:rsid w:val="003146C7"/>
    <w:rPr>
      <w:color w:val="003858" w:themeColor="accent2"/>
      <w:u w:val="single"/>
    </w:rPr>
  </w:style>
  <w:style w:type="character" w:styleId="BookTitle">
    <w:name w:val="Book Title"/>
    <w:basedOn w:val="DefaultParagraphFont"/>
    <w:uiPriority w:val="33"/>
    <w:rsid w:val="007E4689"/>
    <w:rPr>
      <w:rFonts w:asciiTheme="minorHAnsi" w:hAnsiTheme="minorHAnsi"/>
      <w:b w:val="0"/>
      <w:bCs/>
      <w:i w:val="0"/>
      <w:iCs/>
      <w:spacing w:val="5"/>
      <w:sz w:val="24"/>
    </w:rPr>
  </w:style>
  <w:style w:type="paragraph" w:customStyle="1" w:styleId="BulletL1">
    <w:name w:val="Bullet L1"/>
    <w:link w:val="BulletL1Char"/>
    <w:qFormat/>
    <w:rsid w:val="00DA6B55"/>
    <w:pPr>
      <w:numPr>
        <w:numId w:val="18"/>
      </w:numPr>
      <w:spacing w:after="80" w:line="312" w:lineRule="auto"/>
      <w:ind w:left="568" w:hanging="284"/>
      <w:contextualSpacing/>
    </w:pPr>
    <w:rPr>
      <w:color w:val="1A1A1A" w:themeColor="text1"/>
      <w:sz w:val="24"/>
    </w:rPr>
  </w:style>
  <w:style w:type="character" w:customStyle="1" w:styleId="BulletL1Char">
    <w:name w:val="Bullet L1 Char"/>
    <w:basedOn w:val="DefaultParagraphFont"/>
    <w:link w:val="BulletL1"/>
    <w:rsid w:val="00DA6B55"/>
    <w:rPr>
      <w:color w:val="1A1A1A" w:themeColor="text1"/>
      <w:sz w:val="24"/>
    </w:rPr>
  </w:style>
  <w:style w:type="paragraph" w:customStyle="1" w:styleId="BulletL2">
    <w:name w:val="Bullet L2"/>
    <w:link w:val="BulletL2Char"/>
    <w:autoRedefine/>
    <w:qFormat/>
    <w:rsid w:val="001B3E6E"/>
    <w:pPr>
      <w:numPr>
        <w:numId w:val="15"/>
      </w:numPr>
      <w:spacing w:after="80" w:line="312" w:lineRule="auto"/>
      <w:ind w:left="851" w:hanging="284"/>
    </w:pPr>
    <w:rPr>
      <w:color w:val="1A1A1A" w:themeColor="text1"/>
      <w:sz w:val="24"/>
    </w:rPr>
  </w:style>
  <w:style w:type="character" w:customStyle="1" w:styleId="BulletL2Char">
    <w:name w:val="Bullet L2 Char"/>
    <w:basedOn w:val="BulletL1Char"/>
    <w:link w:val="BulletL2"/>
    <w:rsid w:val="001B3E6E"/>
    <w:rPr>
      <w:color w:val="1A1A1A" w:themeColor="text1"/>
      <w:sz w:val="24"/>
    </w:rPr>
  </w:style>
  <w:style w:type="paragraph" w:customStyle="1" w:styleId="BulletL3">
    <w:name w:val="Bullet L3"/>
    <w:basedOn w:val="BulletL1"/>
    <w:autoRedefine/>
    <w:rsid w:val="00DA6B55"/>
    <w:pPr>
      <w:numPr>
        <w:numId w:val="23"/>
      </w:numPr>
      <w:ind w:left="1078" w:hanging="227"/>
    </w:pPr>
  </w:style>
  <w:style w:type="character" w:styleId="Emphasis">
    <w:name w:val="Emphasis"/>
    <w:basedOn w:val="DefaultParagraphFont"/>
    <w:uiPriority w:val="20"/>
    <w:rsid w:val="007E4689"/>
    <w:rPr>
      <w:rFonts w:asciiTheme="minorHAnsi" w:hAnsiTheme="minorHAnsi"/>
      <w:b w:val="0"/>
      <w:i w:val="0"/>
      <w:iCs/>
      <w:sz w:val="28"/>
    </w:rPr>
  </w:style>
  <w:style w:type="character" w:styleId="EndnoteReference">
    <w:name w:val="endnote reference"/>
    <w:basedOn w:val="DefaultParagraphFont"/>
    <w:uiPriority w:val="99"/>
    <w:semiHidden/>
    <w:unhideWhenUsed/>
    <w:rsid w:val="007E4689"/>
    <w:rPr>
      <w:vertAlign w:val="superscript"/>
    </w:rPr>
  </w:style>
  <w:style w:type="character" w:styleId="FollowedHyperlink">
    <w:name w:val="FollowedHyperlink"/>
    <w:basedOn w:val="DefaultParagraphFont"/>
    <w:uiPriority w:val="99"/>
    <w:semiHidden/>
    <w:unhideWhenUsed/>
    <w:rsid w:val="007E4689"/>
    <w:rPr>
      <w:color w:val="1A1A1A" w:themeColor="followedHyperlink"/>
      <w:u w:val="single"/>
    </w:rPr>
  </w:style>
  <w:style w:type="paragraph" w:customStyle="1" w:styleId="FooterDepartmentdivisionunitnameCover">
    <w:name w:val="Footer Department/division/unit name (Cover)"/>
    <w:qFormat/>
    <w:rsid w:val="007E4689"/>
    <w:pPr>
      <w:spacing w:after="0" w:line="240" w:lineRule="auto"/>
    </w:pPr>
    <w:rPr>
      <w:rFonts w:asciiTheme="majorHAnsi" w:eastAsiaTheme="majorEastAsia" w:hAnsiTheme="majorHAnsi" w:cstheme="majorBidi"/>
      <w:b/>
      <w:iCs/>
      <w:noProof/>
      <w:color w:val="1A1A1A" w:themeColor="text1"/>
      <w:sz w:val="20"/>
    </w:rPr>
  </w:style>
  <w:style w:type="character" w:styleId="FootnoteReference">
    <w:name w:val="footnote reference"/>
    <w:basedOn w:val="DefaultParagraphFont"/>
    <w:uiPriority w:val="99"/>
    <w:unhideWhenUsed/>
    <w:qFormat/>
    <w:rsid w:val="007E4689"/>
    <w:rPr>
      <w:rFonts w:asciiTheme="minorHAnsi" w:hAnsiTheme="minorHAnsi"/>
      <w:color w:val="1A1A1A" w:themeColor="text1"/>
      <w:sz w:val="16"/>
      <w:szCs w:val="20"/>
      <w:vertAlign w:val="superscript"/>
    </w:rPr>
  </w:style>
  <w:style w:type="paragraph" w:styleId="FootnoteText">
    <w:name w:val="footnote text"/>
    <w:basedOn w:val="Normal"/>
    <w:link w:val="FootnoteTextChar"/>
    <w:uiPriority w:val="99"/>
    <w:semiHidden/>
    <w:unhideWhenUsed/>
    <w:rsid w:val="007E46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4689"/>
    <w:rPr>
      <w:color w:val="1A1A1A" w:themeColor="text1"/>
      <w:sz w:val="20"/>
      <w:szCs w:val="20"/>
    </w:rPr>
  </w:style>
  <w:style w:type="table" w:styleId="GridTable2">
    <w:name w:val="Grid Table 2"/>
    <w:basedOn w:val="TableNormal"/>
    <w:uiPriority w:val="47"/>
    <w:rsid w:val="007E4689"/>
    <w:pPr>
      <w:spacing w:after="0" w:line="240" w:lineRule="auto"/>
    </w:pPr>
    <w:tblPr>
      <w:tblStyleRowBandSize w:val="1"/>
      <w:tblStyleColBandSize w:val="1"/>
      <w:tblBorders>
        <w:top w:val="single" w:sz="2" w:space="0" w:color="757575" w:themeColor="text1" w:themeTint="99"/>
        <w:bottom w:val="single" w:sz="2" w:space="0" w:color="757575" w:themeColor="text1" w:themeTint="99"/>
        <w:insideH w:val="single" w:sz="2" w:space="0" w:color="757575" w:themeColor="text1" w:themeTint="99"/>
        <w:insideV w:val="single" w:sz="2" w:space="0" w:color="757575" w:themeColor="text1" w:themeTint="99"/>
      </w:tblBorders>
    </w:tblPr>
    <w:tblStylePr w:type="firstRow">
      <w:rPr>
        <w:b/>
        <w:bCs/>
      </w:rPr>
      <w:tblPr/>
      <w:tcPr>
        <w:tcBorders>
          <w:top w:val="nil"/>
          <w:bottom w:val="single" w:sz="12" w:space="0" w:color="757575" w:themeColor="text1" w:themeTint="99"/>
          <w:insideH w:val="nil"/>
          <w:insideV w:val="nil"/>
        </w:tcBorders>
        <w:shd w:val="clear" w:color="auto" w:fill="FFFFFF" w:themeFill="background1"/>
      </w:tcPr>
    </w:tblStylePr>
    <w:tblStylePr w:type="lastRow">
      <w:rPr>
        <w:b/>
        <w:bCs/>
      </w:rPr>
      <w:tblPr/>
      <w:tcPr>
        <w:tcBorders>
          <w:top w:val="double" w:sz="2" w:space="0" w:color="757575"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character" w:customStyle="1" w:styleId="Heading7Char">
    <w:name w:val="Heading 7 Char"/>
    <w:basedOn w:val="DefaultParagraphFont"/>
    <w:link w:val="Heading7"/>
    <w:uiPriority w:val="9"/>
    <w:rsid w:val="007E4689"/>
    <w:rPr>
      <w:rFonts w:asciiTheme="majorHAnsi" w:eastAsiaTheme="majorEastAsia" w:hAnsiTheme="majorHAnsi" w:cstheme="majorBidi"/>
      <w:b/>
      <w:iCs/>
      <w:color w:val="692A0E" w:themeColor="accent1" w:themeShade="80"/>
      <w:sz w:val="32"/>
    </w:rPr>
  </w:style>
  <w:style w:type="character" w:customStyle="1" w:styleId="Heading8Char">
    <w:name w:val="Heading 8 Char"/>
    <w:basedOn w:val="DefaultParagraphFont"/>
    <w:link w:val="Heading8"/>
    <w:uiPriority w:val="9"/>
    <w:rsid w:val="007E4689"/>
    <w:rPr>
      <w:rFonts w:asciiTheme="majorHAnsi" w:eastAsiaTheme="majorEastAsia" w:hAnsiTheme="majorHAnsi" w:cstheme="majorBidi"/>
      <w:b/>
      <w:color w:val="692A0E" w:themeColor="accent1" w:themeShade="80"/>
      <w:sz w:val="28"/>
      <w:szCs w:val="21"/>
    </w:rPr>
  </w:style>
  <w:style w:type="character" w:customStyle="1" w:styleId="Heading9Char">
    <w:name w:val="Heading 9 Char"/>
    <w:basedOn w:val="DefaultParagraphFont"/>
    <w:link w:val="Heading9"/>
    <w:uiPriority w:val="9"/>
    <w:rsid w:val="007E4689"/>
    <w:rPr>
      <w:rFonts w:asciiTheme="majorHAnsi" w:eastAsiaTheme="majorEastAsia" w:hAnsiTheme="majorHAnsi" w:cstheme="majorBidi"/>
      <w:b/>
      <w:iCs/>
      <w:color w:val="692A0E" w:themeColor="accent1" w:themeShade="80"/>
      <w:sz w:val="24"/>
      <w:szCs w:val="21"/>
    </w:rPr>
  </w:style>
  <w:style w:type="character" w:customStyle="1" w:styleId="InstructionalRed">
    <w:name w:val="Instructional Red"/>
    <w:basedOn w:val="DefaultParagraphFont"/>
    <w:uiPriority w:val="1"/>
    <w:qFormat/>
    <w:rsid w:val="007E4689"/>
    <w:rPr>
      <w:rFonts w:asciiTheme="minorHAnsi" w:hAnsiTheme="minorHAnsi"/>
      <w:color w:val="001B2C" w:themeColor="accent2" w:themeShade="80"/>
      <w:sz w:val="24"/>
    </w:rPr>
  </w:style>
  <w:style w:type="character" w:styleId="IntenseEmphasis">
    <w:name w:val="Intense Emphasis"/>
    <w:basedOn w:val="DefaultParagraphFont"/>
    <w:uiPriority w:val="21"/>
    <w:rsid w:val="007E4689"/>
    <w:rPr>
      <w:rFonts w:asciiTheme="minorHAnsi" w:hAnsiTheme="minorHAnsi"/>
      <w:b w:val="0"/>
      <w:i w:val="0"/>
      <w:iCs/>
      <w:color w:val="692A0E" w:themeColor="accent1" w:themeShade="80"/>
      <w:sz w:val="28"/>
    </w:rPr>
  </w:style>
  <w:style w:type="paragraph" w:styleId="IntenseQuote">
    <w:name w:val="Intense Quote"/>
    <w:basedOn w:val="Normal"/>
    <w:next w:val="Normal"/>
    <w:link w:val="IntenseQuoteChar"/>
    <w:uiPriority w:val="30"/>
    <w:rsid w:val="007E4689"/>
    <w:pPr>
      <w:pBdr>
        <w:top w:val="single" w:sz="4" w:space="6" w:color="D3551D" w:themeColor="accent1"/>
        <w:bottom w:val="single" w:sz="4" w:space="6" w:color="D3551D" w:themeColor="accent1"/>
      </w:pBdr>
      <w:spacing w:before="240" w:after="240"/>
      <w:ind w:left="851" w:right="851"/>
    </w:pPr>
    <w:rPr>
      <w:iCs/>
      <w:color w:val="692A0E" w:themeColor="accent1" w:themeShade="80"/>
    </w:rPr>
  </w:style>
  <w:style w:type="character" w:customStyle="1" w:styleId="IntenseQuoteChar">
    <w:name w:val="Intense Quote Char"/>
    <w:basedOn w:val="DefaultParagraphFont"/>
    <w:link w:val="IntenseQuote"/>
    <w:uiPriority w:val="30"/>
    <w:rsid w:val="007E4689"/>
    <w:rPr>
      <w:iCs/>
      <w:color w:val="692A0E" w:themeColor="accent1" w:themeShade="80"/>
      <w:sz w:val="24"/>
    </w:rPr>
  </w:style>
  <w:style w:type="character" w:styleId="IntenseReference">
    <w:name w:val="Intense Reference"/>
    <w:basedOn w:val="DefaultParagraphFont"/>
    <w:uiPriority w:val="32"/>
    <w:rsid w:val="007E4689"/>
    <w:rPr>
      <w:rFonts w:asciiTheme="minorHAnsi" w:hAnsiTheme="minorHAnsi"/>
      <w:b w:val="0"/>
      <w:bCs/>
      <w:smallCaps/>
      <w:color w:val="692A0E" w:themeColor="accent1" w:themeShade="80"/>
      <w:spacing w:val="5"/>
      <w:sz w:val="24"/>
    </w:rPr>
  </w:style>
  <w:style w:type="paragraph" w:styleId="ListContinue">
    <w:name w:val="List Continue"/>
    <w:basedOn w:val="Normal"/>
    <w:uiPriority w:val="4"/>
    <w:qFormat/>
    <w:rsid w:val="007E4689"/>
    <w:pPr>
      <w:spacing w:line="288" w:lineRule="auto"/>
      <w:ind w:left="284"/>
      <w:contextualSpacing/>
    </w:pPr>
    <w:rPr>
      <w:color w:val="auto"/>
      <w:spacing w:val="-2"/>
      <w:kern w:val="0"/>
      <w:sz w:val="22"/>
      <w14:ligatures w14:val="none"/>
    </w:rPr>
  </w:style>
  <w:style w:type="paragraph" w:styleId="ListNumber2">
    <w:name w:val="List Number 2"/>
    <w:aliases w:val="List Number L2"/>
    <w:basedOn w:val="Normal"/>
    <w:autoRedefine/>
    <w:uiPriority w:val="4"/>
    <w:qFormat/>
    <w:rsid w:val="00DA6B55"/>
    <w:pPr>
      <w:numPr>
        <w:ilvl w:val="1"/>
        <w:numId w:val="12"/>
      </w:numPr>
      <w:ind w:left="1134" w:hanging="567"/>
      <w:contextualSpacing/>
    </w:pPr>
    <w:rPr>
      <w:color w:val="auto"/>
      <w:spacing w:val="-2"/>
      <w:kern w:val="0"/>
      <w14:ligatures w14:val="none"/>
    </w:rPr>
  </w:style>
  <w:style w:type="paragraph" w:styleId="ListNumber3">
    <w:name w:val="List Number 3"/>
    <w:aliases w:val="List Number L3"/>
    <w:basedOn w:val="Normal"/>
    <w:uiPriority w:val="4"/>
    <w:qFormat/>
    <w:rsid w:val="00DA6B55"/>
    <w:pPr>
      <w:numPr>
        <w:ilvl w:val="2"/>
        <w:numId w:val="12"/>
      </w:numPr>
      <w:ind w:left="1985" w:hanging="851"/>
      <w:contextualSpacing/>
    </w:pPr>
    <w:rPr>
      <w:color w:val="auto"/>
      <w:spacing w:val="-2"/>
      <w:kern w:val="0"/>
      <w14:ligatures w14:val="none"/>
    </w:rPr>
  </w:style>
  <w:style w:type="paragraph" w:styleId="ListNumber">
    <w:name w:val="List Number"/>
    <w:aliases w:val="List Number L1"/>
    <w:basedOn w:val="Normal"/>
    <w:next w:val="ListContinue"/>
    <w:uiPriority w:val="4"/>
    <w:qFormat/>
    <w:rsid w:val="00DA6B55"/>
    <w:pPr>
      <w:numPr>
        <w:numId w:val="12"/>
      </w:numPr>
      <w:ind w:left="568" w:hanging="284"/>
    </w:pPr>
    <w:rPr>
      <w:color w:val="auto"/>
      <w:spacing w:val="-2"/>
      <w:kern w:val="0"/>
      <w14:ligatures w14:val="none"/>
    </w:rPr>
  </w:style>
  <w:style w:type="paragraph" w:styleId="ListParagraph">
    <w:name w:val="List Paragraph"/>
    <w:basedOn w:val="Normal"/>
    <w:uiPriority w:val="34"/>
    <w:qFormat/>
    <w:rsid w:val="007E4689"/>
    <w:pPr>
      <w:ind w:left="720"/>
      <w:contextualSpacing/>
    </w:pPr>
    <w:rPr>
      <w:color w:val="auto"/>
      <w:sz w:val="22"/>
    </w:rPr>
  </w:style>
  <w:style w:type="table" w:styleId="ListTable3">
    <w:name w:val="List Table 3"/>
    <w:basedOn w:val="TableNormal"/>
    <w:uiPriority w:val="48"/>
    <w:rsid w:val="007E4689"/>
    <w:pPr>
      <w:spacing w:after="0" w:line="240" w:lineRule="auto"/>
    </w:pPr>
    <w:tblPr>
      <w:tblStyleRowBandSize w:val="1"/>
      <w:tblStyleColBandSize w:val="1"/>
      <w:tblBorders>
        <w:top w:val="single" w:sz="4" w:space="0" w:color="1A1A1A" w:themeColor="text1"/>
        <w:left w:val="single" w:sz="4" w:space="0" w:color="1A1A1A" w:themeColor="text1"/>
        <w:bottom w:val="single" w:sz="4" w:space="0" w:color="1A1A1A" w:themeColor="text1"/>
        <w:right w:val="single" w:sz="4" w:space="0" w:color="1A1A1A" w:themeColor="text1"/>
      </w:tblBorders>
    </w:tblPr>
    <w:tblStylePr w:type="firstRow">
      <w:rPr>
        <w:b/>
        <w:bCs/>
        <w:color w:val="FFFFFF" w:themeColor="background1"/>
      </w:rPr>
      <w:tblPr/>
      <w:tcPr>
        <w:shd w:val="clear" w:color="auto" w:fill="1A1A1A" w:themeFill="text1"/>
      </w:tcPr>
    </w:tblStylePr>
    <w:tblStylePr w:type="lastRow">
      <w:rPr>
        <w:b/>
        <w:bCs/>
      </w:rPr>
      <w:tblPr/>
      <w:tcPr>
        <w:tcBorders>
          <w:top w:val="double" w:sz="4" w:space="0" w:color="1A1A1A"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1A1A" w:themeColor="text1"/>
          <w:right w:val="single" w:sz="4" w:space="0" w:color="1A1A1A" w:themeColor="text1"/>
        </w:tcBorders>
      </w:tcPr>
    </w:tblStylePr>
    <w:tblStylePr w:type="band1Horz">
      <w:tblPr/>
      <w:tcPr>
        <w:tcBorders>
          <w:top w:val="single" w:sz="4" w:space="0" w:color="1A1A1A" w:themeColor="text1"/>
          <w:bottom w:val="single" w:sz="4" w:space="0" w:color="1A1A1A"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1A1A" w:themeColor="text1"/>
          <w:left w:val="nil"/>
        </w:tcBorders>
      </w:tcPr>
    </w:tblStylePr>
    <w:tblStylePr w:type="swCell">
      <w:tblPr/>
      <w:tcPr>
        <w:tcBorders>
          <w:top w:val="double" w:sz="4" w:space="0" w:color="1A1A1A" w:themeColor="text1"/>
          <w:right w:val="nil"/>
        </w:tcBorders>
      </w:tcPr>
    </w:tblStylePr>
  </w:style>
  <w:style w:type="paragraph" w:customStyle="1" w:styleId="NumberlistL1">
    <w:name w:val="Number list L1"/>
    <w:link w:val="NumberlistL1Char"/>
    <w:autoRedefine/>
    <w:rsid w:val="007E4689"/>
    <w:pPr>
      <w:numPr>
        <w:numId w:val="10"/>
      </w:numPr>
      <w:spacing w:after="60" w:line="312" w:lineRule="auto"/>
    </w:pPr>
    <w:rPr>
      <w:color w:val="1A1A1A" w:themeColor="text1"/>
      <w:sz w:val="24"/>
    </w:rPr>
  </w:style>
  <w:style w:type="character" w:customStyle="1" w:styleId="NumberlistL1Char">
    <w:name w:val="Number list L1 Char"/>
    <w:basedOn w:val="DefaultParagraphFont"/>
    <w:link w:val="NumberlistL1"/>
    <w:rsid w:val="007E4689"/>
    <w:rPr>
      <w:color w:val="1A1A1A" w:themeColor="text1"/>
      <w:sz w:val="24"/>
    </w:rPr>
  </w:style>
  <w:style w:type="paragraph" w:customStyle="1" w:styleId="NumberlistL2">
    <w:name w:val="Number list L2"/>
    <w:basedOn w:val="NumberlistL1"/>
    <w:link w:val="NumberlistL2Char"/>
    <w:autoRedefine/>
    <w:rsid w:val="007E4689"/>
    <w:pPr>
      <w:numPr>
        <w:ilvl w:val="1"/>
        <w:numId w:val="9"/>
      </w:numPr>
    </w:pPr>
  </w:style>
  <w:style w:type="character" w:customStyle="1" w:styleId="NumberlistL2Char">
    <w:name w:val="Number list L2 Char"/>
    <w:basedOn w:val="NumberlistL1Char"/>
    <w:link w:val="NumberlistL2"/>
    <w:rsid w:val="007E4689"/>
    <w:rPr>
      <w:color w:val="1A1A1A" w:themeColor="text1"/>
      <w:sz w:val="24"/>
    </w:rPr>
  </w:style>
  <w:style w:type="paragraph" w:customStyle="1" w:styleId="NumberlistL3">
    <w:name w:val="Number list L3"/>
    <w:basedOn w:val="NumberlistL2"/>
    <w:link w:val="NumberlistL3Char"/>
    <w:rsid w:val="007E4689"/>
    <w:pPr>
      <w:numPr>
        <w:ilvl w:val="2"/>
      </w:numPr>
    </w:pPr>
  </w:style>
  <w:style w:type="character" w:customStyle="1" w:styleId="NumberlistL3Char">
    <w:name w:val="Number list L3 Char"/>
    <w:basedOn w:val="NumberlistL2Char"/>
    <w:link w:val="NumberlistL3"/>
    <w:rsid w:val="007E4689"/>
    <w:rPr>
      <w:color w:val="1A1A1A" w:themeColor="text1"/>
      <w:sz w:val="24"/>
    </w:rPr>
  </w:style>
  <w:style w:type="paragraph" w:styleId="Quote">
    <w:name w:val="Quote"/>
    <w:basedOn w:val="Normal"/>
    <w:next w:val="Normal"/>
    <w:link w:val="QuoteChar"/>
    <w:autoRedefine/>
    <w:uiPriority w:val="29"/>
    <w:rsid w:val="007E4689"/>
    <w:pPr>
      <w:pBdr>
        <w:top w:val="single" w:sz="8" w:space="6" w:color="auto"/>
        <w:bottom w:val="single" w:sz="8" w:space="6" w:color="auto"/>
      </w:pBdr>
      <w:spacing w:before="240" w:after="240"/>
      <w:ind w:left="851" w:right="851"/>
    </w:pPr>
    <w:rPr>
      <w:iCs/>
      <w:color w:val="404040" w:themeColor="background2" w:themeShade="40"/>
    </w:rPr>
  </w:style>
  <w:style w:type="character" w:customStyle="1" w:styleId="QuoteChar">
    <w:name w:val="Quote Char"/>
    <w:basedOn w:val="DefaultParagraphFont"/>
    <w:link w:val="Quote"/>
    <w:uiPriority w:val="29"/>
    <w:rsid w:val="007E4689"/>
    <w:rPr>
      <w:iCs/>
      <w:color w:val="404040" w:themeColor="background2" w:themeShade="40"/>
      <w:sz w:val="24"/>
    </w:rPr>
  </w:style>
  <w:style w:type="character" w:styleId="SubtleEmphasis">
    <w:name w:val="Subtle Emphasis"/>
    <w:basedOn w:val="DefaultParagraphFont"/>
    <w:uiPriority w:val="19"/>
    <w:rsid w:val="007E4689"/>
    <w:rPr>
      <w:rFonts w:asciiTheme="minorHAnsi" w:hAnsiTheme="minorHAnsi"/>
      <w:i/>
      <w:iCs/>
      <w:color w:val="404040" w:themeColor="background2" w:themeShade="40"/>
      <w:sz w:val="24"/>
    </w:rPr>
  </w:style>
  <w:style w:type="paragraph" w:customStyle="1" w:styleId="Tablebullet">
    <w:name w:val="Table bullet"/>
    <w:basedOn w:val="Tablecopy"/>
    <w:qFormat/>
    <w:rsid w:val="007E4689"/>
    <w:pPr>
      <w:numPr>
        <w:numId w:val="16"/>
      </w:numPr>
    </w:pPr>
  </w:style>
  <w:style w:type="paragraph" w:customStyle="1" w:styleId="Tableheadingblack">
    <w:name w:val="Table heading black"/>
    <w:basedOn w:val="Tableheadingwhite"/>
    <w:next w:val="Normal"/>
    <w:autoRedefine/>
    <w:qFormat/>
    <w:rsid w:val="007E4689"/>
    <w:pPr>
      <w:jc w:val="center"/>
    </w:pPr>
    <w:rPr>
      <w:color w:val="1A1A1A" w:themeColor="text1"/>
    </w:rPr>
  </w:style>
  <w:style w:type="paragraph" w:styleId="TOCHeading">
    <w:name w:val="TOC Heading"/>
    <w:basedOn w:val="Heading1"/>
    <w:next w:val="Heading1"/>
    <w:uiPriority w:val="39"/>
    <w:semiHidden/>
    <w:unhideWhenUsed/>
    <w:qFormat/>
    <w:rsid w:val="007E4689"/>
    <w:pPr>
      <w:spacing w:after="240"/>
      <w:outlineLvl w:val="9"/>
    </w:pPr>
  </w:style>
  <w:style w:type="character" w:styleId="UnresolvedMention">
    <w:name w:val="Unresolved Mention"/>
    <w:basedOn w:val="DefaultParagraphFont"/>
    <w:uiPriority w:val="99"/>
    <w:semiHidden/>
    <w:unhideWhenUsed/>
    <w:rsid w:val="007E4689"/>
    <w:rPr>
      <w:rFonts w:asciiTheme="minorHAnsi" w:hAnsiTheme="minorHAnsi"/>
      <w:color w:val="C00000"/>
      <w:sz w:val="24"/>
      <w:shd w:val="clear" w:color="auto" w:fill="E1DFDD"/>
    </w:rPr>
  </w:style>
  <w:style w:type="table" w:styleId="ListTable3-Accent2">
    <w:name w:val="List Table 3 Accent 2"/>
    <w:basedOn w:val="TableNormal"/>
    <w:uiPriority w:val="48"/>
    <w:rsid w:val="003146C7"/>
    <w:pPr>
      <w:spacing w:after="0" w:line="240" w:lineRule="auto"/>
    </w:pPr>
    <w:tblPr>
      <w:tblStyleRowBandSize w:val="1"/>
      <w:tblStyleColBandSize w:val="1"/>
      <w:tblBorders>
        <w:top w:val="single" w:sz="4" w:space="0" w:color="003858" w:themeColor="accent2"/>
        <w:left w:val="single" w:sz="4" w:space="0" w:color="003858" w:themeColor="accent2"/>
        <w:bottom w:val="single" w:sz="4" w:space="0" w:color="003858" w:themeColor="accent2"/>
        <w:right w:val="single" w:sz="4" w:space="0" w:color="003858" w:themeColor="accent2"/>
      </w:tblBorders>
    </w:tblPr>
    <w:tblStylePr w:type="firstRow">
      <w:rPr>
        <w:b/>
        <w:bCs/>
        <w:color w:val="FFFFFF" w:themeColor="background1"/>
      </w:rPr>
      <w:tblPr/>
      <w:tcPr>
        <w:shd w:val="clear" w:color="auto" w:fill="003858" w:themeFill="accent2"/>
      </w:tcPr>
    </w:tblStylePr>
    <w:tblStylePr w:type="lastRow">
      <w:rPr>
        <w:b/>
        <w:bCs/>
      </w:rPr>
      <w:tblPr/>
      <w:tcPr>
        <w:tcBorders>
          <w:top w:val="double" w:sz="4" w:space="0" w:color="00385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858" w:themeColor="accent2"/>
          <w:right w:val="single" w:sz="4" w:space="0" w:color="003858" w:themeColor="accent2"/>
        </w:tcBorders>
      </w:tcPr>
    </w:tblStylePr>
    <w:tblStylePr w:type="band1Horz">
      <w:tblPr/>
      <w:tcPr>
        <w:tcBorders>
          <w:top w:val="single" w:sz="4" w:space="0" w:color="003858" w:themeColor="accent2"/>
          <w:bottom w:val="single" w:sz="4" w:space="0" w:color="00385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58" w:themeColor="accent2"/>
          <w:left w:val="nil"/>
        </w:tcBorders>
      </w:tcPr>
    </w:tblStylePr>
    <w:tblStylePr w:type="swCell">
      <w:tblPr/>
      <w:tcPr>
        <w:tcBorders>
          <w:top w:val="double" w:sz="4" w:space="0" w:color="003858" w:themeColor="accent2"/>
          <w:right w:val="nil"/>
        </w:tcBorders>
      </w:tcPr>
    </w:tblStylePr>
  </w:style>
  <w:style w:type="table" w:customStyle="1" w:styleId="ListTable3-Accent11">
    <w:name w:val="List Table 3 - Accent 11"/>
    <w:basedOn w:val="TableNormal"/>
    <w:next w:val="ListTable3-Accent1"/>
    <w:uiPriority w:val="48"/>
    <w:rsid w:val="001838B0"/>
    <w:pPr>
      <w:spacing w:after="0" w:line="240" w:lineRule="auto"/>
    </w:pPr>
    <w:tblPr>
      <w:tblStyleRowBandSize w:val="1"/>
      <w:tblStyleColBandSize w:val="1"/>
      <w:tblBorders>
        <w:top w:val="single" w:sz="4" w:space="0" w:color="003858"/>
        <w:left w:val="single" w:sz="4" w:space="0" w:color="003858"/>
        <w:bottom w:val="single" w:sz="4" w:space="0" w:color="003858"/>
        <w:right w:val="single" w:sz="4" w:space="0" w:color="003858"/>
      </w:tblBorders>
    </w:tblPr>
    <w:tblStylePr w:type="firstRow">
      <w:rPr>
        <w:b/>
        <w:bCs/>
        <w:color w:val="FFFFFF"/>
      </w:rPr>
      <w:tblPr/>
      <w:tcPr>
        <w:shd w:val="clear" w:color="auto" w:fill="003858"/>
      </w:tcPr>
    </w:tblStylePr>
    <w:tblStylePr w:type="lastRow">
      <w:rPr>
        <w:b/>
        <w:bCs/>
      </w:rPr>
      <w:tblPr/>
      <w:tcPr>
        <w:tcBorders>
          <w:top w:val="double" w:sz="4" w:space="0" w:color="003858"/>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3858"/>
          <w:right w:val="single" w:sz="4" w:space="0" w:color="003858"/>
        </w:tcBorders>
      </w:tcPr>
    </w:tblStylePr>
    <w:tblStylePr w:type="band1Horz">
      <w:tblPr/>
      <w:tcPr>
        <w:tcBorders>
          <w:top w:val="single" w:sz="4" w:space="0" w:color="003858"/>
          <w:bottom w:val="single" w:sz="4" w:space="0" w:color="003858"/>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58"/>
          <w:left w:val="nil"/>
        </w:tcBorders>
      </w:tcPr>
    </w:tblStylePr>
    <w:tblStylePr w:type="swCell">
      <w:tblPr/>
      <w:tcPr>
        <w:tcBorders>
          <w:top w:val="double" w:sz="4" w:space="0" w:color="003858"/>
          <w:right w:val="nil"/>
        </w:tcBorders>
      </w:tcPr>
    </w:tblStylePr>
  </w:style>
  <w:style w:type="table" w:styleId="ListTable3-Accent1">
    <w:name w:val="List Table 3 Accent 1"/>
    <w:basedOn w:val="TableNormal"/>
    <w:uiPriority w:val="48"/>
    <w:rsid w:val="001838B0"/>
    <w:pPr>
      <w:spacing w:after="0" w:line="240" w:lineRule="auto"/>
    </w:pPr>
    <w:tblPr>
      <w:tblStyleRowBandSize w:val="1"/>
      <w:tblStyleColBandSize w:val="1"/>
      <w:tblBorders>
        <w:top w:val="single" w:sz="4" w:space="0" w:color="D3551D" w:themeColor="accent1"/>
        <w:left w:val="single" w:sz="4" w:space="0" w:color="D3551D" w:themeColor="accent1"/>
        <w:bottom w:val="single" w:sz="4" w:space="0" w:color="D3551D" w:themeColor="accent1"/>
        <w:right w:val="single" w:sz="4" w:space="0" w:color="D3551D" w:themeColor="accent1"/>
      </w:tblBorders>
    </w:tblPr>
    <w:tblStylePr w:type="firstRow">
      <w:rPr>
        <w:b/>
        <w:bCs/>
        <w:color w:val="FFFFFF" w:themeColor="background1"/>
      </w:rPr>
      <w:tblPr/>
      <w:tcPr>
        <w:shd w:val="clear" w:color="auto" w:fill="D3551D" w:themeFill="accent1"/>
      </w:tcPr>
    </w:tblStylePr>
    <w:tblStylePr w:type="lastRow">
      <w:rPr>
        <w:b/>
        <w:bCs/>
      </w:rPr>
      <w:tblPr/>
      <w:tcPr>
        <w:tcBorders>
          <w:top w:val="double" w:sz="4" w:space="0" w:color="D3551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3551D" w:themeColor="accent1"/>
          <w:right w:val="single" w:sz="4" w:space="0" w:color="D3551D" w:themeColor="accent1"/>
        </w:tcBorders>
      </w:tcPr>
    </w:tblStylePr>
    <w:tblStylePr w:type="band1Horz">
      <w:tblPr/>
      <w:tcPr>
        <w:tcBorders>
          <w:top w:val="single" w:sz="4" w:space="0" w:color="D3551D" w:themeColor="accent1"/>
          <w:bottom w:val="single" w:sz="4" w:space="0" w:color="D3551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551D" w:themeColor="accent1"/>
          <w:left w:val="nil"/>
        </w:tcBorders>
      </w:tcPr>
    </w:tblStylePr>
    <w:tblStylePr w:type="swCell">
      <w:tblPr/>
      <w:tcPr>
        <w:tcBorders>
          <w:top w:val="double" w:sz="4" w:space="0" w:color="D3551D" w:themeColor="accent1"/>
          <w:right w:val="nil"/>
        </w:tcBorders>
      </w:tcPr>
    </w:tblStylePr>
  </w:style>
  <w:style w:type="character" w:styleId="CommentReference">
    <w:name w:val="annotation reference"/>
    <w:basedOn w:val="DefaultParagraphFont"/>
    <w:uiPriority w:val="99"/>
    <w:semiHidden/>
    <w:unhideWhenUsed/>
    <w:rsid w:val="008664C1"/>
    <w:rPr>
      <w:sz w:val="16"/>
      <w:szCs w:val="16"/>
    </w:rPr>
  </w:style>
  <w:style w:type="paragraph" w:styleId="CommentText">
    <w:name w:val="annotation text"/>
    <w:basedOn w:val="Normal"/>
    <w:link w:val="CommentTextChar"/>
    <w:uiPriority w:val="99"/>
    <w:unhideWhenUsed/>
    <w:rsid w:val="008664C1"/>
    <w:pPr>
      <w:spacing w:line="240" w:lineRule="auto"/>
    </w:pPr>
    <w:rPr>
      <w:sz w:val="20"/>
      <w:szCs w:val="20"/>
    </w:rPr>
  </w:style>
  <w:style w:type="character" w:customStyle="1" w:styleId="CommentTextChar">
    <w:name w:val="Comment Text Char"/>
    <w:basedOn w:val="DefaultParagraphFont"/>
    <w:link w:val="CommentText"/>
    <w:uiPriority w:val="99"/>
    <w:rsid w:val="008664C1"/>
    <w:rPr>
      <w:color w:val="1A1A1A" w:themeColor="text1"/>
      <w:sz w:val="20"/>
      <w:szCs w:val="20"/>
    </w:rPr>
  </w:style>
  <w:style w:type="paragraph" w:styleId="CommentSubject">
    <w:name w:val="annotation subject"/>
    <w:basedOn w:val="CommentText"/>
    <w:next w:val="CommentText"/>
    <w:link w:val="CommentSubjectChar"/>
    <w:uiPriority w:val="99"/>
    <w:semiHidden/>
    <w:unhideWhenUsed/>
    <w:rsid w:val="008664C1"/>
    <w:rPr>
      <w:b/>
      <w:bCs/>
    </w:rPr>
  </w:style>
  <w:style w:type="character" w:customStyle="1" w:styleId="CommentSubjectChar">
    <w:name w:val="Comment Subject Char"/>
    <w:basedOn w:val="CommentTextChar"/>
    <w:link w:val="CommentSubject"/>
    <w:uiPriority w:val="99"/>
    <w:semiHidden/>
    <w:rsid w:val="008664C1"/>
    <w:rPr>
      <w:b/>
      <w:bCs/>
      <w:color w:val="1A1A1A" w:themeColor="text1"/>
      <w:sz w:val="20"/>
      <w:szCs w:val="20"/>
    </w:rPr>
  </w:style>
  <w:style w:type="table" w:styleId="ListTable4-Accent2">
    <w:name w:val="List Table 4 Accent 2"/>
    <w:basedOn w:val="TableNormal"/>
    <w:uiPriority w:val="49"/>
    <w:rsid w:val="00263D4B"/>
    <w:pPr>
      <w:spacing w:after="0" w:line="240" w:lineRule="auto"/>
    </w:pPr>
    <w:tblPr>
      <w:tblStyleRowBandSize w:val="1"/>
      <w:tblStyleColBandSize w:val="1"/>
      <w:tblBorders>
        <w:top w:val="single" w:sz="4" w:space="0" w:color="01A2FF" w:themeColor="accent2" w:themeTint="99"/>
        <w:left w:val="single" w:sz="4" w:space="0" w:color="01A2FF" w:themeColor="accent2" w:themeTint="99"/>
        <w:bottom w:val="single" w:sz="4" w:space="0" w:color="01A2FF" w:themeColor="accent2" w:themeTint="99"/>
        <w:right w:val="single" w:sz="4" w:space="0" w:color="01A2FF" w:themeColor="accent2" w:themeTint="99"/>
        <w:insideH w:val="single" w:sz="4" w:space="0" w:color="01A2FF" w:themeColor="accent2" w:themeTint="99"/>
      </w:tblBorders>
    </w:tblPr>
    <w:tblStylePr w:type="firstRow">
      <w:rPr>
        <w:b/>
        <w:bCs/>
        <w:color w:val="FFFFFF" w:themeColor="background1"/>
      </w:rPr>
      <w:tblPr/>
      <w:tcPr>
        <w:tcBorders>
          <w:top w:val="single" w:sz="4" w:space="0" w:color="003858" w:themeColor="accent2"/>
          <w:left w:val="single" w:sz="4" w:space="0" w:color="003858" w:themeColor="accent2"/>
          <w:bottom w:val="single" w:sz="4" w:space="0" w:color="003858" w:themeColor="accent2"/>
          <w:right w:val="single" w:sz="4" w:space="0" w:color="003858" w:themeColor="accent2"/>
          <w:insideH w:val="nil"/>
        </w:tcBorders>
        <w:shd w:val="clear" w:color="auto" w:fill="003858" w:themeFill="accent2"/>
      </w:tcPr>
    </w:tblStylePr>
    <w:tblStylePr w:type="lastRow">
      <w:rPr>
        <w:b/>
        <w:bCs/>
      </w:rPr>
      <w:tblPr/>
      <w:tcPr>
        <w:tcBorders>
          <w:top w:val="double" w:sz="4" w:space="0" w:color="01A2FF" w:themeColor="accent2" w:themeTint="99"/>
        </w:tcBorders>
      </w:tcPr>
    </w:tblStylePr>
    <w:tblStylePr w:type="firstCol">
      <w:rPr>
        <w:b/>
        <w:bCs/>
      </w:rPr>
    </w:tblStylePr>
    <w:tblStylePr w:type="lastCol">
      <w:rPr>
        <w:b/>
        <w:bCs/>
      </w:rPr>
    </w:tblStylePr>
    <w:tblStylePr w:type="band1Vert">
      <w:tblPr/>
      <w:tcPr>
        <w:shd w:val="clear" w:color="auto" w:fill="AAE0FF" w:themeFill="accent2" w:themeFillTint="33"/>
      </w:tcPr>
    </w:tblStylePr>
    <w:tblStylePr w:type="band1Horz">
      <w:tblPr/>
      <w:tcPr>
        <w:shd w:val="clear" w:color="auto" w:fill="AAE0FF" w:themeFill="accent2" w:themeFillTint="33"/>
      </w:tcPr>
    </w:tblStylePr>
  </w:style>
  <w:style w:type="table" w:styleId="ListTable3-Accent5">
    <w:name w:val="List Table 3 Accent 5"/>
    <w:basedOn w:val="TableNormal"/>
    <w:uiPriority w:val="48"/>
    <w:rsid w:val="00753211"/>
    <w:pPr>
      <w:spacing w:after="0" w:line="240" w:lineRule="auto"/>
    </w:pPr>
    <w:tblPr>
      <w:tblStyleRowBandSize w:val="1"/>
      <w:tblStyleColBandSize w:val="1"/>
      <w:tblBorders>
        <w:top w:val="single" w:sz="4" w:space="0" w:color="A4BBD5" w:themeColor="accent5"/>
        <w:left w:val="single" w:sz="4" w:space="0" w:color="A4BBD5" w:themeColor="accent5"/>
        <w:bottom w:val="single" w:sz="4" w:space="0" w:color="A4BBD5" w:themeColor="accent5"/>
        <w:right w:val="single" w:sz="4" w:space="0" w:color="A4BBD5" w:themeColor="accent5"/>
      </w:tblBorders>
    </w:tblPr>
    <w:tblStylePr w:type="firstRow">
      <w:rPr>
        <w:b/>
        <w:bCs/>
        <w:color w:val="FFFFFF" w:themeColor="background1"/>
      </w:rPr>
      <w:tblPr/>
      <w:tcPr>
        <w:shd w:val="clear" w:color="auto" w:fill="A4BBD5" w:themeFill="accent5"/>
      </w:tcPr>
    </w:tblStylePr>
    <w:tblStylePr w:type="lastRow">
      <w:rPr>
        <w:b/>
        <w:bCs/>
      </w:rPr>
      <w:tblPr/>
      <w:tcPr>
        <w:tcBorders>
          <w:top w:val="double" w:sz="4" w:space="0" w:color="A4B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4BBD5" w:themeColor="accent5"/>
          <w:right w:val="single" w:sz="4" w:space="0" w:color="A4BBD5" w:themeColor="accent5"/>
        </w:tcBorders>
      </w:tcPr>
    </w:tblStylePr>
    <w:tblStylePr w:type="band1Horz">
      <w:tblPr/>
      <w:tcPr>
        <w:tcBorders>
          <w:top w:val="single" w:sz="4" w:space="0" w:color="A4BBD5" w:themeColor="accent5"/>
          <w:bottom w:val="single" w:sz="4" w:space="0" w:color="A4B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4BBD5" w:themeColor="accent5"/>
          <w:left w:val="nil"/>
        </w:tcBorders>
      </w:tcPr>
    </w:tblStylePr>
    <w:tblStylePr w:type="swCell">
      <w:tblPr/>
      <w:tcPr>
        <w:tcBorders>
          <w:top w:val="double" w:sz="4" w:space="0" w:color="A4BBD5" w:themeColor="accent5"/>
          <w:right w:val="nil"/>
        </w:tcBorders>
      </w:tcPr>
    </w:tblStylePr>
  </w:style>
  <w:style w:type="table" w:styleId="ListTable4-Accent5">
    <w:name w:val="List Table 4 Accent 5"/>
    <w:basedOn w:val="TableNormal"/>
    <w:uiPriority w:val="49"/>
    <w:rsid w:val="00753211"/>
    <w:pPr>
      <w:spacing w:after="0" w:line="240" w:lineRule="auto"/>
    </w:pPr>
    <w:tblPr>
      <w:tblStyleRowBandSize w:val="1"/>
      <w:tblStyleColBandSize w:val="1"/>
      <w:tblBorders>
        <w:top w:val="single" w:sz="4" w:space="0" w:color="C8D6E5" w:themeColor="accent5" w:themeTint="99"/>
        <w:left w:val="single" w:sz="4" w:space="0" w:color="C8D6E5" w:themeColor="accent5" w:themeTint="99"/>
        <w:bottom w:val="single" w:sz="4" w:space="0" w:color="C8D6E5" w:themeColor="accent5" w:themeTint="99"/>
        <w:right w:val="single" w:sz="4" w:space="0" w:color="C8D6E5" w:themeColor="accent5" w:themeTint="99"/>
        <w:insideH w:val="single" w:sz="4" w:space="0" w:color="C8D6E5" w:themeColor="accent5" w:themeTint="99"/>
      </w:tblBorders>
    </w:tblPr>
    <w:tblStylePr w:type="firstRow">
      <w:rPr>
        <w:b/>
        <w:bCs/>
        <w:color w:val="FFFFFF" w:themeColor="background1"/>
      </w:rPr>
      <w:tblPr/>
      <w:tcPr>
        <w:tcBorders>
          <w:top w:val="single" w:sz="4" w:space="0" w:color="A4BBD5" w:themeColor="accent5"/>
          <w:left w:val="single" w:sz="4" w:space="0" w:color="A4BBD5" w:themeColor="accent5"/>
          <w:bottom w:val="single" w:sz="4" w:space="0" w:color="A4BBD5" w:themeColor="accent5"/>
          <w:right w:val="single" w:sz="4" w:space="0" w:color="A4BBD5" w:themeColor="accent5"/>
          <w:insideH w:val="nil"/>
        </w:tcBorders>
        <w:shd w:val="clear" w:color="auto" w:fill="A4BBD5" w:themeFill="accent5"/>
      </w:tcPr>
    </w:tblStylePr>
    <w:tblStylePr w:type="lastRow">
      <w:rPr>
        <w:b/>
        <w:bCs/>
      </w:rPr>
      <w:tblPr/>
      <w:tcPr>
        <w:tcBorders>
          <w:top w:val="double" w:sz="4" w:space="0" w:color="C8D6E5" w:themeColor="accent5" w:themeTint="99"/>
        </w:tcBorders>
      </w:tcPr>
    </w:tblStylePr>
    <w:tblStylePr w:type="firstCol">
      <w:rPr>
        <w:b/>
        <w:bCs/>
      </w:rPr>
    </w:tblStylePr>
    <w:tblStylePr w:type="lastCol">
      <w:rPr>
        <w:b/>
        <w:bCs/>
      </w:rPr>
    </w:tblStylePr>
    <w:tblStylePr w:type="band1Vert">
      <w:tblPr/>
      <w:tcPr>
        <w:shd w:val="clear" w:color="auto" w:fill="ECF1F6" w:themeFill="accent5" w:themeFillTint="33"/>
      </w:tcPr>
    </w:tblStylePr>
    <w:tblStylePr w:type="band1Horz">
      <w:tblPr/>
      <w:tcPr>
        <w:shd w:val="clear" w:color="auto" w:fill="ECF1F6" w:themeFill="accent5" w:themeFillTint="33"/>
      </w:tcPr>
    </w:tblStylePr>
  </w:style>
  <w:style w:type="table" w:styleId="TableGridLight">
    <w:name w:val="Grid Table Light"/>
    <w:basedOn w:val="TableNormal"/>
    <w:uiPriority w:val="40"/>
    <w:rsid w:val="0075321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nzacportal.dva.gov.au/commemoration/event-planning"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anzacportal.dva.gov.au/commemoration/days/anzac-day"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PAC 2025">
      <a:dk1>
        <a:srgbClr val="1A1A1A"/>
      </a:dk1>
      <a:lt1>
        <a:srgbClr val="FFFFFF"/>
      </a:lt1>
      <a:dk2>
        <a:srgbClr val="2A312D"/>
      </a:dk2>
      <a:lt2>
        <a:srgbClr val="FFFFFF"/>
      </a:lt2>
      <a:accent1>
        <a:srgbClr val="D3551D"/>
      </a:accent1>
      <a:accent2>
        <a:srgbClr val="003858"/>
      </a:accent2>
      <a:accent3>
        <a:srgbClr val="535353"/>
      </a:accent3>
      <a:accent4>
        <a:srgbClr val="8C8C8C"/>
      </a:accent4>
      <a:accent5>
        <a:srgbClr val="A4BBD5"/>
      </a:accent5>
      <a:accent6>
        <a:srgbClr val="D38F14"/>
      </a:accent6>
      <a:hlink>
        <a:srgbClr val="701622"/>
      </a:hlink>
      <a:folHlink>
        <a:srgbClr val="1A1A1A"/>
      </a:folHlink>
    </a:clrScheme>
    <a:fontScheme name="TasGov">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9F9E154BB7FB4BBCEE17F6782182E5" ma:contentTypeVersion="22" ma:contentTypeDescription="Create a new document." ma:contentTypeScope="" ma:versionID="3de740e9b52041d226d509d3281752ed">
  <xsd:schema xmlns:xsd="http://www.w3.org/2001/XMLSchema" xmlns:xs="http://www.w3.org/2001/XMLSchema" xmlns:p="http://schemas.microsoft.com/office/2006/metadata/properties" xmlns:ns2="4e68bc7d-4cbe-4c73-86a1-00cbaf9cda27" xmlns:ns3="d4755367-4b2a-4a1b-8829-9e1fd886e214" xmlns:ns4="http://schemas.microsoft.com/sharepoint/v3/fields" targetNamespace="http://schemas.microsoft.com/office/2006/metadata/properties" ma:root="true" ma:fieldsID="a9273fda0cf8ebd25045cf9904b51e4b" ns2:_="" ns3:_="" ns4:_="">
    <xsd:import namespace="4e68bc7d-4cbe-4c73-86a1-00cbaf9cda27"/>
    <xsd:import namespace="d4755367-4b2a-4a1b-8829-9e1fd886e214"/>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Assignedto" minOccurs="0"/>
                <xsd:element ref="ns2:Reviewed" minOccurs="0"/>
                <xsd:element ref="ns2:Comments" minOccurs="0"/>
                <xsd:element ref="ns4: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8bc7d-4cbe-4c73-86a1-00cbaf9cda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5fa8d43-ebde-4843-a9f4-94e805a6a4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ssignedto" ma:index="26"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d" ma:index="27" nillable="true" ma:displayName="Reviewed" ma:default="1" ma:format="Dropdown" ma:internalName="Reviewed">
      <xsd:simpleType>
        <xsd:restriction base="dms:Boolean"/>
      </xsd:simpleType>
    </xsd:element>
    <xsd:element name="Comments" ma:index="28"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755367-4b2a-4a1b-8829-9e1fd886e21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35dcf2-699b-4077-b3e1-4942c3a439c0}" ma:internalName="TaxCatchAll" ma:showField="CatchAllData" ma:web="d4755367-4b2a-4a1b-8829-9e1fd886e2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9"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4755367-4b2a-4a1b-8829-9e1fd886e214"/>
    <lcf76f155ced4ddcb4097134ff3c332f xmlns="4e68bc7d-4cbe-4c73-86a1-00cbaf9cda27">
      <Terms xmlns="http://schemas.microsoft.com/office/infopath/2007/PartnerControls"/>
    </lcf76f155ced4ddcb4097134ff3c332f>
    <_Version xmlns="http://schemas.microsoft.com/sharepoint/v3/fields" xsi:nil="true"/>
    <Reviewed xmlns="4e68bc7d-4cbe-4c73-86a1-00cbaf9cda27">true</Reviewed>
    <Assignedto xmlns="4e68bc7d-4cbe-4c73-86a1-00cbaf9cda27">
      <UserInfo>
        <DisplayName/>
        <AccountId xsi:nil="true"/>
        <AccountType/>
      </UserInfo>
    </Assignedto>
    <Comments xmlns="4e68bc7d-4cbe-4c73-86a1-00cbaf9cda27" xsi:nil="true"/>
  </documentManagement>
</p:properties>
</file>

<file path=customXml/itemProps1.xml><?xml version="1.0" encoding="utf-8"?>
<ds:datastoreItem xmlns:ds="http://schemas.openxmlformats.org/officeDocument/2006/customXml" ds:itemID="{62AF632C-7E23-4B9E-899A-14EFFD8FC2D9}">
  <ds:schemaRefs>
    <ds:schemaRef ds:uri="http://schemas.microsoft.com/sharepoint/v3/contenttype/forms"/>
  </ds:schemaRefs>
</ds:datastoreItem>
</file>

<file path=customXml/itemProps2.xml><?xml version="1.0" encoding="utf-8"?>
<ds:datastoreItem xmlns:ds="http://schemas.openxmlformats.org/officeDocument/2006/customXml" ds:itemID="{17AD455B-C3F2-4DAF-A4D9-82336FFBD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8bc7d-4cbe-4c73-86a1-00cbaf9cda27"/>
    <ds:schemaRef ds:uri="d4755367-4b2a-4a1b-8829-9e1fd886e214"/>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64C93B-33A9-4092-8B50-32C43E8784B7}">
  <ds:schemaRefs>
    <ds:schemaRef ds:uri="http://schemas.microsoft.com/office/2006/metadata/properties"/>
    <ds:schemaRef ds:uri="http://schemas.microsoft.com/office/infopath/2007/PartnerControls"/>
    <ds:schemaRef ds:uri="d4755367-4b2a-4a1b-8829-9e1fd886e214"/>
    <ds:schemaRef ds:uri="4e68bc7d-4cbe-4c73-86a1-00cbaf9cda27"/>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4034</Characters>
  <Application>Microsoft Office Word</Application>
  <DocSecurity>0</DocSecurity>
  <Lines>115</Lines>
  <Paragraphs>44</Paragraphs>
  <ScaleCrop>false</ScaleCrop>
  <HeadingPairs>
    <vt:vector size="2" baseType="variant">
      <vt:variant>
        <vt:lpstr>Title</vt:lpstr>
      </vt:variant>
      <vt:variant>
        <vt:i4>1</vt:i4>
      </vt:variant>
    </vt:vector>
  </HeadingPairs>
  <TitlesOfParts>
    <vt:vector size="1" baseType="lpstr">
      <vt:lpstr>Review of the Anzac Day Observance Act 1929 Discussion Paper</vt:lpstr>
    </vt:vector>
  </TitlesOfParts>
  <Company>Department of Premier and Cabinet</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Anzac Day Observance Act 1929 Discussion Paper</dc:title>
  <dc:subject/>
  <dc:creator/>
  <cp:keywords/>
  <dc:description/>
  <cp:lastModifiedBy>van Beek, Haylee</cp:lastModifiedBy>
  <cp:revision>5</cp:revision>
  <dcterms:created xsi:type="dcterms:W3CDTF">2026-10-21T06:59:00Z</dcterms:created>
  <dcterms:modified xsi:type="dcterms:W3CDTF">2026-10-21T07:16:00Z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b23925a,56995783,35206f93</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7883d80b,223a0a81,5892248b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4413e457-4e4b-40f6-9507-365301b2e0d0_Enabled">
    <vt:lpwstr>true</vt:lpwstr>
  </property>
  <property fmtid="{D5CDD505-2E9C-101B-9397-08002B2CF9AE}" pid="9" name="MSIP_Label_4413e457-4e4b-40f6-9507-365301b2e0d0_SetDate">
    <vt:lpwstr>2025-10-14T22:00:56Z</vt:lpwstr>
  </property>
  <property fmtid="{D5CDD505-2E9C-101B-9397-08002B2CF9AE}" pid="10" name="MSIP_Label_4413e457-4e4b-40f6-9507-365301b2e0d0_Method">
    <vt:lpwstr>Privileged</vt:lpwstr>
  </property>
  <property fmtid="{D5CDD505-2E9C-101B-9397-08002B2CF9AE}" pid="11" name="MSIP_Label_4413e457-4e4b-40f6-9507-365301b2e0d0_Name">
    <vt:lpwstr>OFFICIAL</vt:lpwstr>
  </property>
  <property fmtid="{D5CDD505-2E9C-101B-9397-08002B2CF9AE}" pid="12" name="MSIP_Label_4413e457-4e4b-40f6-9507-365301b2e0d0_SiteId">
    <vt:lpwstr>ea732b1f-3d1a-4be9-b48b-6cee25b8a074</vt:lpwstr>
  </property>
  <property fmtid="{D5CDD505-2E9C-101B-9397-08002B2CF9AE}" pid="13" name="MSIP_Label_4413e457-4e4b-40f6-9507-365301b2e0d0_ActionId">
    <vt:lpwstr>0d84d9ce-f2d5-4987-a19a-4c74b9e676b8</vt:lpwstr>
  </property>
  <property fmtid="{D5CDD505-2E9C-101B-9397-08002B2CF9AE}" pid="14" name="MSIP_Label_4413e457-4e4b-40f6-9507-365301b2e0d0_ContentBits">
    <vt:lpwstr>3</vt:lpwstr>
  </property>
  <property fmtid="{D5CDD505-2E9C-101B-9397-08002B2CF9AE}" pid="15" name="MSIP_Label_4413e457-4e4b-40f6-9507-365301b2e0d0_Tag">
    <vt:lpwstr>10, 0, 1, 1</vt:lpwstr>
  </property>
  <property fmtid="{D5CDD505-2E9C-101B-9397-08002B2CF9AE}" pid="16" name="ContentTypeId">
    <vt:lpwstr>0x0101000E9F9E154BB7FB4BBCEE17F6782182E5</vt:lpwstr>
  </property>
  <property fmtid="{D5CDD505-2E9C-101B-9397-08002B2CF9AE}" pid="17" name="MediaServiceImageTags">
    <vt:lpwstr/>
  </property>
</Properties>
</file>