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366F" w14:textId="77777777" w:rsidR="003246AA" w:rsidRPr="00D77338" w:rsidRDefault="003246AA" w:rsidP="003246AA">
      <w:pPr>
        <w:pStyle w:val="Title"/>
      </w:pPr>
      <w:bookmarkStart w:id="0" w:name="_Toc160358825"/>
      <w:bookmarkStart w:id="1" w:name="_Hlk191989112"/>
      <w:r w:rsidRPr="00D77338">
        <w:t>Defined Entities</w:t>
      </w:r>
    </w:p>
    <w:p w14:paraId="04DBCD18" w14:textId="77777777" w:rsidR="005D4190" w:rsidRPr="003246AA" w:rsidRDefault="005D4190" w:rsidP="003246AA">
      <w:pPr>
        <w:pStyle w:val="Subtitle"/>
        <w:rPr>
          <w:i/>
          <w:iCs/>
        </w:rPr>
      </w:pPr>
      <w:r w:rsidRPr="003246AA">
        <w:rPr>
          <w:rStyle w:val="normaltextrun"/>
          <w:i/>
          <w:iCs/>
        </w:rPr>
        <w:t xml:space="preserve">Disability Rights, Inclusion and Safeguarding Act 2024 </w:t>
      </w:r>
    </w:p>
    <w:bookmarkEnd w:id="0"/>
    <w:bookmarkEnd w:id="1"/>
    <w:p w14:paraId="50F8B15A" w14:textId="46BC9F2D" w:rsidR="00FB2A98" w:rsidRPr="00671B35" w:rsidRDefault="00203A18" w:rsidP="003246AA">
      <w:pPr>
        <w:pStyle w:val="Heading1"/>
      </w:pPr>
      <w:r w:rsidRPr="00671B35">
        <w:t xml:space="preserve">What </w:t>
      </w:r>
      <w:r w:rsidR="00A50D60" w:rsidRPr="00671B35">
        <w:t>is a defined entity?</w:t>
      </w:r>
    </w:p>
    <w:p w14:paraId="19014CF6" w14:textId="22CA0EC3" w:rsidR="000D1EC1" w:rsidRDefault="008B7246" w:rsidP="003246AA">
      <w:r>
        <w:t xml:space="preserve">The meaning of defined entity is </w:t>
      </w:r>
      <w:r w:rsidR="00F04CCB">
        <w:t xml:space="preserve">described </w:t>
      </w:r>
      <w:r>
        <w:t xml:space="preserve">in clause 6 </w:t>
      </w:r>
      <w:r w:rsidR="001C1CD7">
        <w:t xml:space="preserve">of the </w:t>
      </w:r>
      <w:hyperlink r:id="rId10">
        <w:r w:rsidR="0091120C" w:rsidRPr="447D6E89">
          <w:rPr>
            <w:rStyle w:val="Hyperlink"/>
            <w:i/>
            <w:iCs/>
          </w:rPr>
          <w:t>Disability Rights, Inclusion and Safeguarding Act 2024</w:t>
        </w:r>
        <w:r w:rsidR="0091120C" w:rsidRPr="447D6E89">
          <w:rPr>
            <w:rStyle w:val="Hyperlink"/>
          </w:rPr>
          <w:t xml:space="preserve"> (</w:t>
        </w:r>
        <w:r w:rsidR="00646EA2" w:rsidRPr="447D6E89">
          <w:rPr>
            <w:rStyle w:val="Hyperlink"/>
          </w:rPr>
          <w:t>the</w:t>
        </w:r>
        <w:r w:rsidR="0091120C" w:rsidRPr="447D6E89">
          <w:rPr>
            <w:rStyle w:val="Hyperlink"/>
          </w:rPr>
          <w:t xml:space="preserve"> Act)</w:t>
        </w:r>
      </w:hyperlink>
      <w:r w:rsidR="00687AD3">
        <w:t xml:space="preserve"> </w:t>
      </w:r>
      <w:r w:rsidR="00CB6968">
        <w:t>and includes</w:t>
      </w:r>
      <w:r w:rsidR="00EB23AF">
        <w:t>:</w:t>
      </w:r>
      <w:r w:rsidR="009C4A7C">
        <w:t xml:space="preserve"> </w:t>
      </w:r>
    </w:p>
    <w:p w14:paraId="7D886CB7" w14:textId="55A2F6F1" w:rsidR="005E332B" w:rsidRDefault="5413BEAF" w:rsidP="00FB11B0">
      <w:pPr>
        <w:pStyle w:val="BulletL1"/>
      </w:pPr>
      <w:r>
        <w:t>A</w:t>
      </w:r>
      <w:r w:rsidR="005E332B">
        <w:t xml:space="preserve">n Agency within the meaning of </w:t>
      </w:r>
      <w:r w:rsidR="005E332B" w:rsidRPr="61CADC33">
        <w:rPr>
          <w:i/>
          <w:iCs/>
        </w:rPr>
        <w:t>the State Service Act 2000</w:t>
      </w:r>
      <w:r w:rsidR="23467293" w:rsidRPr="61CADC33">
        <w:rPr>
          <w:i/>
          <w:iCs/>
        </w:rPr>
        <w:t>.</w:t>
      </w:r>
    </w:p>
    <w:p w14:paraId="4E5EE0D5" w14:textId="02D1D9D2" w:rsidR="007405B5" w:rsidRDefault="4B815425" w:rsidP="00FB11B0">
      <w:pPr>
        <w:pStyle w:val="BulletL1"/>
      </w:pPr>
      <w:r>
        <w:t>A</w:t>
      </w:r>
      <w:r w:rsidR="6CAF367F">
        <w:t xml:space="preserve"> person or organisation acting on behalf </w:t>
      </w:r>
      <w:r w:rsidR="007405B5">
        <w:t xml:space="preserve">of the </w:t>
      </w:r>
      <w:r w:rsidR="6CAF367F">
        <w:t xml:space="preserve">State Government if that person or organisation is </w:t>
      </w:r>
      <w:r w:rsidR="007405B5">
        <w:t>a</w:t>
      </w:r>
      <w:r w:rsidR="38952C65">
        <w:t>dministering</w:t>
      </w:r>
      <w:r w:rsidR="007405B5">
        <w:t xml:space="preserve"> funding or services to the disability sector</w:t>
      </w:r>
      <w:r w:rsidR="0F6D8C65">
        <w:t>.</w:t>
      </w:r>
    </w:p>
    <w:p w14:paraId="75BF9307" w14:textId="479E014A" w:rsidR="005E332B" w:rsidRDefault="18053877" w:rsidP="00FB11B0">
      <w:pPr>
        <w:pStyle w:val="BulletL1"/>
      </w:pPr>
      <w:r>
        <w:t>A</w:t>
      </w:r>
      <w:r w:rsidR="005E332B">
        <w:t xml:space="preserve"> </w:t>
      </w:r>
      <w:r w:rsidR="007F01A1">
        <w:t>G</w:t>
      </w:r>
      <w:r w:rsidR="005E332B">
        <w:t xml:space="preserve">overnment </w:t>
      </w:r>
      <w:r w:rsidR="007F01A1">
        <w:t>B</w:t>
      </w:r>
      <w:r w:rsidR="005E332B">
        <w:t xml:space="preserve">usiness </w:t>
      </w:r>
      <w:r w:rsidR="007F01A1">
        <w:t>E</w:t>
      </w:r>
      <w:r w:rsidR="005E332B">
        <w:t xml:space="preserve">nterprise within the meaning of the </w:t>
      </w:r>
      <w:r w:rsidR="003D1157" w:rsidRPr="61CADC33">
        <w:rPr>
          <w:i/>
          <w:iCs/>
        </w:rPr>
        <w:t>G</w:t>
      </w:r>
      <w:r w:rsidR="005E332B" w:rsidRPr="61CADC33">
        <w:rPr>
          <w:i/>
          <w:iCs/>
        </w:rPr>
        <w:t xml:space="preserve">overnment </w:t>
      </w:r>
      <w:r w:rsidR="003D1157" w:rsidRPr="61CADC33">
        <w:rPr>
          <w:i/>
          <w:iCs/>
        </w:rPr>
        <w:t>B</w:t>
      </w:r>
      <w:r w:rsidR="005E332B" w:rsidRPr="61CADC33">
        <w:rPr>
          <w:i/>
          <w:iCs/>
        </w:rPr>
        <w:t>usiness Enterprises Act 1995</w:t>
      </w:r>
      <w:r w:rsidR="5C5C5C33" w:rsidRPr="61CADC33">
        <w:rPr>
          <w:i/>
          <w:iCs/>
        </w:rPr>
        <w:t>.</w:t>
      </w:r>
    </w:p>
    <w:p w14:paraId="10F266B2" w14:textId="13A44FFA" w:rsidR="005E332B" w:rsidRDefault="5C5C5C33" w:rsidP="00D71D87">
      <w:pPr>
        <w:pStyle w:val="BulletL1"/>
        <w:spacing w:after="240"/>
      </w:pPr>
      <w:r>
        <w:t>A</w:t>
      </w:r>
      <w:r w:rsidR="005E332B">
        <w:t>ny other person or body or class of persons or bodies prescribed as a defined entity.</w:t>
      </w:r>
    </w:p>
    <w:p w14:paraId="14DD7A35" w14:textId="1CBB5EE9" w:rsidR="002B020D" w:rsidRDefault="005E332B" w:rsidP="003246AA">
      <w:r>
        <w:t xml:space="preserve">A full list of defined entities is included in </w:t>
      </w:r>
      <w:r w:rsidR="00806FFA" w:rsidRPr="00806FFA">
        <w:t>A</w:t>
      </w:r>
      <w:r w:rsidRPr="00806FFA">
        <w:t>ttachment 1</w:t>
      </w:r>
      <w:r w:rsidR="003A527D" w:rsidRPr="00806FFA">
        <w:t>.</w:t>
      </w:r>
    </w:p>
    <w:p w14:paraId="181F413E" w14:textId="7D118DB6" w:rsidR="00AD6E67" w:rsidRPr="00F15415" w:rsidRDefault="003F70AA" w:rsidP="003246AA">
      <w:pPr>
        <w:pStyle w:val="Heading1"/>
      </w:pPr>
      <w:r w:rsidRPr="00F15415">
        <w:t xml:space="preserve">What is a </w:t>
      </w:r>
      <w:r w:rsidR="00317E1A" w:rsidRPr="00F15415">
        <w:t>d</w:t>
      </w:r>
      <w:r w:rsidR="000C4032" w:rsidRPr="00F15415">
        <w:t xml:space="preserve">efined </w:t>
      </w:r>
      <w:r w:rsidR="00317E1A" w:rsidRPr="00F15415">
        <w:t>e</w:t>
      </w:r>
      <w:r w:rsidR="000C4032" w:rsidRPr="00F15415">
        <w:t>ntit</w:t>
      </w:r>
      <w:r w:rsidRPr="00F15415">
        <w:t>y’s</w:t>
      </w:r>
      <w:r w:rsidR="00686DB2" w:rsidRPr="00F15415">
        <w:t xml:space="preserve"> </w:t>
      </w:r>
      <w:r w:rsidRPr="00F15415">
        <w:t>role in</w:t>
      </w:r>
      <w:r w:rsidR="00686DB2" w:rsidRPr="00F15415">
        <w:t xml:space="preserve"> </w:t>
      </w:r>
      <w:r w:rsidR="00AD6E67" w:rsidRPr="00F15415">
        <w:t>Disability Inclusion Planning</w:t>
      </w:r>
      <w:r w:rsidRPr="00F15415">
        <w:t>?</w:t>
      </w:r>
    </w:p>
    <w:p w14:paraId="011526D1" w14:textId="0C970173" w:rsidR="00AD5A8D" w:rsidRPr="008D2873" w:rsidRDefault="009B2D34" w:rsidP="003246AA">
      <w:pPr>
        <w:pStyle w:val="Heading2"/>
      </w:pPr>
      <w:r w:rsidRPr="008D2873">
        <w:t>Tasmanian Disability Inclusion Plan</w:t>
      </w:r>
    </w:p>
    <w:p w14:paraId="480FC704" w14:textId="5BE855B7" w:rsidR="00745B39" w:rsidRPr="00745B39" w:rsidRDefault="002418AE" w:rsidP="003246AA">
      <w:r>
        <w:t>Pa</w:t>
      </w:r>
      <w:r w:rsidR="000A56F6">
        <w:t>rt</w:t>
      </w:r>
      <w:r>
        <w:t xml:space="preserve"> 2, </w:t>
      </w:r>
      <w:r w:rsidR="00745B39">
        <w:t xml:space="preserve">Clause 9 </w:t>
      </w:r>
      <w:r w:rsidR="009C10DE">
        <w:t xml:space="preserve">of the Act </w:t>
      </w:r>
      <w:r w:rsidR="00745B39">
        <w:t xml:space="preserve">sets out </w:t>
      </w:r>
      <w:r w:rsidR="009C10DE">
        <w:t>the</w:t>
      </w:r>
      <w:r w:rsidR="00745B39">
        <w:t xml:space="preserve"> requirement for the Tasmanian Government to develop a Tasmanian Disability Inclusion Plan to be completed 12 months after commencement of the Act. This plan will be developed for the Minister for Disability Services by </w:t>
      </w:r>
      <w:r w:rsidR="000A00AA">
        <w:t>Department of Premier and Cabinet (</w:t>
      </w:r>
      <w:r w:rsidR="00745B39">
        <w:t>DPAC</w:t>
      </w:r>
      <w:r w:rsidR="000A00AA">
        <w:t>)</w:t>
      </w:r>
      <w:r w:rsidR="005E75F2">
        <w:t xml:space="preserve"> in consultation with defined entities</w:t>
      </w:r>
      <w:r w:rsidR="00D71D87">
        <w:t xml:space="preserve"> and other stakeholders</w:t>
      </w:r>
      <w:r w:rsidR="00B853C4">
        <w:t xml:space="preserve"> such as the Disability Commissioner</w:t>
      </w:r>
      <w:r w:rsidR="001F7197">
        <w:t xml:space="preserve">, the Disability </w:t>
      </w:r>
      <w:r w:rsidR="4FAB8FC9">
        <w:t xml:space="preserve">Inclusion </w:t>
      </w:r>
      <w:r w:rsidR="001F7197">
        <w:t>Advisory Council, people with disability and the public</w:t>
      </w:r>
      <w:r w:rsidR="18883218">
        <w:t>.</w:t>
      </w:r>
    </w:p>
    <w:p w14:paraId="2052BFB8" w14:textId="39172D99" w:rsidR="00745B39" w:rsidRPr="00745B39" w:rsidRDefault="00745B39" w:rsidP="003246AA">
      <w:r>
        <w:t xml:space="preserve">The purpose of the plan </w:t>
      </w:r>
      <w:r w:rsidR="289370FB">
        <w:t>is</w:t>
      </w:r>
      <w:r>
        <w:t xml:space="preserve"> to set out whole of government policies and measures for achieving the objects</w:t>
      </w:r>
      <w:r w:rsidR="00A75B89">
        <w:t xml:space="preserve"> and advancing the principles</w:t>
      </w:r>
      <w:r>
        <w:t xml:space="preserve"> of </w:t>
      </w:r>
      <w:r w:rsidR="00A75B89">
        <w:t xml:space="preserve">the </w:t>
      </w:r>
      <w:r>
        <w:t xml:space="preserve">Act. It will </w:t>
      </w:r>
      <w:r w:rsidR="00A75B89">
        <w:t xml:space="preserve">support </w:t>
      </w:r>
      <w:r>
        <w:t>collaboration and coordination among defined entities and other entities in the provision of universal services to people with disability.</w:t>
      </w:r>
    </w:p>
    <w:p w14:paraId="609A7BA1" w14:textId="77777777" w:rsidR="003246AA" w:rsidRDefault="003246AA">
      <w:pPr>
        <w:spacing w:after="160" w:line="259" w:lineRule="auto"/>
        <w:rPr>
          <w:rFonts w:asciiTheme="majorHAnsi" w:eastAsiaTheme="majorEastAsia" w:hAnsiTheme="majorHAnsi" w:cstheme="majorBidi"/>
          <w:b/>
          <w:color w:val="0E7482"/>
          <w:sz w:val="36"/>
          <w:szCs w:val="36"/>
        </w:rPr>
      </w:pPr>
      <w:r>
        <w:br w:type="page"/>
      </w:r>
    </w:p>
    <w:p w14:paraId="4705A9A4" w14:textId="3296DC9F" w:rsidR="00203A18" w:rsidRPr="00F15415" w:rsidRDefault="007C75AE" w:rsidP="003246AA">
      <w:pPr>
        <w:pStyle w:val="Heading2"/>
      </w:pPr>
      <w:r>
        <w:lastRenderedPageBreak/>
        <w:t xml:space="preserve">Disability Inclusion Action Plan for </w:t>
      </w:r>
      <w:r w:rsidR="00DD74A7">
        <w:t>D</w:t>
      </w:r>
      <w:r>
        <w:t xml:space="preserve">efined </w:t>
      </w:r>
      <w:r w:rsidR="00DD74A7">
        <w:t>E</w:t>
      </w:r>
      <w:r>
        <w:t>ntities</w:t>
      </w:r>
    </w:p>
    <w:p w14:paraId="2A3BEF64" w14:textId="1A05C130" w:rsidR="00393C5C" w:rsidRDefault="00CF47C3">
      <w:r>
        <w:t>The</w:t>
      </w:r>
      <w:r w:rsidR="3477D0FC">
        <w:t xml:space="preserve"> Act </w:t>
      </w:r>
      <w:r>
        <w:t xml:space="preserve">requires </w:t>
      </w:r>
      <w:r w:rsidR="28FE18F9">
        <w:t xml:space="preserve">that </w:t>
      </w:r>
      <w:r w:rsidR="77B364E5">
        <w:t>each defined entity</w:t>
      </w:r>
      <w:r w:rsidR="00393C5C">
        <w:t xml:space="preserve"> develop a Disability Inclusion Action Plan. These plans are to be </w:t>
      </w:r>
      <w:r w:rsidR="408D300E">
        <w:t>releas</w:t>
      </w:r>
      <w:r w:rsidR="00393C5C">
        <w:t xml:space="preserve">ed </w:t>
      </w:r>
      <w:r w:rsidR="1C73362D">
        <w:t>six</w:t>
      </w:r>
      <w:r w:rsidR="00393C5C">
        <w:t xml:space="preserve"> months after publication of the first Tasmanian Disability Inclusion Plan</w:t>
      </w:r>
      <w:r w:rsidR="1423AAE8">
        <w:t>. Plans will:</w:t>
      </w:r>
    </w:p>
    <w:p w14:paraId="585BA99E" w14:textId="3395066A" w:rsidR="00393C5C" w:rsidRPr="003246AA" w:rsidRDefault="07C23E13" w:rsidP="003246AA">
      <w:pPr>
        <w:pStyle w:val="BulletL1"/>
      </w:pPr>
      <w:r w:rsidRPr="003246AA">
        <w:t>P</w:t>
      </w:r>
      <w:r w:rsidR="00393C5C" w:rsidRPr="003246AA">
        <w:t>romote the inclusion and participation of people with disability in the community</w:t>
      </w:r>
      <w:r w:rsidR="4665EE15" w:rsidRPr="003246AA">
        <w:t>.</w:t>
      </w:r>
    </w:p>
    <w:p w14:paraId="4F86E784" w14:textId="749FC55E" w:rsidR="00393C5C" w:rsidRPr="003246AA" w:rsidRDefault="2B05D76F" w:rsidP="003246AA">
      <w:pPr>
        <w:pStyle w:val="BulletL1"/>
      </w:pPr>
      <w:r w:rsidRPr="003246AA">
        <w:t>R</w:t>
      </w:r>
      <w:r w:rsidR="00393C5C" w:rsidRPr="003246AA">
        <w:t>educe, remove and prevent barriers to people with disability in accessing universal services</w:t>
      </w:r>
      <w:r w:rsidR="4665EE15" w:rsidRPr="003246AA">
        <w:t>.</w:t>
      </w:r>
    </w:p>
    <w:p w14:paraId="056C99FC" w14:textId="31C62F6E" w:rsidR="00393C5C" w:rsidRPr="003246AA" w:rsidRDefault="2070A415" w:rsidP="003246AA">
      <w:pPr>
        <w:pStyle w:val="BulletL1"/>
      </w:pPr>
      <w:r w:rsidRPr="003246AA">
        <w:t>R</w:t>
      </w:r>
      <w:r w:rsidR="00393C5C" w:rsidRPr="003246AA">
        <w:t>educe, remove and prevent barriers to people with disability obtaining and maintaining employment</w:t>
      </w:r>
      <w:r w:rsidR="07519B34" w:rsidRPr="003246AA">
        <w:t>.</w:t>
      </w:r>
    </w:p>
    <w:p w14:paraId="325C02A8" w14:textId="15CF060D" w:rsidR="00393C5C" w:rsidRPr="003246AA" w:rsidRDefault="07519B34" w:rsidP="003246AA">
      <w:pPr>
        <w:pStyle w:val="BulletL1"/>
      </w:pPr>
      <w:r w:rsidRPr="003246AA">
        <w:t>R</w:t>
      </w:r>
      <w:r w:rsidR="00393C5C" w:rsidRPr="003246AA">
        <w:t>ealis</w:t>
      </w:r>
      <w:r w:rsidR="00EA0B7E" w:rsidRPr="003246AA">
        <w:t>e</w:t>
      </w:r>
      <w:r w:rsidR="00393C5C" w:rsidRPr="003246AA">
        <w:t xml:space="preserve"> meaningful change in attitudes and practices that discriminate against people with disability</w:t>
      </w:r>
      <w:r w:rsidRPr="003246AA">
        <w:t>.</w:t>
      </w:r>
    </w:p>
    <w:p w14:paraId="0EDEC405" w14:textId="2A978E59" w:rsidR="00393C5C" w:rsidRPr="003246AA" w:rsidRDefault="07519B34" w:rsidP="003246AA">
      <w:pPr>
        <w:pStyle w:val="BulletL1"/>
      </w:pPr>
      <w:r w:rsidRPr="003246AA">
        <w:t>C</w:t>
      </w:r>
      <w:r w:rsidR="00393C5C" w:rsidRPr="003246AA">
        <w:t>oordinat</w:t>
      </w:r>
      <w:r w:rsidR="00EA0B7E" w:rsidRPr="003246AA">
        <w:t>e</w:t>
      </w:r>
      <w:r w:rsidR="00393C5C" w:rsidRPr="003246AA">
        <w:t xml:space="preserve"> and integrat</w:t>
      </w:r>
      <w:r w:rsidR="00EA0B7E" w:rsidRPr="003246AA">
        <w:t>e</w:t>
      </w:r>
      <w:r w:rsidR="00393C5C" w:rsidRPr="003246AA">
        <w:t xml:space="preserve"> universal services with services and supports that are funded or provided under the NDIS. </w:t>
      </w:r>
    </w:p>
    <w:p w14:paraId="3A717466" w14:textId="0E7AE8DF" w:rsidR="45AD0C63" w:rsidRDefault="45AD0C63" w:rsidP="003246AA">
      <w:r w:rsidRPr="6D1A8FBE">
        <w:t>To advance disability inclusion, Action Plans must include strategies and measures for the defined entity to promote disability inclusion, actions to be taken and outcomes to be measured.</w:t>
      </w:r>
    </w:p>
    <w:p w14:paraId="7F9BD515" w14:textId="3B5CE058" w:rsidR="0079562D" w:rsidRDefault="00F64A46" w:rsidP="003246AA">
      <w:r>
        <w:t xml:space="preserve">DPAC and the Disability Commissioner will consult and prepare guidelines to assist defined entities to meet the requirements. </w:t>
      </w:r>
    </w:p>
    <w:p w14:paraId="6285832A" w14:textId="77777777" w:rsidR="003246AA" w:rsidRDefault="003246AA">
      <w:pPr>
        <w:spacing w:after="160" w:line="259" w:lineRule="auto"/>
        <w:rPr>
          <w:rFonts w:asciiTheme="majorHAnsi" w:eastAsiaTheme="majorEastAsia" w:hAnsiTheme="majorHAnsi" w:cstheme="majorBidi"/>
          <w:b/>
          <w:color w:val="0E7482"/>
          <w:sz w:val="48"/>
          <w:szCs w:val="72"/>
        </w:rPr>
      </w:pPr>
      <w:r>
        <w:br w:type="page"/>
      </w:r>
    </w:p>
    <w:p w14:paraId="055DD43D" w14:textId="2248EBA9" w:rsidR="00C01CC6" w:rsidRPr="00F15415" w:rsidRDefault="00C01CC6" w:rsidP="003246AA">
      <w:pPr>
        <w:pStyle w:val="Heading1"/>
      </w:pPr>
      <w:r>
        <w:lastRenderedPageBreak/>
        <w:t>Consultation by Defined Entities</w:t>
      </w:r>
    </w:p>
    <w:p w14:paraId="5C842558" w14:textId="77777777" w:rsidR="005729F9" w:rsidRDefault="00C01CC6" w:rsidP="003246AA">
      <w:r>
        <w:t xml:space="preserve">Clause 17 </w:t>
      </w:r>
      <w:r w:rsidR="0054209B">
        <w:t xml:space="preserve">of the Act </w:t>
      </w:r>
      <w:r>
        <w:t>sets out requirements for defined entities to consult with people with disability when developing or reviewing any policy, program or service provided by that entity that has a direct and significant impact on the public</w:t>
      </w:r>
      <w:r w:rsidR="005729F9">
        <w:t>.</w:t>
      </w:r>
      <w:r>
        <w:t xml:space="preserve"> </w:t>
      </w:r>
    </w:p>
    <w:p w14:paraId="7BA3E167" w14:textId="6A230503" w:rsidR="00C01CC6" w:rsidRDefault="005729F9" w:rsidP="003246AA">
      <w:r>
        <w:t>[N</w:t>
      </w:r>
      <w:r w:rsidR="00C01CC6">
        <w:t>ote: this does not refer to a policy, program or service specifically for people with disability but is in relation to the broader service system</w:t>
      </w:r>
      <w:r>
        <w:t>]</w:t>
      </w:r>
      <w:r w:rsidR="00C01CC6">
        <w:t>.</w:t>
      </w:r>
    </w:p>
    <w:p w14:paraId="590B23ED" w14:textId="25418923" w:rsidR="00C01CC6" w:rsidRDefault="00C01CC6" w:rsidP="003246AA">
      <w:r>
        <w:t xml:space="preserve">This requirement will begin with </w:t>
      </w:r>
      <w:r w:rsidR="00670202">
        <w:t>c</w:t>
      </w:r>
      <w:r>
        <w:t>ommencement of the Act.</w:t>
      </w:r>
    </w:p>
    <w:p w14:paraId="1B6E3083" w14:textId="158534D4" w:rsidR="00C01CC6" w:rsidRDefault="00C01CC6" w:rsidP="003246AA">
      <w:r>
        <w:t>In consulting with people with disability the defined entity is to consider:</w:t>
      </w:r>
    </w:p>
    <w:p w14:paraId="6373647F" w14:textId="54999854" w:rsidR="00DA59C6" w:rsidRPr="003246AA" w:rsidRDefault="0089FBA6" w:rsidP="003246AA">
      <w:pPr>
        <w:pStyle w:val="BulletL1"/>
      </w:pPr>
      <w:r w:rsidRPr="003246AA">
        <w:t>T</w:t>
      </w:r>
      <w:r w:rsidR="00C01CC6" w:rsidRPr="003246AA">
        <w:t>he effects that the policy, program or service may have on people with disability</w:t>
      </w:r>
      <w:r w:rsidR="004F41F3" w:rsidRPr="003246AA">
        <w:t xml:space="preserve"> </w:t>
      </w:r>
      <w:r w:rsidR="6B240C7A" w:rsidRPr="003246AA">
        <w:t xml:space="preserve">and </w:t>
      </w:r>
      <w:r w:rsidR="00C01CC6" w:rsidRPr="003246AA">
        <w:t>how the</w:t>
      </w:r>
      <w:r w:rsidR="631B26E4" w:rsidRPr="003246AA">
        <w:t>y</w:t>
      </w:r>
      <w:r w:rsidR="00C01CC6" w:rsidRPr="003246AA">
        <w:t xml:space="preserve"> may be developed or varied to</w:t>
      </w:r>
      <w:r w:rsidR="004F41F3" w:rsidRPr="003246AA">
        <w:t>:</w:t>
      </w:r>
    </w:p>
    <w:p w14:paraId="79006512" w14:textId="352EF5A6" w:rsidR="00C01CC6" w:rsidRPr="002A79E6" w:rsidRDefault="00C01CC6" w:rsidP="002A79E6">
      <w:pPr>
        <w:pStyle w:val="BulletL2"/>
      </w:pPr>
      <w:r>
        <w:t xml:space="preserve">ensure </w:t>
      </w:r>
      <w:proofErr w:type="gramStart"/>
      <w:r>
        <w:t>accessibility</w:t>
      </w:r>
      <w:r w:rsidR="403D7719">
        <w:t>;</w:t>
      </w:r>
      <w:proofErr w:type="gramEnd"/>
    </w:p>
    <w:p w14:paraId="1F326EFC" w14:textId="0705F96D" w:rsidR="00C01CC6" w:rsidRPr="002A79E6" w:rsidRDefault="00C01CC6" w:rsidP="002A79E6">
      <w:pPr>
        <w:pStyle w:val="BulletL2"/>
      </w:pPr>
      <w:r>
        <w:t xml:space="preserve">promote universal </w:t>
      </w:r>
      <w:proofErr w:type="gramStart"/>
      <w:r>
        <w:t>design</w:t>
      </w:r>
      <w:r w:rsidR="00E8ED88">
        <w:t>;</w:t>
      </w:r>
      <w:proofErr w:type="gramEnd"/>
    </w:p>
    <w:p w14:paraId="6CD86E5E" w14:textId="297DE653" w:rsidR="00C01CC6" w:rsidRPr="002A79E6" w:rsidRDefault="00C01CC6" w:rsidP="002A79E6">
      <w:pPr>
        <w:pStyle w:val="BulletL2"/>
      </w:pPr>
      <w:r>
        <w:t>reduce, remove and prevent barriers to disability inclusion</w:t>
      </w:r>
      <w:r w:rsidR="10BF8067">
        <w:t>; and</w:t>
      </w:r>
    </w:p>
    <w:p w14:paraId="460F0E86" w14:textId="7DE677DB" w:rsidR="00C01CC6" w:rsidRPr="002A79E6" w:rsidRDefault="00C01CC6" w:rsidP="002A79E6">
      <w:pPr>
        <w:pStyle w:val="BulletL2"/>
      </w:pPr>
      <w:r>
        <w:t>promote disability inclusion</w:t>
      </w:r>
      <w:r w:rsidR="72B8FA76">
        <w:t>.</w:t>
      </w:r>
    </w:p>
    <w:p w14:paraId="2AEC8338" w14:textId="77777777" w:rsidR="00395667" w:rsidRPr="003246AA" w:rsidRDefault="72B8FA76" w:rsidP="003246AA">
      <w:pPr>
        <w:pStyle w:val="BulletL1"/>
      </w:pPr>
      <w:r w:rsidRPr="003246AA">
        <w:t>A</w:t>
      </w:r>
      <w:r w:rsidR="00C01CC6" w:rsidRPr="003246AA">
        <w:t>ny barriers to disability inclusion that may be compounded by Intersectionality</w:t>
      </w:r>
      <w:r w:rsidR="10F6C27A" w:rsidRPr="003246AA">
        <w:t>.</w:t>
      </w:r>
    </w:p>
    <w:p w14:paraId="6AE3B05D" w14:textId="1671E861" w:rsidR="00C01CC6" w:rsidRPr="003246AA" w:rsidRDefault="600D332F" w:rsidP="003246AA">
      <w:pPr>
        <w:pStyle w:val="BulletL1"/>
      </w:pPr>
      <w:r w:rsidRPr="003246AA">
        <w:t>T</w:t>
      </w:r>
      <w:r w:rsidR="00C01CC6" w:rsidRPr="003246AA">
        <w:t>he Act Principles.</w:t>
      </w:r>
    </w:p>
    <w:p w14:paraId="490DFFF3" w14:textId="5808DAB9" w:rsidR="00C01CC6" w:rsidRDefault="00C01CC6" w:rsidP="003246AA">
      <w:r>
        <w:t>The consultation must be undertaken in equitable</w:t>
      </w:r>
      <w:r w:rsidR="00F40315">
        <w:t xml:space="preserve"> and flexible</w:t>
      </w:r>
      <w:r>
        <w:t xml:space="preserve"> way</w:t>
      </w:r>
      <w:r w:rsidR="00F40315">
        <w:t>s</w:t>
      </w:r>
      <w:r>
        <w:t xml:space="preserve"> so that people with disability have as much </w:t>
      </w:r>
      <w:r w:rsidR="00381AFF">
        <w:t xml:space="preserve">opportunity and </w:t>
      </w:r>
      <w:r>
        <w:t>say in the planning and development of policies, programs and services as other members of the community.</w:t>
      </w:r>
    </w:p>
    <w:p w14:paraId="457EF5BA" w14:textId="47CD877C" w:rsidR="00BE32D8" w:rsidRDefault="00517486" w:rsidP="003246AA">
      <w:r>
        <w:t xml:space="preserve">To support defined entities with approaches to consultation, </w:t>
      </w:r>
      <w:r w:rsidR="00C01CC6">
        <w:t xml:space="preserve">DPAC </w:t>
      </w:r>
      <w:r w:rsidR="00381AFF">
        <w:t xml:space="preserve">is </w:t>
      </w:r>
      <w:r w:rsidR="19D57995">
        <w:t>preparing Consultation</w:t>
      </w:r>
      <w:r w:rsidR="00E65F3A">
        <w:t xml:space="preserve"> </w:t>
      </w:r>
      <w:r w:rsidR="00C01CC6">
        <w:t>Guideline</w:t>
      </w:r>
      <w:r w:rsidR="0DD215A7">
        <w:t>s</w:t>
      </w:r>
      <w:r w:rsidR="00C01CC6">
        <w:t>.</w:t>
      </w:r>
    </w:p>
    <w:p w14:paraId="3A11BE30" w14:textId="6E47DD70" w:rsidR="0001035D" w:rsidRDefault="0001035D" w:rsidP="003246AA">
      <w:pPr>
        <w:pStyle w:val="Heading1"/>
      </w:pPr>
      <w:r>
        <w:t xml:space="preserve">Publication of </w:t>
      </w:r>
      <w:r w:rsidR="0002558C">
        <w:t>communication in Accessible Formats</w:t>
      </w:r>
    </w:p>
    <w:p w14:paraId="5FD2F472" w14:textId="652EC988" w:rsidR="0002558C" w:rsidRDefault="00603885" w:rsidP="0002558C">
      <w:r>
        <w:t xml:space="preserve">There are several places in the Act that require </w:t>
      </w:r>
      <w:r w:rsidR="00170402">
        <w:t>the publication of documents or communications in Accessible Formats. This is defined as</w:t>
      </w:r>
      <w:r w:rsidR="0044589F">
        <w:t xml:space="preserve"> </w:t>
      </w:r>
      <w:r w:rsidR="005729F9">
        <w:t>a</w:t>
      </w:r>
      <w:r w:rsidR="00B571CC" w:rsidRPr="0044589F">
        <w:t xml:space="preserve"> format that presents a document or other communication in a manner that enables the document or communication to be accessible by people with disability</w:t>
      </w:r>
      <w:r w:rsidR="0044589F" w:rsidRPr="0044589F">
        <w:t>.</w:t>
      </w:r>
    </w:p>
    <w:p w14:paraId="6616C0DD" w14:textId="7D3071CE" w:rsidR="00BC272F" w:rsidRDefault="00BC272F" w:rsidP="0002558C">
      <w:r>
        <w:t xml:space="preserve">This requirement supports </w:t>
      </w:r>
      <w:r w:rsidR="001D779C">
        <w:t xml:space="preserve">several of the Act principles, particularly those </w:t>
      </w:r>
      <w:r w:rsidR="6E7A3249">
        <w:t xml:space="preserve">in </w:t>
      </w:r>
      <w:r w:rsidR="001D779C">
        <w:t xml:space="preserve">relation to access to services, communication and consultation. </w:t>
      </w:r>
    </w:p>
    <w:p w14:paraId="714C2BB2" w14:textId="41773084" w:rsidR="00E962F0" w:rsidRPr="0002558C" w:rsidRDefault="00E962F0" w:rsidP="0002558C">
      <w:r>
        <w:t xml:space="preserve">DPAC </w:t>
      </w:r>
      <w:r w:rsidR="00C46B6B">
        <w:t xml:space="preserve">is </w:t>
      </w:r>
      <w:r w:rsidR="004F05EA">
        <w:t xml:space="preserve">currently working with Tasmanian Government agencies and other stakeholders </w:t>
      </w:r>
      <w:r w:rsidR="00620BCE">
        <w:t xml:space="preserve">to develop </w:t>
      </w:r>
      <w:r w:rsidR="120D9463">
        <w:t>g</w:t>
      </w:r>
      <w:r w:rsidR="009B0296">
        <w:t>uideline</w:t>
      </w:r>
      <w:r w:rsidR="604AFDFE">
        <w:t>s</w:t>
      </w:r>
      <w:r w:rsidR="009B0296">
        <w:t xml:space="preserve"> to assist with preparation and publication of materials in accessible formats. </w:t>
      </w:r>
    </w:p>
    <w:p w14:paraId="0D219BBA" w14:textId="254BB1A2" w:rsidR="00B00537" w:rsidRPr="00F15415" w:rsidRDefault="003042BC" w:rsidP="003246AA">
      <w:pPr>
        <w:pStyle w:val="Heading1"/>
      </w:pPr>
      <w:r w:rsidRPr="00F15415">
        <w:lastRenderedPageBreak/>
        <w:t xml:space="preserve">Who </w:t>
      </w:r>
      <w:r w:rsidR="00A24F07">
        <w:t xml:space="preserve">else will </w:t>
      </w:r>
      <w:r w:rsidR="00B00537" w:rsidRPr="00F15415">
        <w:t>defined entit</w:t>
      </w:r>
      <w:r w:rsidR="00C92D7F" w:rsidRPr="00F15415">
        <w:t xml:space="preserve">ies need to </w:t>
      </w:r>
      <w:r w:rsidR="00A24F07">
        <w:t xml:space="preserve">work </w:t>
      </w:r>
      <w:r w:rsidR="000B6149" w:rsidRPr="00F15415">
        <w:t>with</w:t>
      </w:r>
      <w:r w:rsidR="00173D84" w:rsidRPr="00F15415">
        <w:t>?</w:t>
      </w:r>
    </w:p>
    <w:p w14:paraId="15BB9F49" w14:textId="2E6E8B4D" w:rsidR="00CC5E3D" w:rsidRPr="00F15415" w:rsidRDefault="00CC5E3D" w:rsidP="003246AA">
      <w:pPr>
        <w:pStyle w:val="Heading2"/>
        <w:rPr>
          <w:rFonts w:eastAsia="Times New Roman"/>
        </w:rPr>
      </w:pPr>
      <w:r w:rsidRPr="00F15415">
        <w:rPr>
          <w:rFonts w:eastAsia="Times New Roman"/>
        </w:rPr>
        <w:t>Disability Commissioner</w:t>
      </w:r>
    </w:p>
    <w:p w14:paraId="36DDC872" w14:textId="766AB023" w:rsidR="00CC5E3D" w:rsidRPr="003C02FD" w:rsidRDefault="00CC5E3D" w:rsidP="003774F5">
      <w:r>
        <w:t xml:space="preserve">The </w:t>
      </w:r>
      <w:r w:rsidR="00FA65BD">
        <w:t xml:space="preserve">Disability </w:t>
      </w:r>
      <w:r>
        <w:t xml:space="preserve">Commissioner has a range of functions, many of which involve interactions with </w:t>
      </w:r>
      <w:r w:rsidR="00472849">
        <w:t>d</w:t>
      </w:r>
      <w:r>
        <w:t xml:space="preserve">efined </w:t>
      </w:r>
      <w:r w:rsidR="00472849">
        <w:t>e</w:t>
      </w:r>
      <w:r>
        <w:t xml:space="preserve">ntities. These </w:t>
      </w:r>
      <w:r w:rsidR="00CF6ED5">
        <w:t xml:space="preserve">functions </w:t>
      </w:r>
      <w:r>
        <w:t>include:</w:t>
      </w:r>
    </w:p>
    <w:p w14:paraId="39D6E4CB" w14:textId="2AC5FD44" w:rsidR="00CC5E3D" w:rsidRPr="000132D5" w:rsidRDefault="00757B0A" w:rsidP="00F30578">
      <w:pPr>
        <w:pStyle w:val="BulletL1"/>
      </w:pPr>
      <w:r>
        <w:t>P</w:t>
      </w:r>
      <w:r w:rsidR="00CC5E3D">
        <w:t>rovid</w:t>
      </w:r>
      <w:r w:rsidR="32BEEA59">
        <w:t>ing</w:t>
      </w:r>
      <w:r w:rsidR="00CC5E3D">
        <w:t xml:space="preserve"> leadership, foster</w:t>
      </w:r>
      <w:r w:rsidR="46D5B738">
        <w:t>ing</w:t>
      </w:r>
      <w:r w:rsidR="00CC5E3D">
        <w:t xml:space="preserve"> inclusion, and promot</w:t>
      </w:r>
      <w:r w:rsidR="2623F259">
        <w:t>ing</w:t>
      </w:r>
      <w:r w:rsidR="00CC5E3D">
        <w:t xml:space="preserve"> accessibility across </w:t>
      </w:r>
      <w:r w:rsidR="007B63BE">
        <w:t>G</w:t>
      </w:r>
      <w:r w:rsidR="00CC5E3D">
        <w:t>overnment and universal services, including monitoring and reporting in relation to the Tasmanian Disability Inclusion Plan</w:t>
      </w:r>
      <w:r w:rsidR="3AEB787F">
        <w:t>.</w:t>
      </w:r>
    </w:p>
    <w:p w14:paraId="041424AE" w14:textId="7982B23A" w:rsidR="00CC5E3D" w:rsidRDefault="34625D90" w:rsidP="00F30578">
      <w:pPr>
        <w:pStyle w:val="BulletL1"/>
      </w:pPr>
      <w:r w:rsidRPr="000132D5">
        <w:t>S</w:t>
      </w:r>
      <w:r w:rsidR="00CC5E3D" w:rsidRPr="000132D5">
        <w:t>upport</w:t>
      </w:r>
      <w:r w:rsidR="49C2934A" w:rsidRPr="000132D5">
        <w:t>ing</w:t>
      </w:r>
      <w:r w:rsidR="00CC5E3D" w:rsidRPr="000132D5">
        <w:t xml:space="preserve"> defined entities to comply</w:t>
      </w:r>
      <w:r w:rsidR="00E0107D">
        <w:rPr>
          <w:spacing w:val="40"/>
        </w:rPr>
        <w:t xml:space="preserve"> </w:t>
      </w:r>
      <w:r w:rsidR="00CC5E3D" w:rsidRPr="000132D5">
        <w:t>with th</w:t>
      </w:r>
      <w:r w:rsidR="6822770C" w:rsidRPr="000132D5">
        <w:t>e</w:t>
      </w:r>
      <w:r w:rsidR="00CC5E3D" w:rsidRPr="000132D5">
        <w:t xml:space="preserve"> Act</w:t>
      </w:r>
      <w:r w:rsidR="005F7914" w:rsidRPr="000132D5">
        <w:t>.</w:t>
      </w:r>
    </w:p>
    <w:p w14:paraId="15B4F681" w14:textId="097FF2A0" w:rsidR="00283084" w:rsidRDefault="00283084" w:rsidP="00E15978">
      <w:r>
        <w:t xml:space="preserve">See Part 4 </w:t>
      </w:r>
      <w:r w:rsidR="249861BA">
        <w:t xml:space="preserve">of the Act </w:t>
      </w:r>
      <w:r>
        <w:t>for further in</w:t>
      </w:r>
      <w:r w:rsidR="00CA5753">
        <w:t xml:space="preserve">formation on the </w:t>
      </w:r>
      <w:r w:rsidR="00BA5D4B">
        <w:t xml:space="preserve">functions of </w:t>
      </w:r>
      <w:r w:rsidR="73ED03C4">
        <w:t xml:space="preserve">the </w:t>
      </w:r>
      <w:r w:rsidR="00CA5753">
        <w:t>Disability Commissioner.</w:t>
      </w:r>
    </w:p>
    <w:p w14:paraId="587D77C3" w14:textId="63115593" w:rsidR="00B45E97" w:rsidRPr="00F15415" w:rsidRDefault="00B45E97" w:rsidP="003246AA">
      <w:pPr>
        <w:pStyle w:val="Heading2"/>
      </w:pPr>
      <w:r w:rsidRPr="00F15415">
        <w:t>Disability Inclusion Advisory Council</w:t>
      </w:r>
    </w:p>
    <w:p w14:paraId="215B6765" w14:textId="2ED793DE" w:rsidR="00C85C4D" w:rsidRDefault="00F630AF" w:rsidP="00E15978">
      <w:proofErr w:type="gramStart"/>
      <w:r w:rsidRPr="00AE666B">
        <w:t>For the purpose of</w:t>
      </w:r>
      <w:proofErr w:type="gramEnd"/>
      <w:r w:rsidRPr="00AE666B">
        <w:t xml:space="preserve"> performing its functions</w:t>
      </w:r>
      <w:r w:rsidRPr="00AE666B">
        <w:rPr>
          <w:spacing w:val="40"/>
        </w:rPr>
        <w:t xml:space="preserve"> </w:t>
      </w:r>
      <w:r w:rsidRPr="00AE666B">
        <w:t>under this Act, the Disability Inclusion Advisory Council may request that a defined entity</w:t>
      </w:r>
      <w:r w:rsidRPr="00AE666B">
        <w:rPr>
          <w:spacing w:val="40"/>
        </w:rPr>
        <w:t xml:space="preserve"> </w:t>
      </w:r>
      <w:r w:rsidRPr="00AE666B">
        <w:t>provide, within the period specified in the request, reasonable information or advice.</w:t>
      </w:r>
      <w:r w:rsidR="00CA5753">
        <w:t xml:space="preserve"> </w:t>
      </w:r>
    </w:p>
    <w:p w14:paraId="103F4239" w14:textId="72ADDA89" w:rsidR="000C6581" w:rsidRPr="00A54E2F" w:rsidRDefault="00CA5753" w:rsidP="00E15978">
      <w:r>
        <w:t xml:space="preserve">See Part 3 </w:t>
      </w:r>
      <w:r w:rsidR="056D82E4">
        <w:t xml:space="preserve">of the Act </w:t>
      </w:r>
      <w:r>
        <w:t>for further information on the Disability Inclusion Advisory Council.</w:t>
      </w:r>
    </w:p>
    <w:p w14:paraId="76B3E736" w14:textId="77777777" w:rsidR="003246AA" w:rsidRDefault="003246AA">
      <w:pPr>
        <w:spacing w:after="160" w:line="259" w:lineRule="auto"/>
        <w:rPr>
          <w:rFonts w:asciiTheme="majorHAnsi" w:eastAsia="Times New Roman" w:hAnsiTheme="majorHAnsi" w:cstheme="majorBidi"/>
          <w:b/>
          <w:color w:val="0E7482"/>
          <w:sz w:val="48"/>
          <w:szCs w:val="72"/>
        </w:rPr>
      </w:pPr>
      <w:r>
        <w:rPr>
          <w:rFonts w:eastAsia="Times New Roman"/>
        </w:rPr>
        <w:br w:type="page"/>
      </w:r>
    </w:p>
    <w:p w14:paraId="371218B8" w14:textId="6EB9F03C" w:rsidR="000C313B" w:rsidRPr="00F15415" w:rsidDel="00EE2688" w:rsidRDefault="000C313B" w:rsidP="003246AA">
      <w:pPr>
        <w:pStyle w:val="Heading1"/>
        <w:rPr>
          <w:rFonts w:eastAsia="Times New Roman"/>
        </w:rPr>
      </w:pPr>
      <w:r w:rsidRPr="6132D722">
        <w:rPr>
          <w:rFonts w:eastAsia="Times New Roman"/>
        </w:rPr>
        <w:lastRenderedPageBreak/>
        <w:t>Key terms</w:t>
      </w:r>
    </w:p>
    <w:p w14:paraId="4C4B22E2" w14:textId="026EFB5E" w:rsidR="000C313B" w:rsidDel="00EE2688" w:rsidRDefault="000C313B" w:rsidP="003774F5">
      <w:r w:rsidRPr="00CB6839" w:rsidDel="00EE2688">
        <w:t>Some key terms that are important for consideration by defined entities include:</w:t>
      </w:r>
    </w:p>
    <w:p w14:paraId="3073C968" w14:textId="454B6F89" w:rsidR="009079A1" w:rsidRPr="00D2387C" w:rsidDel="00EE2688" w:rsidRDefault="00F96878" w:rsidP="61CADC33">
      <w:pPr>
        <w:pStyle w:val="BulletL1"/>
        <w:rPr>
          <w:rFonts w:asciiTheme="majorHAnsi" w:eastAsiaTheme="majorEastAsia" w:hAnsiTheme="majorHAnsi" w:cstheme="majorBidi"/>
        </w:rPr>
      </w:pPr>
      <w:r w:rsidRPr="61CADC33">
        <w:rPr>
          <w:b/>
          <w:bCs/>
        </w:rPr>
        <w:t>A</w:t>
      </w:r>
      <w:r w:rsidR="00052114" w:rsidRPr="61CADC33">
        <w:rPr>
          <w:b/>
          <w:bCs/>
        </w:rPr>
        <w:t xml:space="preserve">ccessible </w:t>
      </w:r>
      <w:r w:rsidR="000C2D3C" w:rsidRPr="61CADC33">
        <w:rPr>
          <w:b/>
          <w:bCs/>
        </w:rPr>
        <w:t>f</w:t>
      </w:r>
      <w:r w:rsidR="00052114" w:rsidRPr="61CADC33">
        <w:rPr>
          <w:b/>
          <w:bCs/>
        </w:rPr>
        <w:t>ormats</w:t>
      </w:r>
      <w:r w:rsidR="000C2D3C">
        <w:t xml:space="preserve"> </w:t>
      </w:r>
      <w:proofErr w:type="gramStart"/>
      <w:r w:rsidR="000C2D3C">
        <w:t>is</w:t>
      </w:r>
      <w:proofErr w:type="gramEnd"/>
      <w:r w:rsidR="000C2D3C">
        <w:t xml:space="preserve"> defined as a format that presents a document or other communication in a manner that enables the document or communication to be accessible by people with disability.</w:t>
      </w:r>
      <w:r w:rsidR="00A06C7B">
        <w:t xml:space="preserve"> </w:t>
      </w:r>
      <w:proofErr w:type="gramStart"/>
      <w:r w:rsidR="00052114">
        <w:t>A number of</w:t>
      </w:r>
      <w:proofErr w:type="gramEnd"/>
      <w:r w:rsidR="00052114">
        <w:t xml:space="preserve"> clauses in the Act relevant to defined entities refer to the publi</w:t>
      </w:r>
      <w:r w:rsidR="002409A9">
        <w:t xml:space="preserve">cation </w:t>
      </w:r>
      <w:r w:rsidR="00052114">
        <w:t xml:space="preserve">of information in </w:t>
      </w:r>
      <w:r w:rsidR="00B74143">
        <w:t>a</w:t>
      </w:r>
      <w:r w:rsidR="00052114">
        <w:t xml:space="preserve">ccessible </w:t>
      </w:r>
      <w:r w:rsidR="0064455C">
        <w:t>f</w:t>
      </w:r>
      <w:r w:rsidR="00052114">
        <w:t xml:space="preserve">ormats. In practice this may refer to use of Easy Read translations, audio, use of </w:t>
      </w:r>
      <w:proofErr w:type="spellStart"/>
      <w:r w:rsidR="00052114">
        <w:t>Auslan</w:t>
      </w:r>
      <w:proofErr w:type="spellEnd"/>
      <w:r w:rsidR="00052114">
        <w:t xml:space="preserve"> and the design and publication of materials online.</w:t>
      </w:r>
      <w:r w:rsidR="002409A9">
        <w:t xml:space="preserve"> </w:t>
      </w:r>
      <w:r w:rsidR="009079A1">
        <w:t>DPAC will undertake further consultation and is developing guideline</w:t>
      </w:r>
      <w:r w:rsidR="42C822F7">
        <w:t>s</w:t>
      </w:r>
      <w:r w:rsidR="009079A1">
        <w:t xml:space="preserve"> to assist.</w:t>
      </w:r>
    </w:p>
    <w:p w14:paraId="29E09FE7" w14:textId="52784924" w:rsidR="000C313B" w:rsidRPr="001356B6" w:rsidDel="00EE2688" w:rsidRDefault="00F96878" w:rsidP="00FB11B0">
      <w:pPr>
        <w:pStyle w:val="BulletL1"/>
      </w:pPr>
      <w:r w:rsidRPr="61CADC33">
        <w:rPr>
          <w:b/>
          <w:bCs/>
        </w:rPr>
        <w:t>D</w:t>
      </w:r>
      <w:r w:rsidR="000C313B" w:rsidRPr="61CADC33">
        <w:rPr>
          <w:b/>
          <w:bCs/>
        </w:rPr>
        <w:t>isability</w:t>
      </w:r>
      <w:r w:rsidR="000C313B">
        <w:t xml:space="preserve"> in relation to a person, includes long-term physical, mental, cognitive intellectual or sensory impairment which in interaction with various barriers may hinder the persons full and effective participation in society on an equal basis with others</w:t>
      </w:r>
      <w:r w:rsidR="23510E3A">
        <w:t>.</w:t>
      </w:r>
      <w:r w:rsidR="000C313B">
        <w:t xml:space="preserve"> </w:t>
      </w:r>
    </w:p>
    <w:p w14:paraId="2963263A" w14:textId="6AA77BAA" w:rsidR="000C313B" w:rsidRPr="001356B6" w:rsidDel="00EE2688" w:rsidRDefault="000C313B" w:rsidP="00FB11B0">
      <w:pPr>
        <w:pStyle w:val="BulletL1"/>
      </w:pPr>
      <w:r w:rsidRPr="00F96878" w:rsidDel="00EE2688">
        <w:rPr>
          <w:b/>
          <w:bCs/>
        </w:rPr>
        <w:t>Disability inclusion</w:t>
      </w:r>
      <w:r w:rsidRPr="001356B6" w:rsidDel="00EE2688">
        <w:t xml:space="preserve"> means actions taken to achieve equity between persons with disability and other members of the Tasmanian community. </w:t>
      </w:r>
    </w:p>
    <w:p w14:paraId="5BBE5995" w14:textId="130A8627" w:rsidR="000C313B" w:rsidRPr="001356B6" w:rsidDel="00EE2688" w:rsidRDefault="000C313B" w:rsidP="00FB11B0">
      <w:pPr>
        <w:pStyle w:val="BulletL1"/>
      </w:pPr>
      <w:r w:rsidRPr="00F96878" w:rsidDel="00EE2688">
        <w:rPr>
          <w:b/>
          <w:bCs/>
        </w:rPr>
        <w:t>Intersectionality</w:t>
      </w:r>
      <w:r w:rsidRPr="001356B6" w:rsidDel="00EE2688">
        <w:t xml:space="preserve"> means the multi laid experiences of people with disability in relation to the personal attributes of a person or group of persons that create interconnected and interdependent systems of disadvantage and discrimination. </w:t>
      </w:r>
    </w:p>
    <w:p w14:paraId="307F9327" w14:textId="4892FE87" w:rsidR="000C313B" w:rsidRPr="001356B6" w:rsidDel="00EE2688" w:rsidRDefault="000C313B" w:rsidP="00FB11B0">
      <w:pPr>
        <w:pStyle w:val="BulletL1"/>
      </w:pPr>
      <w:r w:rsidRPr="61CADC33">
        <w:rPr>
          <w:b/>
          <w:bCs/>
        </w:rPr>
        <w:t>Universal design</w:t>
      </w:r>
      <w:r>
        <w:t xml:space="preserve"> means the design of a building facility product or environment so that it is accessible to all members of the Tasmanian community to the greatest extent possible without the need for adaptation or specialist design</w:t>
      </w:r>
      <w:r w:rsidR="4A7B4CD7">
        <w:t>.</w:t>
      </w:r>
      <w:r>
        <w:t xml:space="preserve"> </w:t>
      </w:r>
    </w:p>
    <w:p w14:paraId="7F36D6DB" w14:textId="6B8F6A5F" w:rsidR="00CE36D9" w:rsidDel="00EE2688" w:rsidRDefault="000C313B" w:rsidP="003774F5">
      <w:pPr>
        <w:pStyle w:val="BulletL1"/>
        <w:spacing w:after="240"/>
      </w:pPr>
      <w:r w:rsidRPr="00F96878" w:rsidDel="00EE2688">
        <w:rPr>
          <w:b/>
          <w:bCs/>
        </w:rPr>
        <w:t>Universal Service</w:t>
      </w:r>
      <w:r w:rsidRPr="001356B6" w:rsidDel="00EE2688">
        <w:t xml:space="preserve"> means a service or support provided to the Tasmanian community by a defined entity other than service or support that is funded or provided under the NDIS.</w:t>
      </w:r>
    </w:p>
    <w:p w14:paraId="1CAD44E4" w14:textId="77777777" w:rsidR="005E62B3" w:rsidRPr="00F15415" w:rsidRDefault="005E62B3" w:rsidP="003246AA">
      <w:pPr>
        <w:pStyle w:val="Heading1"/>
      </w:pPr>
      <w:r w:rsidRPr="00F15415">
        <w:t>Guiding Principles</w:t>
      </w:r>
    </w:p>
    <w:p w14:paraId="3E389839" w14:textId="3DA61AAF" w:rsidR="005E62B3" w:rsidRPr="007B7B50" w:rsidRDefault="005E62B3" w:rsidP="00E15978">
      <w:r w:rsidRPr="007B7B50">
        <w:t>The</w:t>
      </w:r>
      <w:r w:rsidR="00EE2688">
        <w:t xml:space="preserve"> Act</w:t>
      </w:r>
      <w:r w:rsidRPr="007B7B50">
        <w:t xml:space="preserve"> includes principles </w:t>
      </w:r>
      <w:r w:rsidR="00EE2688">
        <w:t>that</w:t>
      </w:r>
      <w:r w:rsidR="00EE2688" w:rsidRPr="007B7B50">
        <w:t xml:space="preserve"> </w:t>
      </w:r>
      <w:r w:rsidRPr="007B7B50">
        <w:t xml:space="preserve">promote the human rights of people with disability and reflect the United Nations Convention on the Rights of Persons with Disability. </w:t>
      </w:r>
    </w:p>
    <w:p w14:paraId="4299F71D" w14:textId="4E9F0C88" w:rsidR="00D81DC0" w:rsidRDefault="005E62B3" w:rsidP="00ED2D0B">
      <w:r w:rsidRPr="007B7B50">
        <w:t xml:space="preserve">These principles apply to every person, entity and provider who is doing something covered by the Act. </w:t>
      </w:r>
    </w:p>
    <w:p w14:paraId="4DD370C2" w14:textId="02DC21CD" w:rsidR="00833BB1" w:rsidRDefault="00D81DC0" w:rsidP="00ED2D0B">
      <w:r>
        <w:t>It is important that defined entities consider</w:t>
      </w:r>
      <w:r w:rsidR="00833BB1">
        <w:t xml:space="preserve"> the:</w:t>
      </w:r>
    </w:p>
    <w:p w14:paraId="799CAA0F" w14:textId="26900859" w:rsidR="00833BB1" w:rsidRDefault="64A5137A" w:rsidP="27F1EB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7F1EB4F">
        <w:rPr>
          <w:sz w:val="24"/>
          <w:szCs w:val="24"/>
        </w:rPr>
        <w:t>M</w:t>
      </w:r>
      <w:r w:rsidR="00D81DC0" w:rsidRPr="27F1EB4F">
        <w:rPr>
          <w:sz w:val="24"/>
          <w:szCs w:val="24"/>
        </w:rPr>
        <w:t xml:space="preserve">eaning of the </w:t>
      </w:r>
      <w:r w:rsidR="003D6EFB" w:rsidRPr="27F1EB4F">
        <w:rPr>
          <w:sz w:val="24"/>
          <w:szCs w:val="24"/>
        </w:rPr>
        <w:t>p</w:t>
      </w:r>
      <w:r w:rsidR="00D81DC0" w:rsidRPr="27F1EB4F">
        <w:rPr>
          <w:sz w:val="24"/>
          <w:szCs w:val="24"/>
        </w:rPr>
        <w:t>rinciples as they relate to the responsibilities, services and programs they provide</w:t>
      </w:r>
      <w:r w:rsidR="59FAB742" w:rsidRPr="27F1EB4F">
        <w:rPr>
          <w:sz w:val="24"/>
          <w:szCs w:val="24"/>
        </w:rPr>
        <w:t>; and</w:t>
      </w:r>
    </w:p>
    <w:p w14:paraId="0147D9DC" w14:textId="1940F649" w:rsidR="00D81DC0" w:rsidRDefault="59FAB742" w:rsidP="27F1EB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7F1EB4F">
        <w:rPr>
          <w:sz w:val="24"/>
          <w:szCs w:val="24"/>
        </w:rPr>
        <w:t xml:space="preserve">The </w:t>
      </w:r>
      <w:r w:rsidR="00D81DC0" w:rsidRPr="27F1EB4F">
        <w:rPr>
          <w:sz w:val="24"/>
          <w:szCs w:val="24"/>
        </w:rPr>
        <w:t xml:space="preserve">inclusion planning requirements </w:t>
      </w:r>
      <w:r w:rsidR="00401836">
        <w:rPr>
          <w:sz w:val="24"/>
          <w:szCs w:val="24"/>
        </w:rPr>
        <w:t xml:space="preserve">(in Part 2 of the Act) </w:t>
      </w:r>
      <w:r w:rsidR="00833BB1" w:rsidRPr="27F1EB4F">
        <w:rPr>
          <w:sz w:val="24"/>
          <w:szCs w:val="24"/>
        </w:rPr>
        <w:t xml:space="preserve">that </w:t>
      </w:r>
      <w:r w:rsidR="00D81DC0" w:rsidRPr="27F1EB4F">
        <w:rPr>
          <w:sz w:val="24"/>
          <w:szCs w:val="24"/>
        </w:rPr>
        <w:t>are designed to give effect to the objects and principles of the Act.</w:t>
      </w:r>
    </w:p>
    <w:p w14:paraId="6B716E64" w14:textId="77777777" w:rsidR="008A3DAC" w:rsidRPr="007B7B50" w:rsidRDefault="008A3DAC" w:rsidP="00D74F4C">
      <w:pPr>
        <w:pStyle w:val="ListParagraph"/>
      </w:pPr>
    </w:p>
    <w:p w14:paraId="1DBBE3EE" w14:textId="043E058E" w:rsidR="00BC6D13" w:rsidRPr="00F15415" w:rsidRDefault="00BC6D13" w:rsidP="003246AA">
      <w:pPr>
        <w:pStyle w:val="Heading1"/>
      </w:pPr>
      <w:r>
        <w:lastRenderedPageBreak/>
        <w:t>More Information</w:t>
      </w:r>
    </w:p>
    <w:p w14:paraId="2676AF37" w14:textId="7A02AF5C" w:rsidR="00100F96" w:rsidRPr="004E60D3" w:rsidRDefault="00395E56" w:rsidP="61CADC33">
      <w:r>
        <w:t xml:space="preserve">This </w:t>
      </w:r>
      <w:r w:rsidR="290D1EDB">
        <w:t>f</w:t>
      </w:r>
      <w:r>
        <w:t>act</w:t>
      </w:r>
      <w:r w:rsidR="3B814418">
        <w:t xml:space="preserve"> </w:t>
      </w:r>
      <w:r>
        <w:t xml:space="preserve">sheet </w:t>
      </w:r>
      <w:r w:rsidR="00A43C45">
        <w:t xml:space="preserve">provides a summary of </w:t>
      </w:r>
      <w:r w:rsidR="00081BD2">
        <w:t>actions and requirements for defined entities in the Act</w:t>
      </w:r>
      <w:r>
        <w:t xml:space="preserve">. If you are interested in how </w:t>
      </w:r>
      <w:r w:rsidR="00CC38D4">
        <w:t>this</w:t>
      </w:r>
      <w:r>
        <w:t xml:space="preserve"> is described in the Act please read </w:t>
      </w:r>
      <w:r w:rsidR="00E238A3">
        <w:t>Parts 1-4</w:t>
      </w:r>
      <w:r w:rsidR="004E60D3">
        <w:t xml:space="preserve"> (</w:t>
      </w:r>
      <w:hyperlink r:id="rId11" w:history="1">
        <w:r w:rsidR="004E60D3">
          <w:rPr>
            <w:rStyle w:val="Hyperlink"/>
          </w:rPr>
          <w:t>Disability Rights, Inclusion and Safeguarding Act 2024</w:t>
        </w:r>
      </w:hyperlink>
      <w:r w:rsidR="004E60D3">
        <w:t>)</w:t>
      </w:r>
      <w:r w:rsidR="00791F78">
        <w:t>.</w:t>
      </w:r>
    </w:p>
    <w:p w14:paraId="162ABF4D" w14:textId="4F42C75A" w:rsidR="479A15F6" w:rsidRDefault="479A15F6">
      <w:r>
        <w:t xml:space="preserve">Additional </w:t>
      </w:r>
      <w:r w:rsidR="013B84A5">
        <w:t>f</w:t>
      </w:r>
      <w:r>
        <w:t xml:space="preserve">act </w:t>
      </w:r>
      <w:r w:rsidR="6BA4757F">
        <w:t>s</w:t>
      </w:r>
      <w:r>
        <w:t xml:space="preserve">heets have been prepared to support the community understand new </w:t>
      </w:r>
      <w:r w:rsidR="7BF14B48">
        <w:t>arrangements</w:t>
      </w:r>
      <w:r>
        <w:t xml:space="preserve"> that come into effect following the </w:t>
      </w:r>
      <w:r w:rsidR="7E297FC4">
        <w:t>Commencement</w:t>
      </w:r>
      <w:r>
        <w:t xml:space="preserve"> of the A</w:t>
      </w:r>
      <w:r w:rsidR="3B71FEFF">
        <w:t>ct</w:t>
      </w:r>
      <w:r w:rsidR="3B71FEFF" w:rsidRPr="000E71F2">
        <w:t>.</w:t>
      </w:r>
      <w:r w:rsidR="2BAFD331" w:rsidRPr="000E71F2">
        <w:t xml:space="preserve"> They can be found </w:t>
      </w:r>
      <w:hyperlink r:id="rId12" w:history="1">
        <w:r w:rsidR="2BAFD331" w:rsidRPr="000E71F2">
          <w:rPr>
            <w:rStyle w:val="Hyperlink"/>
          </w:rPr>
          <w:t>here</w:t>
        </w:r>
      </w:hyperlink>
      <w:r w:rsidR="2BAFD331" w:rsidRPr="000E71F2">
        <w:t>.</w:t>
      </w:r>
    </w:p>
    <w:p w14:paraId="196756F6" w14:textId="7E5BE14F" w:rsidR="003B00DF" w:rsidRDefault="003B00DF" w:rsidP="003B00DF">
      <w:r>
        <w:t xml:space="preserve">For more </w:t>
      </w:r>
      <w:r w:rsidR="0A1AE5B6">
        <w:t>information,</w:t>
      </w:r>
      <w:r>
        <w:t xml:space="preserve"> please contact the </w:t>
      </w:r>
      <w:r w:rsidRPr="000220F7">
        <w:rPr>
          <w:b/>
          <w:bCs/>
        </w:rPr>
        <w:t>Department of Premier and Cabinet – Disability and Reform</w:t>
      </w:r>
      <w:r>
        <w:t xml:space="preserve"> on </w:t>
      </w:r>
      <w:hyperlink r:id="rId13">
        <w:r w:rsidRPr="27F1EB4F">
          <w:rPr>
            <w:rStyle w:val="Hyperlink"/>
          </w:rPr>
          <w:t>disability@dpac.tas.gov.au</w:t>
        </w:r>
      </w:hyperlink>
      <w:r>
        <w:t xml:space="preserve"> or phone 1800 431 211.</w:t>
      </w:r>
    </w:p>
    <w:p w14:paraId="2EBCC6E9" w14:textId="07979CAD" w:rsidR="27F1EB4F" w:rsidRDefault="27F1EB4F"/>
    <w:p w14:paraId="1108B65D" w14:textId="77777777" w:rsidR="00B20EEF" w:rsidRDefault="00B20EEF" w:rsidP="003246AA">
      <w:pPr>
        <w:pStyle w:val="Heading1"/>
      </w:pPr>
      <w:r>
        <w:br w:type="page"/>
      </w:r>
    </w:p>
    <w:p w14:paraId="286148DD" w14:textId="72DFDC06" w:rsidR="008D22DE" w:rsidRPr="003246AA" w:rsidRDefault="008D22DE" w:rsidP="003246AA">
      <w:pPr>
        <w:pStyle w:val="Heading1"/>
      </w:pPr>
      <w:r w:rsidRPr="003246AA">
        <w:lastRenderedPageBreak/>
        <w:t>Attachment 1</w:t>
      </w:r>
      <w:r w:rsidR="00A834E0" w:rsidRPr="003246AA">
        <w:t>:</w:t>
      </w:r>
      <w:r w:rsidRPr="003246AA">
        <w:t xml:space="preserve"> Defined Entities</w:t>
      </w:r>
    </w:p>
    <w:p w14:paraId="373503CD" w14:textId="0F7C6121" w:rsidR="008D22DE" w:rsidRPr="00351754" w:rsidRDefault="008D22DE" w:rsidP="00E15978">
      <w:pPr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  <w:szCs w:val="24"/>
        </w:rPr>
        <w:t xml:space="preserve">For the purposes of </w:t>
      </w:r>
      <w:r w:rsidR="00DF1FE2">
        <w:rPr>
          <w:rStyle w:val="normaltextrun"/>
          <w:rFonts w:ascii="Arial" w:hAnsi="Arial" w:cs="Arial"/>
          <w:szCs w:val="24"/>
        </w:rPr>
        <w:t xml:space="preserve">the </w:t>
      </w:r>
      <w:r w:rsidR="00DF1FE2" w:rsidRPr="00DF1FE2">
        <w:rPr>
          <w:rStyle w:val="normaltextrun"/>
          <w:rFonts w:ascii="Arial" w:hAnsi="Arial" w:cs="Arial"/>
          <w:i/>
          <w:iCs/>
          <w:szCs w:val="24"/>
        </w:rPr>
        <w:t>Disability Rights, Inclusion and Safeguarding Act 2024</w:t>
      </w:r>
      <w:r w:rsidR="00DF1FE2">
        <w:rPr>
          <w:rStyle w:val="normaltextrun"/>
          <w:rFonts w:ascii="Arial" w:hAnsi="Arial" w:cs="Arial"/>
          <w:szCs w:val="24"/>
        </w:rPr>
        <w:t xml:space="preserve"> </w:t>
      </w:r>
      <w:r w:rsidRPr="00351754">
        <w:rPr>
          <w:rStyle w:val="normaltextrun"/>
          <w:rFonts w:ascii="Arial" w:hAnsi="Arial" w:cs="Arial"/>
          <w:szCs w:val="24"/>
        </w:rPr>
        <w:t>a Defined Entity includes any State Government Agency (department or state authority), Government Business Enterprise, State Owned Company, Statutory Authority or Not-for-profit Government Business.</w:t>
      </w:r>
    </w:p>
    <w:p w14:paraId="0F0925DF" w14:textId="03E00B79" w:rsidR="00074314" w:rsidRPr="00074314" w:rsidRDefault="008D22DE" w:rsidP="00E15978">
      <w:pPr>
        <w:rPr>
          <w:rStyle w:val="normaltextrun"/>
          <w:rFonts w:ascii="Segoe UI" w:hAnsi="Segoe UI" w:cs="Segoe UI"/>
        </w:rPr>
      </w:pPr>
      <w:r w:rsidRPr="00351754">
        <w:rPr>
          <w:rStyle w:val="normaltextrun"/>
          <w:rFonts w:ascii="Arial" w:hAnsi="Arial" w:cs="Arial"/>
          <w:szCs w:val="24"/>
        </w:rPr>
        <w:t>This includes entities operating under</w:t>
      </w:r>
      <w:r w:rsidR="00401836">
        <w:rPr>
          <w:rStyle w:val="normaltextrun"/>
          <w:rFonts w:ascii="Arial" w:hAnsi="Arial" w:cs="Arial"/>
          <w:szCs w:val="24"/>
        </w:rPr>
        <w:t xml:space="preserve"> the following Tasmanian legislation</w:t>
      </w:r>
      <w:r w:rsidRPr="00351754">
        <w:rPr>
          <w:rStyle w:val="normaltextrun"/>
          <w:rFonts w:ascii="Arial" w:hAnsi="Arial" w:cs="Arial"/>
          <w:szCs w:val="24"/>
        </w:rPr>
        <w:t xml:space="preserve">: the </w:t>
      </w:r>
      <w:r w:rsidRPr="00401836">
        <w:rPr>
          <w:rStyle w:val="normaltextrun"/>
          <w:rFonts w:ascii="Arial" w:hAnsi="Arial" w:cs="Arial"/>
          <w:i/>
          <w:iCs/>
          <w:szCs w:val="24"/>
        </w:rPr>
        <w:t>State Service Act 2000</w:t>
      </w:r>
      <w:r w:rsidRPr="00351754">
        <w:rPr>
          <w:rStyle w:val="normaltextrun"/>
          <w:rFonts w:ascii="Arial" w:hAnsi="Arial" w:cs="Arial"/>
          <w:szCs w:val="24"/>
        </w:rPr>
        <w:t xml:space="preserve">; </w:t>
      </w:r>
      <w:r w:rsidRPr="00401836">
        <w:rPr>
          <w:rStyle w:val="normaltextrun"/>
          <w:rFonts w:ascii="Arial" w:hAnsi="Arial" w:cs="Arial"/>
          <w:i/>
          <w:iCs/>
          <w:szCs w:val="24"/>
        </w:rPr>
        <w:t>Government Business Enterprises Act 1995</w:t>
      </w:r>
      <w:r w:rsidRPr="00351754">
        <w:rPr>
          <w:rStyle w:val="normaltextrun"/>
          <w:rFonts w:ascii="Arial" w:hAnsi="Arial" w:cs="Arial"/>
          <w:szCs w:val="24"/>
        </w:rPr>
        <w:t xml:space="preserve">; </w:t>
      </w:r>
      <w:r w:rsidRPr="00401836">
        <w:rPr>
          <w:rStyle w:val="normaltextrun"/>
          <w:rFonts w:ascii="Arial" w:hAnsi="Arial" w:cs="Arial"/>
          <w:i/>
          <w:iCs/>
          <w:szCs w:val="24"/>
        </w:rPr>
        <w:t>Statutory Authorities Act 1962</w:t>
      </w:r>
      <w:r w:rsidRPr="00351754">
        <w:rPr>
          <w:rStyle w:val="normaltextrun"/>
          <w:rFonts w:ascii="Arial" w:hAnsi="Arial" w:cs="Arial"/>
          <w:szCs w:val="24"/>
        </w:rPr>
        <w:t xml:space="preserve">; and </w:t>
      </w:r>
      <w:r w:rsidRPr="00401836">
        <w:rPr>
          <w:rStyle w:val="normaltextrun"/>
          <w:rFonts w:ascii="Arial" w:hAnsi="Arial" w:cs="Arial"/>
          <w:i/>
          <w:iCs/>
          <w:szCs w:val="24"/>
        </w:rPr>
        <w:t>TasTAFE (Skills and Training Business) Act 2021</w:t>
      </w:r>
      <w:r w:rsidRPr="00351754">
        <w:rPr>
          <w:rStyle w:val="normaltextrun"/>
          <w:rFonts w:ascii="Arial" w:hAnsi="Arial" w:cs="Arial"/>
          <w:szCs w:val="24"/>
        </w:rPr>
        <w:t>.</w:t>
      </w:r>
    </w:p>
    <w:p w14:paraId="2B2A0B54" w14:textId="5283D612" w:rsidR="008D22DE" w:rsidRPr="003246AA" w:rsidRDefault="008D22DE" w:rsidP="003246AA">
      <w:pPr>
        <w:pStyle w:val="Heading2"/>
      </w:pPr>
      <w:r w:rsidRPr="003246AA">
        <w:rPr>
          <w:rStyle w:val="normaltextrun"/>
        </w:rPr>
        <w:t>State Service Agencies</w:t>
      </w:r>
    </w:p>
    <w:p w14:paraId="07016F95" w14:textId="26B8461C" w:rsidR="008D22DE" w:rsidRPr="003246AA" w:rsidRDefault="008D22DE" w:rsidP="003246AA">
      <w:pPr>
        <w:pStyle w:val="Heading3"/>
      </w:pPr>
      <w:r w:rsidRPr="003246AA">
        <w:rPr>
          <w:rStyle w:val="normaltextrun"/>
        </w:rPr>
        <w:t>Government Departments</w:t>
      </w:r>
    </w:p>
    <w:p w14:paraId="5D226757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for Education, Children and Young People</w:t>
      </w:r>
      <w:r w:rsidRPr="00351754">
        <w:rPr>
          <w:rStyle w:val="eop"/>
          <w:rFonts w:ascii="Arial" w:hAnsi="Arial" w:cs="Arial"/>
        </w:rPr>
        <w:t> </w:t>
      </w:r>
    </w:p>
    <w:p w14:paraId="0BE36800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Health</w:t>
      </w:r>
      <w:r w:rsidRPr="00351754">
        <w:rPr>
          <w:rStyle w:val="eop"/>
          <w:rFonts w:ascii="Arial" w:hAnsi="Arial" w:cs="Arial"/>
        </w:rPr>
        <w:t> </w:t>
      </w:r>
    </w:p>
    <w:p w14:paraId="2E1970FD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Justice</w:t>
      </w:r>
      <w:r w:rsidRPr="00351754">
        <w:rPr>
          <w:rStyle w:val="eop"/>
          <w:rFonts w:ascii="Arial" w:hAnsi="Arial" w:cs="Arial"/>
        </w:rPr>
        <w:t> </w:t>
      </w:r>
    </w:p>
    <w:p w14:paraId="21105B1A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Police, Fire and Emergency Management</w:t>
      </w:r>
      <w:r w:rsidRPr="00351754">
        <w:rPr>
          <w:rStyle w:val="eop"/>
          <w:rFonts w:ascii="Arial" w:hAnsi="Arial" w:cs="Arial"/>
        </w:rPr>
        <w:t> </w:t>
      </w:r>
    </w:p>
    <w:p w14:paraId="0B83A8F9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Premier and Cabinet</w:t>
      </w:r>
      <w:r w:rsidRPr="00351754">
        <w:rPr>
          <w:rStyle w:val="eop"/>
          <w:rFonts w:ascii="Arial" w:hAnsi="Arial" w:cs="Arial"/>
        </w:rPr>
        <w:t> </w:t>
      </w:r>
    </w:p>
    <w:p w14:paraId="54F61898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Natural Resources and Environment Tasmania</w:t>
      </w:r>
      <w:r w:rsidRPr="00351754">
        <w:rPr>
          <w:rStyle w:val="eop"/>
          <w:rFonts w:ascii="Arial" w:hAnsi="Arial" w:cs="Arial"/>
        </w:rPr>
        <w:t> </w:t>
      </w:r>
    </w:p>
    <w:p w14:paraId="001A6BA5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State Growth</w:t>
      </w:r>
      <w:r w:rsidRPr="00351754">
        <w:rPr>
          <w:rStyle w:val="eop"/>
          <w:rFonts w:ascii="Arial" w:hAnsi="Arial" w:cs="Arial"/>
        </w:rPr>
        <w:t> </w:t>
      </w:r>
    </w:p>
    <w:p w14:paraId="10A0460D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Department of Treasury and Finance</w:t>
      </w:r>
      <w:r w:rsidRPr="00351754">
        <w:rPr>
          <w:rStyle w:val="eop"/>
          <w:rFonts w:ascii="Arial" w:hAnsi="Arial" w:cs="Arial"/>
        </w:rPr>
        <w:t> </w:t>
      </w:r>
    </w:p>
    <w:p w14:paraId="4DF27B01" w14:textId="1E512F9D" w:rsidR="00F41E4B" w:rsidRDefault="008D22DE" w:rsidP="003246AA">
      <w:pPr>
        <w:pStyle w:val="BulletL1"/>
        <w:rPr>
          <w:rStyle w:val="eop"/>
          <w:rFonts w:ascii="Arial" w:hAnsi="Arial" w:cs="Arial"/>
        </w:rPr>
      </w:pPr>
      <w:r w:rsidRPr="00351754">
        <w:rPr>
          <w:rStyle w:val="normaltextrun"/>
          <w:rFonts w:ascii="Arial" w:hAnsi="Arial" w:cs="Arial"/>
        </w:rPr>
        <w:t>Tasmanian Audit Office</w:t>
      </w:r>
      <w:r w:rsidRPr="00351754">
        <w:rPr>
          <w:rStyle w:val="eop"/>
          <w:rFonts w:ascii="Arial" w:hAnsi="Arial" w:cs="Arial"/>
        </w:rPr>
        <w:t> </w:t>
      </w:r>
    </w:p>
    <w:p w14:paraId="398F718C" w14:textId="06666449" w:rsidR="008D22DE" w:rsidRPr="003246AA" w:rsidRDefault="008D22DE" w:rsidP="003246AA">
      <w:pPr>
        <w:pStyle w:val="Heading3"/>
      </w:pPr>
      <w:r w:rsidRPr="003246AA">
        <w:rPr>
          <w:rStyle w:val="normaltextrun"/>
        </w:rPr>
        <w:t>Statutory Authorities</w:t>
      </w:r>
    </w:p>
    <w:p w14:paraId="4F03DFC0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Brand Tasmania</w:t>
      </w:r>
      <w:r w:rsidRPr="00351754">
        <w:rPr>
          <w:rStyle w:val="eop"/>
          <w:rFonts w:ascii="Arial" w:hAnsi="Arial" w:cs="Arial"/>
        </w:rPr>
        <w:t> </w:t>
      </w:r>
    </w:p>
    <w:p w14:paraId="62ABA50F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Environment Protection Authority</w:t>
      </w:r>
      <w:r w:rsidRPr="00351754">
        <w:rPr>
          <w:rStyle w:val="eop"/>
          <w:rFonts w:ascii="Arial" w:hAnsi="Arial" w:cs="Arial"/>
        </w:rPr>
        <w:t> </w:t>
      </w:r>
    </w:p>
    <w:p w14:paraId="6DE82842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Homes Tasmania</w:t>
      </w:r>
      <w:r w:rsidRPr="00351754">
        <w:rPr>
          <w:rStyle w:val="eop"/>
          <w:rFonts w:ascii="Arial" w:hAnsi="Arial" w:cs="Arial"/>
        </w:rPr>
        <w:t> </w:t>
      </w:r>
    </w:p>
    <w:p w14:paraId="7E5D56D2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Integrity Commission</w:t>
      </w:r>
      <w:r w:rsidRPr="00351754">
        <w:rPr>
          <w:rStyle w:val="eop"/>
          <w:rFonts w:ascii="Arial" w:hAnsi="Arial" w:cs="Arial"/>
        </w:rPr>
        <w:t> </w:t>
      </w:r>
    </w:p>
    <w:p w14:paraId="5DD8B764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Macquarie Point Development Corporation</w:t>
      </w:r>
      <w:r w:rsidRPr="00351754">
        <w:rPr>
          <w:rStyle w:val="eop"/>
          <w:rFonts w:ascii="Arial" w:hAnsi="Arial" w:cs="Arial"/>
        </w:rPr>
        <w:t> </w:t>
      </w:r>
    </w:p>
    <w:p w14:paraId="5E004FF7" w14:textId="433E7DE7" w:rsidR="008D22DE" w:rsidRPr="00351754" w:rsidRDefault="005D57E3" w:rsidP="003246AA">
      <w:pPr>
        <w:pStyle w:val="BulletL1"/>
        <w:rPr>
          <w:rFonts w:ascii="Segoe UI" w:hAnsi="Segoe UI" w:cs="Segoe UI"/>
        </w:rPr>
      </w:pPr>
      <w:r w:rsidRPr="005D57E3">
        <w:rPr>
          <w:rStyle w:val="normaltextrun"/>
          <w:rFonts w:ascii="Arial" w:hAnsi="Arial" w:cs="Arial"/>
        </w:rPr>
        <w:t>Marine and Safety Tasmania</w:t>
      </w:r>
      <w:r w:rsidR="008D22DE" w:rsidRPr="00351754">
        <w:rPr>
          <w:rStyle w:val="eop"/>
          <w:rFonts w:ascii="Arial" w:hAnsi="Arial" w:cs="Arial"/>
        </w:rPr>
        <w:t> </w:t>
      </w:r>
    </w:p>
    <w:p w14:paraId="4D08B25D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Tasmanian Dairy Industry Authority</w:t>
      </w:r>
      <w:r w:rsidRPr="00351754">
        <w:rPr>
          <w:rStyle w:val="eop"/>
          <w:rFonts w:ascii="Arial" w:hAnsi="Arial" w:cs="Arial"/>
        </w:rPr>
        <w:t> </w:t>
      </w:r>
    </w:p>
    <w:p w14:paraId="5C049848" w14:textId="2DB4358B" w:rsidR="00F41E4B" w:rsidRPr="00676DD2" w:rsidRDefault="008D22DE" w:rsidP="003246AA">
      <w:pPr>
        <w:pStyle w:val="BulletL1"/>
        <w:rPr>
          <w:rStyle w:val="normaltextrun"/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Tourism Tasmania</w:t>
      </w:r>
      <w:r w:rsidRPr="00351754">
        <w:rPr>
          <w:rStyle w:val="eop"/>
          <w:rFonts w:ascii="Arial" w:hAnsi="Arial" w:cs="Arial"/>
        </w:rPr>
        <w:t> </w:t>
      </w:r>
    </w:p>
    <w:p w14:paraId="617A0CC6" w14:textId="77777777" w:rsidR="003246AA" w:rsidRDefault="003246AA">
      <w:pPr>
        <w:spacing w:after="160" w:line="259" w:lineRule="auto"/>
        <w:rPr>
          <w:rStyle w:val="normaltextrun"/>
          <w:rFonts w:asciiTheme="majorHAnsi" w:eastAsiaTheme="majorEastAsia" w:hAnsiTheme="majorHAnsi" w:cstheme="majorBidi"/>
          <w:b/>
          <w:color w:val="0E7482"/>
          <w:sz w:val="36"/>
          <w:szCs w:val="36"/>
        </w:rPr>
      </w:pPr>
      <w:r>
        <w:rPr>
          <w:rStyle w:val="normaltextrun"/>
        </w:rPr>
        <w:br w:type="page"/>
      </w:r>
    </w:p>
    <w:p w14:paraId="581169E6" w14:textId="0704E2B6" w:rsidR="008D22DE" w:rsidRPr="003246AA" w:rsidRDefault="008D22DE" w:rsidP="003246AA">
      <w:pPr>
        <w:pStyle w:val="Heading2"/>
      </w:pPr>
      <w:r w:rsidRPr="003246AA">
        <w:rPr>
          <w:rStyle w:val="normaltextrun"/>
        </w:rPr>
        <w:lastRenderedPageBreak/>
        <w:t>Tasmanian Government Businesses</w:t>
      </w:r>
    </w:p>
    <w:p w14:paraId="2F187F50" w14:textId="2FD79BF0" w:rsidR="008D22DE" w:rsidRPr="003246AA" w:rsidRDefault="008D22DE" w:rsidP="003246AA">
      <w:pPr>
        <w:pStyle w:val="Heading3"/>
      </w:pPr>
      <w:r w:rsidRPr="003246AA">
        <w:rPr>
          <w:rStyle w:val="normaltextrun"/>
        </w:rPr>
        <w:t>Government Business Enterprises</w:t>
      </w:r>
    </w:p>
    <w:p w14:paraId="59D8E2F9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Sustainable Timber Tasmania</w:t>
      </w:r>
      <w:r w:rsidRPr="00351754">
        <w:rPr>
          <w:rStyle w:val="eop"/>
          <w:rFonts w:ascii="Arial" w:hAnsi="Arial" w:cs="Arial"/>
        </w:rPr>
        <w:t> </w:t>
      </w:r>
    </w:p>
    <w:p w14:paraId="70884C29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Hydro Tasmania</w:t>
      </w:r>
      <w:r w:rsidRPr="00351754">
        <w:rPr>
          <w:rStyle w:val="eop"/>
          <w:rFonts w:ascii="Arial" w:hAnsi="Arial" w:cs="Arial"/>
        </w:rPr>
        <w:t> </w:t>
      </w:r>
    </w:p>
    <w:p w14:paraId="37DEBBB4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Motor Accidents Insurance Board</w:t>
      </w:r>
      <w:r w:rsidRPr="00351754">
        <w:rPr>
          <w:rStyle w:val="eop"/>
          <w:rFonts w:ascii="Arial" w:hAnsi="Arial" w:cs="Arial"/>
        </w:rPr>
        <w:t> </w:t>
      </w:r>
    </w:p>
    <w:p w14:paraId="76D3B723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Port Arthur Historic Site Management Authority</w:t>
      </w:r>
      <w:r w:rsidRPr="00351754">
        <w:rPr>
          <w:rStyle w:val="eop"/>
          <w:rFonts w:ascii="Arial" w:hAnsi="Arial" w:cs="Arial"/>
        </w:rPr>
        <w:t> </w:t>
      </w:r>
    </w:p>
    <w:p w14:paraId="3325B63F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Tasmanian Public Finance Corporation</w:t>
      </w:r>
      <w:r w:rsidRPr="00351754">
        <w:rPr>
          <w:rStyle w:val="eop"/>
          <w:rFonts w:ascii="Arial" w:hAnsi="Arial" w:cs="Arial"/>
        </w:rPr>
        <w:t> </w:t>
      </w:r>
    </w:p>
    <w:p w14:paraId="048EAC1E" w14:textId="08971D49" w:rsidR="00F41E4B" w:rsidRPr="00676DD2" w:rsidRDefault="008D22DE" w:rsidP="003246AA">
      <w:pPr>
        <w:pStyle w:val="BulletL1"/>
        <w:rPr>
          <w:rStyle w:val="normaltextrun"/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The Public Trustee</w:t>
      </w:r>
      <w:r w:rsidRPr="00351754">
        <w:rPr>
          <w:rStyle w:val="eop"/>
          <w:rFonts w:ascii="Arial" w:hAnsi="Arial" w:cs="Arial"/>
        </w:rPr>
        <w:t> </w:t>
      </w:r>
    </w:p>
    <w:p w14:paraId="0A96807D" w14:textId="7D861ADA" w:rsidR="008D22DE" w:rsidRPr="003246AA" w:rsidRDefault="008D22DE" w:rsidP="003246AA">
      <w:pPr>
        <w:pStyle w:val="Heading3"/>
      </w:pPr>
      <w:r w:rsidRPr="003246AA">
        <w:rPr>
          <w:rStyle w:val="normaltextrun"/>
        </w:rPr>
        <w:t>State-owned Companies</w:t>
      </w:r>
    </w:p>
    <w:p w14:paraId="4ACBEF09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Aurora Energy Pty Ltd</w:t>
      </w:r>
      <w:r w:rsidRPr="00351754">
        <w:rPr>
          <w:rStyle w:val="eop"/>
          <w:rFonts w:ascii="Arial" w:hAnsi="Arial" w:cs="Arial"/>
        </w:rPr>
        <w:t> </w:t>
      </w:r>
    </w:p>
    <w:p w14:paraId="0C9E0BE2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Metro Tasmania Pty Ltd</w:t>
      </w:r>
      <w:r w:rsidRPr="00351754">
        <w:rPr>
          <w:rStyle w:val="eop"/>
          <w:rFonts w:ascii="Arial" w:hAnsi="Arial" w:cs="Arial"/>
        </w:rPr>
        <w:t> </w:t>
      </w:r>
    </w:p>
    <w:p w14:paraId="263A87E3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Tasmanian Irrigation Pty Ltd</w:t>
      </w:r>
      <w:r w:rsidRPr="00351754">
        <w:rPr>
          <w:rStyle w:val="eop"/>
          <w:rFonts w:ascii="Arial" w:hAnsi="Arial" w:cs="Arial"/>
        </w:rPr>
        <w:t> </w:t>
      </w:r>
    </w:p>
    <w:p w14:paraId="2E7BDE71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Tasmanian Networks Pty Ltd</w:t>
      </w:r>
      <w:r w:rsidRPr="00351754">
        <w:rPr>
          <w:rStyle w:val="eop"/>
          <w:rFonts w:ascii="Arial" w:hAnsi="Arial" w:cs="Arial"/>
        </w:rPr>
        <w:t> </w:t>
      </w:r>
    </w:p>
    <w:p w14:paraId="611159C2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Tasmanian Ports Corporation Pty Ltd</w:t>
      </w:r>
      <w:r w:rsidRPr="00351754">
        <w:rPr>
          <w:rStyle w:val="eop"/>
          <w:rFonts w:ascii="Arial" w:hAnsi="Arial" w:cs="Arial"/>
        </w:rPr>
        <w:t> </w:t>
      </w:r>
    </w:p>
    <w:p w14:paraId="71AD56F8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Tasmanian Railway Pty Ltd</w:t>
      </w:r>
      <w:r w:rsidRPr="00351754">
        <w:rPr>
          <w:rStyle w:val="eop"/>
          <w:rFonts w:ascii="Arial" w:hAnsi="Arial" w:cs="Arial"/>
        </w:rPr>
        <w:t> </w:t>
      </w:r>
    </w:p>
    <w:p w14:paraId="21EE4CBA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proofErr w:type="spellStart"/>
      <w:r w:rsidRPr="00351754">
        <w:rPr>
          <w:rStyle w:val="normaltextrun"/>
          <w:rFonts w:ascii="Arial" w:hAnsi="Arial" w:cs="Arial"/>
        </w:rPr>
        <w:t>Tasracing</w:t>
      </w:r>
      <w:proofErr w:type="spellEnd"/>
      <w:r w:rsidRPr="00351754">
        <w:rPr>
          <w:rStyle w:val="normaltextrun"/>
          <w:rFonts w:ascii="Arial" w:hAnsi="Arial" w:cs="Arial"/>
        </w:rPr>
        <w:t xml:space="preserve"> Pty Ltd</w:t>
      </w:r>
      <w:r w:rsidRPr="00351754">
        <w:rPr>
          <w:rStyle w:val="eop"/>
          <w:rFonts w:ascii="Arial" w:hAnsi="Arial" w:cs="Arial"/>
        </w:rPr>
        <w:t> </w:t>
      </w:r>
    </w:p>
    <w:p w14:paraId="4E022CF3" w14:textId="77777777" w:rsidR="008D22DE" w:rsidRPr="00351754" w:rsidRDefault="008D22DE" w:rsidP="003246AA">
      <w:pPr>
        <w:pStyle w:val="BulletL1"/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</w:rPr>
        <w:t>TT-Line Company Pty Ltd</w:t>
      </w:r>
      <w:r w:rsidRPr="00351754">
        <w:rPr>
          <w:rStyle w:val="eop"/>
          <w:rFonts w:ascii="Arial" w:hAnsi="Arial" w:cs="Arial"/>
        </w:rPr>
        <w:t> </w:t>
      </w:r>
    </w:p>
    <w:p w14:paraId="3DA9CEE4" w14:textId="3E41D8FB" w:rsidR="00AA2D31" w:rsidRPr="003246AA" w:rsidRDefault="00CB2375" w:rsidP="003246AA">
      <w:pPr>
        <w:pStyle w:val="Heading3"/>
        <w:rPr>
          <w:rStyle w:val="normaltextrun"/>
        </w:rPr>
      </w:pPr>
      <w:r w:rsidRPr="003246AA">
        <w:rPr>
          <w:rStyle w:val="normaltextrun"/>
        </w:rPr>
        <w:t>Not for Profit Government Business</w:t>
      </w:r>
    </w:p>
    <w:p w14:paraId="163A0FA6" w14:textId="763AD7A2" w:rsidR="00676DD2" w:rsidRDefault="00CB2375" w:rsidP="003246AA">
      <w:pPr>
        <w:pStyle w:val="BulletL1"/>
        <w:rPr>
          <w:rStyle w:val="normaltextrun"/>
          <w:rFonts w:ascii="Arial" w:hAnsi="Arial" w:cs="Arial"/>
          <w:szCs w:val="24"/>
        </w:rPr>
      </w:pPr>
      <w:r>
        <w:rPr>
          <w:rStyle w:val="eop"/>
          <w:rFonts w:ascii="Arial" w:hAnsi="Arial" w:cs="Arial"/>
        </w:rPr>
        <w:t>TasTAFE</w:t>
      </w:r>
    </w:p>
    <w:p w14:paraId="6E7562EE" w14:textId="7D7F42FE" w:rsidR="008D22DE" w:rsidRPr="00441C62" w:rsidRDefault="008D22DE" w:rsidP="003246AA">
      <w:pPr>
        <w:rPr>
          <w:rFonts w:ascii="Segoe UI" w:hAnsi="Segoe UI" w:cs="Segoe UI"/>
        </w:rPr>
      </w:pPr>
      <w:r w:rsidRPr="00351754">
        <w:rPr>
          <w:rStyle w:val="normaltextrun"/>
          <w:rFonts w:ascii="Arial" w:hAnsi="Arial" w:cs="Arial"/>
          <w:szCs w:val="24"/>
        </w:rPr>
        <w:t>An entity is also an agent or instrumentality of the Crown, if that agent or instrumentality administers funding or services to the disability sector.</w:t>
      </w:r>
    </w:p>
    <w:sectPr w:rsidR="008D22DE" w:rsidRPr="00441C62" w:rsidSect="003E49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418" w:bottom="1134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6B32" w14:textId="77777777" w:rsidR="006D247C" w:rsidRDefault="006D247C" w:rsidP="00E15978">
      <w:r>
        <w:separator/>
      </w:r>
    </w:p>
  </w:endnote>
  <w:endnote w:type="continuationSeparator" w:id="0">
    <w:p w14:paraId="2FEBA969" w14:textId="77777777" w:rsidR="006D247C" w:rsidRDefault="006D247C" w:rsidP="00E15978">
      <w:r>
        <w:continuationSeparator/>
      </w:r>
    </w:p>
  </w:endnote>
  <w:endnote w:type="continuationNotice" w:id="1">
    <w:p w14:paraId="630CC369" w14:textId="77777777" w:rsidR="006D247C" w:rsidRDefault="006D247C" w:rsidP="00E1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446F" w14:textId="3DB14A23" w:rsidR="00970751" w:rsidRDefault="009707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575F888" wp14:editId="0AC175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4567617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79AE5" w14:textId="133E47AB" w:rsidR="00970751" w:rsidRPr="00970751" w:rsidRDefault="00970751" w:rsidP="009707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7075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5F8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F379AE5" w14:textId="133E47AB" w:rsidR="00970751" w:rsidRPr="00970751" w:rsidRDefault="00970751" w:rsidP="009707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7075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80FB" w14:textId="2B20FFFE" w:rsidR="00BD0AF7" w:rsidRPr="00F16B4E" w:rsidRDefault="00000000" w:rsidP="00CA73B9">
    <w:pPr>
      <w:pStyle w:val="FooterDepartmentdivisionunitnameCover"/>
    </w:pPr>
    <w:sdt>
      <w:sdtPr>
        <w:rPr>
          <w:rFonts w:eastAsiaTheme="minorEastAsia" w:cstheme="minorBidi"/>
          <w:b w:val="0"/>
          <w:noProof w:val="0"/>
        </w:rPr>
        <w:id w:val="848293894"/>
        <w:docPartObj>
          <w:docPartGallery w:val="Page Numbers (Bottom of Page)"/>
          <w:docPartUnique/>
        </w:docPartObj>
      </w:sdtPr>
      <w:sdtEndPr>
        <w:rPr>
          <w:rFonts w:cstheme="majorBidi"/>
          <w:b/>
          <w:bCs/>
          <w:noProof/>
        </w:rPr>
      </w:sdtEndPr>
      <w:sdtContent>
        <w:sdt>
          <w:sdtPr>
            <w:rPr>
              <w:rStyle w:val="PageNumber"/>
            </w:rPr>
            <w:id w:val="1079181519"/>
            <w:docPartObj>
              <w:docPartGallery w:val="Page Numbers (Bottom of Page)"/>
              <w:docPartUnique/>
            </w:docPartObj>
          </w:sdtPr>
          <w:sdtContent>
            <w:r w:rsidR="00EB3C75" w:rsidRPr="00B20EEF">
              <w:rPr>
                <w:b w:val="0"/>
                <w:bCs/>
              </w:rPr>
              <w:t xml:space="preserve">Page </w:t>
            </w:r>
            <w:r w:rsidR="00EB3C75" w:rsidRPr="00B20EEF">
              <w:rPr>
                <w:b w:val="0"/>
                <w:bCs/>
              </w:rPr>
              <w:fldChar w:fldCharType="begin"/>
            </w:r>
            <w:r w:rsidR="00EB3C75" w:rsidRPr="00B20EEF">
              <w:rPr>
                <w:b w:val="0"/>
                <w:bCs/>
              </w:rPr>
              <w:instrText xml:space="preserve"> PAGE  \* Arabic  \* MERGEFORMAT </w:instrText>
            </w:r>
            <w:r w:rsidR="00EB3C75" w:rsidRPr="00B20EEF">
              <w:rPr>
                <w:b w:val="0"/>
                <w:bCs/>
              </w:rPr>
              <w:fldChar w:fldCharType="separate"/>
            </w:r>
            <w:r w:rsidR="00EB3C75" w:rsidRPr="00B20EEF">
              <w:rPr>
                <w:b w:val="0"/>
                <w:bCs/>
              </w:rPr>
              <w:t>2</w:t>
            </w:r>
            <w:r w:rsidR="00EB3C75" w:rsidRPr="00B20EEF">
              <w:rPr>
                <w:b w:val="0"/>
                <w:bCs/>
              </w:rPr>
              <w:fldChar w:fldCharType="end"/>
            </w:r>
            <w:r w:rsidR="00EB3C75" w:rsidRPr="00B20EEF">
              <w:rPr>
                <w:b w:val="0"/>
                <w:bCs/>
              </w:rPr>
              <w:t xml:space="preserve"> of </w:t>
            </w:r>
            <w:r w:rsidR="00772735" w:rsidRPr="00B20EEF">
              <w:rPr>
                <w:b w:val="0"/>
                <w:bCs/>
              </w:rPr>
              <w:fldChar w:fldCharType="begin"/>
            </w:r>
            <w:r w:rsidR="00772735" w:rsidRPr="00B20EEF">
              <w:rPr>
                <w:b w:val="0"/>
                <w:bCs/>
              </w:rPr>
              <w:instrText>NUMPAGES  \* Arabic  \* MERGEFORMAT</w:instrText>
            </w:r>
            <w:r w:rsidR="00772735" w:rsidRPr="00B20EEF">
              <w:rPr>
                <w:b w:val="0"/>
                <w:bCs/>
              </w:rPr>
              <w:fldChar w:fldCharType="separate"/>
            </w:r>
            <w:r w:rsidR="00EB3C75" w:rsidRPr="00B20EEF">
              <w:rPr>
                <w:b w:val="0"/>
                <w:bCs/>
              </w:rPr>
              <w:t>3</w:t>
            </w:r>
            <w:r w:rsidR="00772735" w:rsidRPr="00B20EEF">
              <w:rPr>
                <w:b w:val="0"/>
                <w:bCs/>
              </w:rPr>
              <w:fldChar w:fldCharType="end"/>
            </w:r>
            <w:r w:rsidR="00EB3C75" w:rsidRPr="00B20EEF">
              <w:rPr>
                <w:b w:val="0"/>
                <w:bCs/>
              </w:rPr>
              <w:t xml:space="preserve"> |</w:t>
            </w:r>
            <w:r w:rsidR="00B20EEF" w:rsidRPr="00B20EEF">
              <w:rPr>
                <w:b w:val="0"/>
                <w:bCs/>
              </w:rPr>
              <w:t xml:space="preserve"> Fact </w:t>
            </w:r>
            <w:r w:rsidR="00EB3C75" w:rsidRPr="00B20EEF">
              <w:rPr>
                <w:b w:val="0"/>
                <w:bCs/>
              </w:rPr>
              <w:t xml:space="preserve">Sheet - </w:t>
            </w:r>
            <w:r w:rsidR="00646EA2" w:rsidRPr="00B20EEF">
              <w:rPr>
                <w:b w:val="0"/>
                <w:bCs/>
              </w:rPr>
              <w:t>Defined Entities</w:t>
            </w:r>
            <w:r w:rsidR="00EB3C75" w:rsidRPr="00B20EEF">
              <w:rPr>
                <w:b w:val="0"/>
                <w:bCs/>
              </w:rPr>
              <w:t xml:space="preserve"> | </w:t>
            </w:r>
            <w:r w:rsidR="00922D2A">
              <w:rPr>
                <w:b w:val="0"/>
                <w:bCs/>
              </w:rPr>
              <w:t>June</w:t>
            </w:r>
            <w:r w:rsidR="00EB3C75" w:rsidRPr="00B20EEF">
              <w:rPr>
                <w:b w:val="0"/>
                <w:bCs/>
              </w:rPr>
              <w:t xml:space="preserve"> 2025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061C" w14:textId="3D22FB4D" w:rsidR="00B20EEF" w:rsidRDefault="00B20EEF" w:rsidP="00B20EEF">
    <w:pPr>
      <w:pStyle w:val="FooterDepartmentdivisionunitnameCover"/>
    </w:pPr>
    <w:r w:rsidRPr="003C79F5">
      <w:rPr>
        <w:highlight w:val="yellow"/>
      </w:rPr>
      <w:drawing>
        <wp:anchor distT="0" distB="0" distL="114300" distR="114300" simplePos="0" relativeHeight="251659264" behindDoc="1" locked="0" layoutInCell="1" allowOverlap="1" wp14:anchorId="6CBEA478" wp14:editId="020F9703">
          <wp:simplePos x="0" y="0"/>
          <wp:positionH relativeFrom="margin">
            <wp:align>right</wp:align>
          </wp:positionH>
          <wp:positionV relativeFrom="paragraph">
            <wp:posOffset>20955</wp:posOffset>
          </wp:positionV>
          <wp:extent cx="1080000" cy="426378"/>
          <wp:effectExtent l="0" t="0" r="6350" b="0"/>
          <wp:wrapNone/>
          <wp:docPr id="402565073" name="Picture 402565073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2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  <w:rFonts w:ascii="Arial" w:hAnsi="Arial" w:cs="Arial"/>
      </w:rPr>
      <w:id w:val="1213156902"/>
      <w:docPartObj>
        <w:docPartGallery w:val="Page Numbers (Bottom of Page)"/>
        <w:docPartUnique/>
      </w:docPartObj>
    </w:sdtPr>
    <w:sdtContent>
      <w:p w14:paraId="31EB0042" w14:textId="005C8025" w:rsidR="003813E5" w:rsidRPr="00B20EEF" w:rsidRDefault="00B20EEF" w:rsidP="00B20EEF">
        <w:pPr>
          <w:pStyle w:val="FooterDepartmentdivisionunitnameCover"/>
        </w:pPr>
        <w:r w:rsidRPr="007D2B0D">
          <w:t>Disability and Reform</w:t>
        </w:r>
        <w:r>
          <w:rPr>
            <w:rStyle w:val="PageNumber"/>
            <w:rFonts w:ascii="Arial" w:hAnsi="Arial" w:cs="Arial"/>
            <w:szCs w:val="20"/>
          </w:rPr>
          <w:br/>
        </w:r>
        <w:r w:rsidRPr="007D2B0D">
          <w:rPr>
            <w:b w:val="0"/>
            <w:bCs/>
          </w:rPr>
          <w:t>Department of Premier and Cabinet</w:t>
        </w:r>
        <w:r w:rsidRPr="007D2B0D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5FFD" w14:textId="77777777" w:rsidR="006D247C" w:rsidRDefault="006D247C" w:rsidP="00E15978">
      <w:r>
        <w:separator/>
      </w:r>
    </w:p>
  </w:footnote>
  <w:footnote w:type="continuationSeparator" w:id="0">
    <w:p w14:paraId="500D7571" w14:textId="77777777" w:rsidR="006D247C" w:rsidRDefault="006D247C" w:rsidP="00E15978">
      <w:r>
        <w:continuationSeparator/>
      </w:r>
    </w:p>
  </w:footnote>
  <w:footnote w:type="continuationNotice" w:id="1">
    <w:p w14:paraId="7668D893" w14:textId="77777777" w:rsidR="006D247C" w:rsidRDefault="006D247C" w:rsidP="00E15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EFFF" w14:textId="5C977F51" w:rsidR="00970751" w:rsidRDefault="009707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FC365F" wp14:editId="5138A3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4236521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B68BF" w14:textId="66FE3011" w:rsidR="00970751" w:rsidRPr="00970751" w:rsidRDefault="00970751" w:rsidP="009707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7075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C36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0B4B68BF" w14:textId="66FE3011" w:rsidR="00970751" w:rsidRPr="00970751" w:rsidRDefault="00970751" w:rsidP="009707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7075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370BD1" w14:paraId="075DDDE0" w14:textId="77777777" w:rsidTr="29370BD1">
      <w:trPr>
        <w:trHeight w:val="300"/>
      </w:trPr>
      <w:tc>
        <w:tcPr>
          <w:tcW w:w="3020" w:type="dxa"/>
        </w:tcPr>
        <w:p w14:paraId="083B3DEC" w14:textId="520CFAA5" w:rsidR="29370BD1" w:rsidRDefault="29370BD1" w:rsidP="29370BD1">
          <w:pPr>
            <w:pStyle w:val="Header"/>
            <w:ind w:left="-115"/>
          </w:pPr>
        </w:p>
      </w:tc>
      <w:tc>
        <w:tcPr>
          <w:tcW w:w="3020" w:type="dxa"/>
        </w:tcPr>
        <w:p w14:paraId="5BFCAD9B" w14:textId="29986F36" w:rsidR="29370BD1" w:rsidRDefault="29370BD1" w:rsidP="29370BD1">
          <w:pPr>
            <w:pStyle w:val="Header"/>
            <w:jc w:val="center"/>
          </w:pPr>
        </w:p>
      </w:tc>
      <w:tc>
        <w:tcPr>
          <w:tcW w:w="3020" w:type="dxa"/>
        </w:tcPr>
        <w:p w14:paraId="3BDAE75D" w14:textId="1E19D033" w:rsidR="29370BD1" w:rsidRDefault="29370BD1" w:rsidP="29370BD1">
          <w:pPr>
            <w:pStyle w:val="Header"/>
            <w:ind w:right="-115"/>
            <w:jc w:val="right"/>
          </w:pPr>
        </w:p>
      </w:tc>
    </w:tr>
  </w:tbl>
  <w:p w14:paraId="73794D7F" w14:textId="76B3F2AE" w:rsidR="00CA73B9" w:rsidRDefault="00CA7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370BD1" w14:paraId="4DEB2E4D" w14:textId="77777777" w:rsidTr="29370BD1">
      <w:trPr>
        <w:trHeight w:val="300"/>
      </w:trPr>
      <w:tc>
        <w:tcPr>
          <w:tcW w:w="3020" w:type="dxa"/>
        </w:tcPr>
        <w:p w14:paraId="4B5F0B37" w14:textId="56F870B8" w:rsidR="29370BD1" w:rsidRDefault="29370BD1" w:rsidP="29370BD1">
          <w:pPr>
            <w:pStyle w:val="Header"/>
            <w:ind w:left="-115"/>
          </w:pPr>
        </w:p>
      </w:tc>
      <w:tc>
        <w:tcPr>
          <w:tcW w:w="3020" w:type="dxa"/>
        </w:tcPr>
        <w:p w14:paraId="34BEB313" w14:textId="0DC36DB6" w:rsidR="29370BD1" w:rsidRDefault="29370BD1" w:rsidP="29370BD1">
          <w:pPr>
            <w:pStyle w:val="Header"/>
            <w:jc w:val="center"/>
          </w:pPr>
        </w:p>
      </w:tc>
      <w:tc>
        <w:tcPr>
          <w:tcW w:w="3020" w:type="dxa"/>
        </w:tcPr>
        <w:p w14:paraId="475C9F83" w14:textId="150296B3" w:rsidR="29370BD1" w:rsidRDefault="29370BD1" w:rsidP="29370BD1">
          <w:pPr>
            <w:pStyle w:val="Header"/>
            <w:ind w:right="-115"/>
            <w:jc w:val="right"/>
          </w:pPr>
        </w:p>
      </w:tc>
    </w:tr>
  </w:tbl>
  <w:p w14:paraId="1FFAEED0" w14:textId="207E0BBB" w:rsidR="00CA73B9" w:rsidRDefault="00CA7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82DEDF74"/>
    <w:lvl w:ilvl="0" w:tplc="FC90CA1A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5442B"/>
    <w:multiLevelType w:val="hybridMultilevel"/>
    <w:tmpl w:val="DBBC35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A7476"/>
    <w:multiLevelType w:val="hybridMultilevel"/>
    <w:tmpl w:val="CFEAB930"/>
    <w:lvl w:ilvl="0" w:tplc="05C23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2D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2B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8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03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A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47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60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2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15E8"/>
    <w:multiLevelType w:val="hybridMultilevel"/>
    <w:tmpl w:val="ACF02174"/>
    <w:lvl w:ilvl="0" w:tplc="8DFC8B78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1B4006"/>
    <w:multiLevelType w:val="hybridMultilevel"/>
    <w:tmpl w:val="E2545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72BCA"/>
    <w:multiLevelType w:val="hybridMultilevel"/>
    <w:tmpl w:val="4E16FB02"/>
    <w:lvl w:ilvl="0" w:tplc="C06A22E4">
      <w:start w:val="1"/>
      <w:numFmt w:val="decimal"/>
      <w:lvlText w:val="(%1)"/>
      <w:lvlJc w:val="left"/>
      <w:pPr>
        <w:ind w:left="2317" w:hanging="615"/>
      </w:pPr>
      <w:rPr>
        <w:rFonts w:ascii="Arial" w:hAnsi="Arial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en-US" w:eastAsia="en-US" w:bidi="ar-SA"/>
      </w:rPr>
    </w:lvl>
    <w:lvl w:ilvl="1" w:tplc="4B406CD6">
      <w:start w:val="1"/>
      <w:numFmt w:val="lowerLetter"/>
      <w:lvlText w:val="(%2)"/>
      <w:lvlJc w:val="left"/>
      <w:pPr>
        <w:ind w:left="1687" w:hanging="598"/>
      </w:pPr>
      <w:rPr>
        <w:rFonts w:ascii="Arial" w:hAnsi="Arial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2" w:tplc="E17AB938">
      <w:start w:val="1"/>
      <w:numFmt w:val="lowerRoman"/>
      <w:lvlText w:val="(%3)"/>
      <w:lvlJc w:val="left"/>
      <w:pPr>
        <w:ind w:left="3099" w:hanging="552"/>
      </w:pPr>
      <w:rPr>
        <w:rFonts w:ascii="Arial" w:hAnsi="Arial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3" w:tplc="B82C1016">
      <w:numFmt w:val="bullet"/>
      <w:lvlText w:val="•"/>
      <w:lvlJc w:val="left"/>
      <w:pPr>
        <w:ind w:left="4591" w:hanging="552"/>
      </w:pPr>
      <w:rPr>
        <w:rFonts w:hint="default"/>
        <w:lang w:val="en-US" w:eastAsia="en-US" w:bidi="ar-SA"/>
      </w:rPr>
    </w:lvl>
    <w:lvl w:ilvl="4" w:tplc="8506A9B4">
      <w:numFmt w:val="bullet"/>
      <w:lvlText w:val="•"/>
      <w:lvlJc w:val="left"/>
      <w:pPr>
        <w:ind w:left="5159" w:hanging="552"/>
      </w:pPr>
      <w:rPr>
        <w:rFonts w:hint="default"/>
        <w:lang w:val="en-US" w:eastAsia="en-US" w:bidi="ar-SA"/>
      </w:rPr>
    </w:lvl>
    <w:lvl w:ilvl="5" w:tplc="F3A0C3F0">
      <w:numFmt w:val="bullet"/>
      <w:lvlText w:val="•"/>
      <w:lvlJc w:val="left"/>
      <w:pPr>
        <w:ind w:left="5727" w:hanging="552"/>
      </w:pPr>
      <w:rPr>
        <w:rFonts w:hint="default"/>
        <w:lang w:val="en-US" w:eastAsia="en-US" w:bidi="ar-SA"/>
      </w:rPr>
    </w:lvl>
    <w:lvl w:ilvl="6" w:tplc="4C92DE6E">
      <w:numFmt w:val="bullet"/>
      <w:lvlText w:val="•"/>
      <w:lvlJc w:val="left"/>
      <w:pPr>
        <w:ind w:left="6296" w:hanging="552"/>
      </w:pPr>
      <w:rPr>
        <w:rFonts w:hint="default"/>
        <w:lang w:val="en-US" w:eastAsia="en-US" w:bidi="ar-SA"/>
      </w:rPr>
    </w:lvl>
    <w:lvl w:ilvl="7" w:tplc="DCCC2830">
      <w:numFmt w:val="bullet"/>
      <w:lvlText w:val="•"/>
      <w:lvlJc w:val="left"/>
      <w:pPr>
        <w:ind w:left="6864" w:hanging="552"/>
      </w:pPr>
      <w:rPr>
        <w:rFonts w:hint="default"/>
        <w:lang w:val="en-US" w:eastAsia="en-US" w:bidi="ar-SA"/>
      </w:rPr>
    </w:lvl>
    <w:lvl w:ilvl="8" w:tplc="4372CEA2">
      <w:numFmt w:val="bullet"/>
      <w:lvlText w:val="•"/>
      <w:lvlJc w:val="left"/>
      <w:pPr>
        <w:ind w:left="7432" w:hanging="552"/>
      </w:pPr>
      <w:rPr>
        <w:rFonts w:hint="default"/>
        <w:lang w:val="en-US" w:eastAsia="en-US" w:bidi="ar-SA"/>
      </w:rPr>
    </w:lvl>
  </w:abstractNum>
  <w:abstractNum w:abstractNumId="13" w15:restartNumberingAfterBreak="0">
    <w:nsid w:val="28945D38"/>
    <w:multiLevelType w:val="hybridMultilevel"/>
    <w:tmpl w:val="0F2433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E1004"/>
    <w:multiLevelType w:val="hybridMultilevel"/>
    <w:tmpl w:val="4C524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25B"/>
    <w:multiLevelType w:val="hybridMultilevel"/>
    <w:tmpl w:val="42D0A0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60CFD"/>
    <w:multiLevelType w:val="hybridMultilevel"/>
    <w:tmpl w:val="0C905A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090291"/>
    <w:multiLevelType w:val="hybridMultilevel"/>
    <w:tmpl w:val="2D428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4D11"/>
    <w:multiLevelType w:val="hybridMultilevel"/>
    <w:tmpl w:val="912A8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C6845"/>
    <w:multiLevelType w:val="hybridMultilevel"/>
    <w:tmpl w:val="809440FA"/>
    <w:lvl w:ilvl="0" w:tplc="B21C4D1E">
      <w:start w:val="1"/>
      <w:numFmt w:val="bullet"/>
      <w:pStyle w:val="BulletL2"/>
      <w:lvlText w:val="-"/>
      <w:lvlJc w:val="left"/>
      <w:pPr>
        <w:ind w:left="92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8767F7B"/>
    <w:multiLevelType w:val="hybridMultilevel"/>
    <w:tmpl w:val="691835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73C17"/>
    <w:multiLevelType w:val="hybridMultilevel"/>
    <w:tmpl w:val="1B4A5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0765F"/>
    <w:multiLevelType w:val="hybridMultilevel"/>
    <w:tmpl w:val="D2D6F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515E8"/>
    <w:multiLevelType w:val="hybridMultilevel"/>
    <w:tmpl w:val="55783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B58F7"/>
    <w:multiLevelType w:val="hybridMultilevel"/>
    <w:tmpl w:val="B7F837A8"/>
    <w:lvl w:ilvl="0" w:tplc="923CAA28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186339">
    <w:abstractNumId w:val="8"/>
  </w:num>
  <w:num w:numId="2" w16cid:durableId="546643098">
    <w:abstractNumId w:val="4"/>
  </w:num>
  <w:num w:numId="3" w16cid:durableId="1971204888">
    <w:abstractNumId w:val="6"/>
  </w:num>
  <w:num w:numId="4" w16cid:durableId="589579785">
    <w:abstractNumId w:val="26"/>
  </w:num>
  <w:num w:numId="5" w16cid:durableId="396364326">
    <w:abstractNumId w:val="5"/>
  </w:num>
  <w:num w:numId="6" w16cid:durableId="18822700">
    <w:abstractNumId w:val="24"/>
  </w:num>
  <w:num w:numId="7" w16cid:durableId="90667290">
    <w:abstractNumId w:val="9"/>
  </w:num>
  <w:num w:numId="8" w16cid:durableId="948122419">
    <w:abstractNumId w:val="1"/>
  </w:num>
  <w:num w:numId="9" w16cid:durableId="1656833321">
    <w:abstractNumId w:val="25"/>
  </w:num>
  <w:num w:numId="10" w16cid:durableId="529490499">
    <w:abstractNumId w:val="0"/>
  </w:num>
  <w:num w:numId="11" w16cid:durableId="1380325260">
    <w:abstractNumId w:val="25"/>
  </w:num>
  <w:num w:numId="12" w16cid:durableId="1797407731">
    <w:abstractNumId w:val="2"/>
  </w:num>
  <w:num w:numId="13" w16cid:durableId="1597010386">
    <w:abstractNumId w:val="25"/>
  </w:num>
  <w:num w:numId="14" w16cid:durableId="1161774435">
    <w:abstractNumId w:val="27"/>
  </w:num>
  <w:num w:numId="15" w16cid:durableId="413205355">
    <w:abstractNumId w:val="10"/>
  </w:num>
  <w:num w:numId="16" w16cid:durableId="1140732817">
    <w:abstractNumId w:val="10"/>
  </w:num>
  <w:num w:numId="17" w16cid:durableId="1884638788">
    <w:abstractNumId w:val="3"/>
  </w:num>
  <w:num w:numId="18" w16cid:durableId="1136874388">
    <w:abstractNumId w:val="5"/>
  </w:num>
  <w:num w:numId="19" w16cid:durableId="1611009957">
    <w:abstractNumId w:val="22"/>
  </w:num>
  <w:num w:numId="20" w16cid:durableId="1853757519">
    <w:abstractNumId w:val="5"/>
  </w:num>
  <w:num w:numId="21" w16cid:durableId="1815222867">
    <w:abstractNumId w:val="5"/>
  </w:num>
  <w:num w:numId="22" w16cid:durableId="1011491403">
    <w:abstractNumId w:val="5"/>
  </w:num>
  <w:num w:numId="23" w16cid:durableId="1684894355">
    <w:abstractNumId w:val="16"/>
  </w:num>
  <w:num w:numId="24" w16cid:durableId="932006692">
    <w:abstractNumId w:val="5"/>
  </w:num>
  <w:num w:numId="25" w16cid:durableId="1049525425">
    <w:abstractNumId w:val="11"/>
  </w:num>
  <w:num w:numId="26" w16cid:durableId="1794981257">
    <w:abstractNumId w:val="21"/>
  </w:num>
  <w:num w:numId="27" w16cid:durableId="1365474427">
    <w:abstractNumId w:val="15"/>
  </w:num>
  <w:num w:numId="28" w16cid:durableId="1504126035">
    <w:abstractNumId w:val="18"/>
  </w:num>
  <w:num w:numId="29" w16cid:durableId="751126366">
    <w:abstractNumId w:val="13"/>
  </w:num>
  <w:num w:numId="30" w16cid:durableId="1470366395">
    <w:abstractNumId w:val="23"/>
  </w:num>
  <w:num w:numId="31" w16cid:durableId="725683180">
    <w:abstractNumId w:val="7"/>
  </w:num>
  <w:num w:numId="32" w16cid:durableId="42876208">
    <w:abstractNumId w:val="5"/>
  </w:num>
  <w:num w:numId="33" w16cid:durableId="63839103">
    <w:abstractNumId w:val="12"/>
  </w:num>
  <w:num w:numId="34" w16cid:durableId="1592547838">
    <w:abstractNumId w:val="20"/>
  </w:num>
  <w:num w:numId="35" w16cid:durableId="1770807298">
    <w:abstractNumId w:val="19"/>
  </w:num>
  <w:num w:numId="36" w16cid:durableId="310989554">
    <w:abstractNumId w:val="17"/>
  </w:num>
  <w:num w:numId="37" w16cid:durableId="1508523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1"/>
    <w:rsid w:val="0001035D"/>
    <w:rsid w:val="000132D5"/>
    <w:rsid w:val="000220F7"/>
    <w:rsid w:val="0002558C"/>
    <w:rsid w:val="0002663E"/>
    <w:rsid w:val="00031B3A"/>
    <w:rsid w:val="00041F7D"/>
    <w:rsid w:val="0004259C"/>
    <w:rsid w:val="00043209"/>
    <w:rsid w:val="00045DA1"/>
    <w:rsid w:val="00047696"/>
    <w:rsid w:val="00052114"/>
    <w:rsid w:val="000555DD"/>
    <w:rsid w:val="00060CB0"/>
    <w:rsid w:val="00072B2F"/>
    <w:rsid w:val="00074314"/>
    <w:rsid w:val="00077C67"/>
    <w:rsid w:val="00077F9E"/>
    <w:rsid w:val="00081BD2"/>
    <w:rsid w:val="00084621"/>
    <w:rsid w:val="0009383A"/>
    <w:rsid w:val="00094F50"/>
    <w:rsid w:val="000A00AA"/>
    <w:rsid w:val="000A2293"/>
    <w:rsid w:val="000A29DF"/>
    <w:rsid w:val="000A56F6"/>
    <w:rsid w:val="000A7855"/>
    <w:rsid w:val="000B3D3F"/>
    <w:rsid w:val="000B6149"/>
    <w:rsid w:val="000B6B04"/>
    <w:rsid w:val="000C2D3C"/>
    <w:rsid w:val="000C313B"/>
    <w:rsid w:val="000C3BAB"/>
    <w:rsid w:val="000C4032"/>
    <w:rsid w:val="000C6581"/>
    <w:rsid w:val="000C74C8"/>
    <w:rsid w:val="000D1D68"/>
    <w:rsid w:val="000D1EC1"/>
    <w:rsid w:val="000E53CE"/>
    <w:rsid w:val="000E71F2"/>
    <w:rsid w:val="000E777A"/>
    <w:rsid w:val="00100F96"/>
    <w:rsid w:val="00102B50"/>
    <w:rsid w:val="00106777"/>
    <w:rsid w:val="0011256B"/>
    <w:rsid w:val="001172E4"/>
    <w:rsid w:val="001216BC"/>
    <w:rsid w:val="0012256A"/>
    <w:rsid w:val="00125F9D"/>
    <w:rsid w:val="001314BC"/>
    <w:rsid w:val="00131534"/>
    <w:rsid w:val="00133464"/>
    <w:rsid w:val="0013529A"/>
    <w:rsid w:val="001356B6"/>
    <w:rsid w:val="00136C44"/>
    <w:rsid w:val="00141E1D"/>
    <w:rsid w:val="00143FA3"/>
    <w:rsid w:val="001442B3"/>
    <w:rsid w:val="001554D1"/>
    <w:rsid w:val="001554EC"/>
    <w:rsid w:val="00164127"/>
    <w:rsid w:val="0016792E"/>
    <w:rsid w:val="00170402"/>
    <w:rsid w:val="00170A8D"/>
    <w:rsid w:val="00173D84"/>
    <w:rsid w:val="00173E56"/>
    <w:rsid w:val="00181284"/>
    <w:rsid w:val="00190552"/>
    <w:rsid w:val="00190B7F"/>
    <w:rsid w:val="001959FD"/>
    <w:rsid w:val="001B3347"/>
    <w:rsid w:val="001C1CD7"/>
    <w:rsid w:val="001C5FF5"/>
    <w:rsid w:val="001D524C"/>
    <w:rsid w:val="001D779C"/>
    <w:rsid w:val="001E0764"/>
    <w:rsid w:val="001E1EBB"/>
    <w:rsid w:val="001E4260"/>
    <w:rsid w:val="001E6C8B"/>
    <w:rsid w:val="001F7197"/>
    <w:rsid w:val="00201C99"/>
    <w:rsid w:val="00203A18"/>
    <w:rsid w:val="002060D8"/>
    <w:rsid w:val="00211383"/>
    <w:rsid w:val="00221DB8"/>
    <w:rsid w:val="00223CB7"/>
    <w:rsid w:val="00225C9C"/>
    <w:rsid w:val="002366EF"/>
    <w:rsid w:val="002409A9"/>
    <w:rsid w:val="002418AE"/>
    <w:rsid w:val="002449C1"/>
    <w:rsid w:val="00253883"/>
    <w:rsid w:val="0025622D"/>
    <w:rsid w:val="00257E89"/>
    <w:rsid w:val="002623EA"/>
    <w:rsid w:val="00263671"/>
    <w:rsid w:val="0027096F"/>
    <w:rsid w:val="002757D1"/>
    <w:rsid w:val="00283084"/>
    <w:rsid w:val="0028478F"/>
    <w:rsid w:val="00292966"/>
    <w:rsid w:val="00297F6C"/>
    <w:rsid w:val="002A2289"/>
    <w:rsid w:val="002A32FF"/>
    <w:rsid w:val="002A67A6"/>
    <w:rsid w:val="002A727E"/>
    <w:rsid w:val="002A79E6"/>
    <w:rsid w:val="002B020D"/>
    <w:rsid w:val="002B121C"/>
    <w:rsid w:val="002B15E6"/>
    <w:rsid w:val="002B29A7"/>
    <w:rsid w:val="002B3394"/>
    <w:rsid w:val="002B6AA7"/>
    <w:rsid w:val="002B722F"/>
    <w:rsid w:val="002C50E0"/>
    <w:rsid w:val="002D12FB"/>
    <w:rsid w:val="002D7078"/>
    <w:rsid w:val="002E1742"/>
    <w:rsid w:val="002E3CB3"/>
    <w:rsid w:val="002E4396"/>
    <w:rsid w:val="002E5F2E"/>
    <w:rsid w:val="002E602F"/>
    <w:rsid w:val="002E6E3D"/>
    <w:rsid w:val="002F28F0"/>
    <w:rsid w:val="002F2A43"/>
    <w:rsid w:val="002F5CA0"/>
    <w:rsid w:val="002F61ED"/>
    <w:rsid w:val="0030265F"/>
    <w:rsid w:val="00302ADC"/>
    <w:rsid w:val="0030339D"/>
    <w:rsid w:val="003042BC"/>
    <w:rsid w:val="003049B9"/>
    <w:rsid w:val="0030581D"/>
    <w:rsid w:val="00310463"/>
    <w:rsid w:val="00317E1A"/>
    <w:rsid w:val="00320E8A"/>
    <w:rsid w:val="003246AA"/>
    <w:rsid w:val="0033159F"/>
    <w:rsid w:val="00337FD5"/>
    <w:rsid w:val="00341423"/>
    <w:rsid w:val="0034204E"/>
    <w:rsid w:val="00343DF8"/>
    <w:rsid w:val="0034494D"/>
    <w:rsid w:val="00346DA0"/>
    <w:rsid w:val="003506B3"/>
    <w:rsid w:val="003512B8"/>
    <w:rsid w:val="00351754"/>
    <w:rsid w:val="0036384C"/>
    <w:rsid w:val="003668B4"/>
    <w:rsid w:val="003750EA"/>
    <w:rsid w:val="003774F5"/>
    <w:rsid w:val="00380D32"/>
    <w:rsid w:val="003813E5"/>
    <w:rsid w:val="00381AFF"/>
    <w:rsid w:val="0038428B"/>
    <w:rsid w:val="00393C5C"/>
    <w:rsid w:val="00395667"/>
    <w:rsid w:val="00395E56"/>
    <w:rsid w:val="003A3554"/>
    <w:rsid w:val="003A527D"/>
    <w:rsid w:val="003A54FA"/>
    <w:rsid w:val="003B00DF"/>
    <w:rsid w:val="003B10AF"/>
    <w:rsid w:val="003B1428"/>
    <w:rsid w:val="003B50E7"/>
    <w:rsid w:val="003B519E"/>
    <w:rsid w:val="003C02FD"/>
    <w:rsid w:val="003C0E56"/>
    <w:rsid w:val="003C3749"/>
    <w:rsid w:val="003C79F5"/>
    <w:rsid w:val="003D1157"/>
    <w:rsid w:val="003D1CF1"/>
    <w:rsid w:val="003D1F9B"/>
    <w:rsid w:val="003D35C8"/>
    <w:rsid w:val="003D6EFB"/>
    <w:rsid w:val="003E165A"/>
    <w:rsid w:val="003E49F5"/>
    <w:rsid w:val="003F70AA"/>
    <w:rsid w:val="00401836"/>
    <w:rsid w:val="0040484F"/>
    <w:rsid w:val="00407E45"/>
    <w:rsid w:val="00421B3F"/>
    <w:rsid w:val="00423809"/>
    <w:rsid w:val="00425DAD"/>
    <w:rsid w:val="00433065"/>
    <w:rsid w:val="004337C6"/>
    <w:rsid w:val="00435547"/>
    <w:rsid w:val="00435A3B"/>
    <w:rsid w:val="0043635E"/>
    <w:rsid w:val="00440269"/>
    <w:rsid w:val="00441C62"/>
    <w:rsid w:val="0044560E"/>
    <w:rsid w:val="0044589F"/>
    <w:rsid w:val="00446300"/>
    <w:rsid w:val="00447BD4"/>
    <w:rsid w:val="004541C7"/>
    <w:rsid w:val="0046115D"/>
    <w:rsid w:val="00461A3A"/>
    <w:rsid w:val="004634CC"/>
    <w:rsid w:val="004639D4"/>
    <w:rsid w:val="0046592E"/>
    <w:rsid w:val="00465CBF"/>
    <w:rsid w:val="004664F1"/>
    <w:rsid w:val="00472849"/>
    <w:rsid w:val="00475506"/>
    <w:rsid w:val="00475D22"/>
    <w:rsid w:val="004829C9"/>
    <w:rsid w:val="004838D2"/>
    <w:rsid w:val="00491B75"/>
    <w:rsid w:val="004949F6"/>
    <w:rsid w:val="004A2214"/>
    <w:rsid w:val="004A4C1F"/>
    <w:rsid w:val="004A5A8F"/>
    <w:rsid w:val="004A6658"/>
    <w:rsid w:val="004B06BE"/>
    <w:rsid w:val="004B5FE2"/>
    <w:rsid w:val="004C3139"/>
    <w:rsid w:val="004C41C4"/>
    <w:rsid w:val="004D1E00"/>
    <w:rsid w:val="004D3811"/>
    <w:rsid w:val="004D4CC8"/>
    <w:rsid w:val="004D70EE"/>
    <w:rsid w:val="004D785D"/>
    <w:rsid w:val="004E1A0D"/>
    <w:rsid w:val="004E329D"/>
    <w:rsid w:val="004E60D3"/>
    <w:rsid w:val="004F05EA"/>
    <w:rsid w:val="004F0B53"/>
    <w:rsid w:val="004F41F3"/>
    <w:rsid w:val="00500982"/>
    <w:rsid w:val="0050310F"/>
    <w:rsid w:val="0050314A"/>
    <w:rsid w:val="0050785A"/>
    <w:rsid w:val="005110FC"/>
    <w:rsid w:val="00512870"/>
    <w:rsid w:val="00512CD9"/>
    <w:rsid w:val="005165E5"/>
    <w:rsid w:val="00517409"/>
    <w:rsid w:val="00517486"/>
    <w:rsid w:val="0052050D"/>
    <w:rsid w:val="005250CC"/>
    <w:rsid w:val="00526783"/>
    <w:rsid w:val="00531C32"/>
    <w:rsid w:val="0053273F"/>
    <w:rsid w:val="00534C19"/>
    <w:rsid w:val="0054209B"/>
    <w:rsid w:val="0054467E"/>
    <w:rsid w:val="00551886"/>
    <w:rsid w:val="00554C62"/>
    <w:rsid w:val="005729F9"/>
    <w:rsid w:val="00575FBE"/>
    <w:rsid w:val="00581F76"/>
    <w:rsid w:val="00585E0E"/>
    <w:rsid w:val="00590D4E"/>
    <w:rsid w:val="0059331B"/>
    <w:rsid w:val="005953B6"/>
    <w:rsid w:val="005A0AA7"/>
    <w:rsid w:val="005A28F8"/>
    <w:rsid w:val="005A490F"/>
    <w:rsid w:val="005A5C12"/>
    <w:rsid w:val="005A65C6"/>
    <w:rsid w:val="005B3569"/>
    <w:rsid w:val="005B54A4"/>
    <w:rsid w:val="005B67DC"/>
    <w:rsid w:val="005C6226"/>
    <w:rsid w:val="005C6456"/>
    <w:rsid w:val="005C6FC0"/>
    <w:rsid w:val="005C74E4"/>
    <w:rsid w:val="005D2EDF"/>
    <w:rsid w:val="005D4190"/>
    <w:rsid w:val="005D57E3"/>
    <w:rsid w:val="005E06BA"/>
    <w:rsid w:val="005E332B"/>
    <w:rsid w:val="005E360D"/>
    <w:rsid w:val="005E5601"/>
    <w:rsid w:val="005E62B3"/>
    <w:rsid w:val="005E75F2"/>
    <w:rsid w:val="005F161F"/>
    <w:rsid w:val="005F1B2D"/>
    <w:rsid w:val="005F2CFF"/>
    <w:rsid w:val="005F4FB3"/>
    <w:rsid w:val="005F7914"/>
    <w:rsid w:val="006030C5"/>
    <w:rsid w:val="00603885"/>
    <w:rsid w:val="00603BE7"/>
    <w:rsid w:val="00603D5E"/>
    <w:rsid w:val="00607248"/>
    <w:rsid w:val="00620BCE"/>
    <w:rsid w:val="006228CE"/>
    <w:rsid w:val="00623AFD"/>
    <w:rsid w:val="0062454C"/>
    <w:rsid w:val="00627D89"/>
    <w:rsid w:val="00631E3D"/>
    <w:rsid w:val="006335F9"/>
    <w:rsid w:val="00634B2A"/>
    <w:rsid w:val="00634FEA"/>
    <w:rsid w:val="00635C51"/>
    <w:rsid w:val="00642CA1"/>
    <w:rsid w:val="0064455C"/>
    <w:rsid w:val="00646EA2"/>
    <w:rsid w:val="00650145"/>
    <w:rsid w:val="00653335"/>
    <w:rsid w:val="006606A4"/>
    <w:rsid w:val="00661445"/>
    <w:rsid w:val="00663B53"/>
    <w:rsid w:val="006653CD"/>
    <w:rsid w:val="00670202"/>
    <w:rsid w:val="00671712"/>
    <w:rsid w:val="00671B35"/>
    <w:rsid w:val="00676D82"/>
    <w:rsid w:val="00676DD2"/>
    <w:rsid w:val="00686DB2"/>
    <w:rsid w:val="00687943"/>
    <w:rsid w:val="00687AD3"/>
    <w:rsid w:val="0069108A"/>
    <w:rsid w:val="00695BCA"/>
    <w:rsid w:val="006A161D"/>
    <w:rsid w:val="006A1CED"/>
    <w:rsid w:val="006A36D4"/>
    <w:rsid w:val="006A3A6F"/>
    <w:rsid w:val="006A4625"/>
    <w:rsid w:val="006B128D"/>
    <w:rsid w:val="006B1AC6"/>
    <w:rsid w:val="006B794B"/>
    <w:rsid w:val="006C14E7"/>
    <w:rsid w:val="006C5BE8"/>
    <w:rsid w:val="006C6B7B"/>
    <w:rsid w:val="006C7167"/>
    <w:rsid w:val="006C728C"/>
    <w:rsid w:val="006C739D"/>
    <w:rsid w:val="006D0D59"/>
    <w:rsid w:val="006D2417"/>
    <w:rsid w:val="006D247C"/>
    <w:rsid w:val="006E0D82"/>
    <w:rsid w:val="006E4402"/>
    <w:rsid w:val="006E6FA2"/>
    <w:rsid w:val="006F5A41"/>
    <w:rsid w:val="006F6440"/>
    <w:rsid w:val="00700BB1"/>
    <w:rsid w:val="00704D17"/>
    <w:rsid w:val="00704EA3"/>
    <w:rsid w:val="007101C8"/>
    <w:rsid w:val="0071156F"/>
    <w:rsid w:val="00712028"/>
    <w:rsid w:val="00723117"/>
    <w:rsid w:val="007302CC"/>
    <w:rsid w:val="0073137B"/>
    <w:rsid w:val="00732B0C"/>
    <w:rsid w:val="007405B5"/>
    <w:rsid w:val="00740C39"/>
    <w:rsid w:val="00740C4B"/>
    <w:rsid w:val="007430E0"/>
    <w:rsid w:val="00744BB3"/>
    <w:rsid w:val="00745A99"/>
    <w:rsid w:val="00745B39"/>
    <w:rsid w:val="0075622D"/>
    <w:rsid w:val="00757B0A"/>
    <w:rsid w:val="00761106"/>
    <w:rsid w:val="00772735"/>
    <w:rsid w:val="00772C50"/>
    <w:rsid w:val="00772C88"/>
    <w:rsid w:val="007738D5"/>
    <w:rsid w:val="00774FCA"/>
    <w:rsid w:val="0077645B"/>
    <w:rsid w:val="00781449"/>
    <w:rsid w:val="00785B99"/>
    <w:rsid w:val="00791F78"/>
    <w:rsid w:val="0079562D"/>
    <w:rsid w:val="007A4314"/>
    <w:rsid w:val="007A6F2C"/>
    <w:rsid w:val="007B10E8"/>
    <w:rsid w:val="007B12CC"/>
    <w:rsid w:val="007B63BE"/>
    <w:rsid w:val="007C085D"/>
    <w:rsid w:val="007C1D0F"/>
    <w:rsid w:val="007C2269"/>
    <w:rsid w:val="007C2716"/>
    <w:rsid w:val="007C2C46"/>
    <w:rsid w:val="007C5FAE"/>
    <w:rsid w:val="007C75AE"/>
    <w:rsid w:val="007D4BD4"/>
    <w:rsid w:val="007E3DE9"/>
    <w:rsid w:val="007E4689"/>
    <w:rsid w:val="007E4EAF"/>
    <w:rsid w:val="007E66AE"/>
    <w:rsid w:val="007F01A1"/>
    <w:rsid w:val="007F0375"/>
    <w:rsid w:val="007F40C1"/>
    <w:rsid w:val="007F4E77"/>
    <w:rsid w:val="007F7888"/>
    <w:rsid w:val="007F7C8C"/>
    <w:rsid w:val="0080507C"/>
    <w:rsid w:val="00806FFA"/>
    <w:rsid w:val="008070D5"/>
    <w:rsid w:val="00807566"/>
    <w:rsid w:val="0082117F"/>
    <w:rsid w:val="00821AA0"/>
    <w:rsid w:val="00823BA9"/>
    <w:rsid w:val="00825B03"/>
    <w:rsid w:val="0083141A"/>
    <w:rsid w:val="00833BB1"/>
    <w:rsid w:val="00834354"/>
    <w:rsid w:val="00841865"/>
    <w:rsid w:val="00842510"/>
    <w:rsid w:val="008465D4"/>
    <w:rsid w:val="00852ADD"/>
    <w:rsid w:val="00852E11"/>
    <w:rsid w:val="00854F56"/>
    <w:rsid w:val="00856F62"/>
    <w:rsid w:val="0086153F"/>
    <w:rsid w:val="00862A1F"/>
    <w:rsid w:val="008641A5"/>
    <w:rsid w:val="00864DA6"/>
    <w:rsid w:val="0086711A"/>
    <w:rsid w:val="00867E9D"/>
    <w:rsid w:val="0087091D"/>
    <w:rsid w:val="00875C9E"/>
    <w:rsid w:val="00881475"/>
    <w:rsid w:val="0089226A"/>
    <w:rsid w:val="00892274"/>
    <w:rsid w:val="00892697"/>
    <w:rsid w:val="00892B1E"/>
    <w:rsid w:val="008938B1"/>
    <w:rsid w:val="008978D8"/>
    <w:rsid w:val="0089FBA6"/>
    <w:rsid w:val="008A3DAC"/>
    <w:rsid w:val="008A5720"/>
    <w:rsid w:val="008B2EE2"/>
    <w:rsid w:val="008B4A34"/>
    <w:rsid w:val="008B7246"/>
    <w:rsid w:val="008C0033"/>
    <w:rsid w:val="008C4493"/>
    <w:rsid w:val="008C5385"/>
    <w:rsid w:val="008C53F1"/>
    <w:rsid w:val="008C7232"/>
    <w:rsid w:val="008D22DE"/>
    <w:rsid w:val="008D2873"/>
    <w:rsid w:val="008D4F86"/>
    <w:rsid w:val="008D53E3"/>
    <w:rsid w:val="008D608F"/>
    <w:rsid w:val="008D62F9"/>
    <w:rsid w:val="008E090E"/>
    <w:rsid w:val="008E2B00"/>
    <w:rsid w:val="008E40F0"/>
    <w:rsid w:val="008E7EB4"/>
    <w:rsid w:val="008F2D2F"/>
    <w:rsid w:val="008F54E5"/>
    <w:rsid w:val="00902E18"/>
    <w:rsid w:val="009034B5"/>
    <w:rsid w:val="00904AD9"/>
    <w:rsid w:val="00905FDF"/>
    <w:rsid w:val="009079A1"/>
    <w:rsid w:val="0091120C"/>
    <w:rsid w:val="00915B74"/>
    <w:rsid w:val="00917D67"/>
    <w:rsid w:val="00922D2A"/>
    <w:rsid w:val="009231AD"/>
    <w:rsid w:val="00924DB7"/>
    <w:rsid w:val="00940BE8"/>
    <w:rsid w:val="00945CE8"/>
    <w:rsid w:val="00946AFD"/>
    <w:rsid w:val="00950DB8"/>
    <w:rsid w:val="00952DC6"/>
    <w:rsid w:val="00952E97"/>
    <w:rsid w:val="00953E0F"/>
    <w:rsid w:val="00970751"/>
    <w:rsid w:val="009720CE"/>
    <w:rsid w:val="00974C1B"/>
    <w:rsid w:val="00974E84"/>
    <w:rsid w:val="009769A0"/>
    <w:rsid w:val="00981528"/>
    <w:rsid w:val="00981829"/>
    <w:rsid w:val="00983926"/>
    <w:rsid w:val="00990420"/>
    <w:rsid w:val="00992C86"/>
    <w:rsid w:val="00995228"/>
    <w:rsid w:val="00996D62"/>
    <w:rsid w:val="0099777A"/>
    <w:rsid w:val="009A4192"/>
    <w:rsid w:val="009B0296"/>
    <w:rsid w:val="009B2D34"/>
    <w:rsid w:val="009B568A"/>
    <w:rsid w:val="009B5E8D"/>
    <w:rsid w:val="009B6AD4"/>
    <w:rsid w:val="009C10DE"/>
    <w:rsid w:val="009C1A7F"/>
    <w:rsid w:val="009C1FAC"/>
    <w:rsid w:val="009C248F"/>
    <w:rsid w:val="009C4A7C"/>
    <w:rsid w:val="009D20EE"/>
    <w:rsid w:val="009D477A"/>
    <w:rsid w:val="009E07EA"/>
    <w:rsid w:val="009E52FE"/>
    <w:rsid w:val="009E5AED"/>
    <w:rsid w:val="009F0C39"/>
    <w:rsid w:val="009F2C95"/>
    <w:rsid w:val="009F432D"/>
    <w:rsid w:val="009F5DCD"/>
    <w:rsid w:val="00A01C66"/>
    <w:rsid w:val="00A046BC"/>
    <w:rsid w:val="00A052E1"/>
    <w:rsid w:val="00A06C7B"/>
    <w:rsid w:val="00A078D9"/>
    <w:rsid w:val="00A10160"/>
    <w:rsid w:val="00A12C68"/>
    <w:rsid w:val="00A13403"/>
    <w:rsid w:val="00A14D62"/>
    <w:rsid w:val="00A17B75"/>
    <w:rsid w:val="00A20BF2"/>
    <w:rsid w:val="00A20F4D"/>
    <w:rsid w:val="00A21B1D"/>
    <w:rsid w:val="00A2274E"/>
    <w:rsid w:val="00A22AE3"/>
    <w:rsid w:val="00A24F07"/>
    <w:rsid w:val="00A25BCC"/>
    <w:rsid w:val="00A2725B"/>
    <w:rsid w:val="00A31B9D"/>
    <w:rsid w:val="00A347BE"/>
    <w:rsid w:val="00A351AF"/>
    <w:rsid w:val="00A3747C"/>
    <w:rsid w:val="00A40009"/>
    <w:rsid w:val="00A401B6"/>
    <w:rsid w:val="00A43C45"/>
    <w:rsid w:val="00A442B3"/>
    <w:rsid w:val="00A46D5A"/>
    <w:rsid w:val="00A50D60"/>
    <w:rsid w:val="00A5152A"/>
    <w:rsid w:val="00A51DD3"/>
    <w:rsid w:val="00A53EA3"/>
    <w:rsid w:val="00A54DAE"/>
    <w:rsid w:val="00A54E2F"/>
    <w:rsid w:val="00A55368"/>
    <w:rsid w:val="00A64E6C"/>
    <w:rsid w:val="00A712E5"/>
    <w:rsid w:val="00A74FD1"/>
    <w:rsid w:val="00A75B89"/>
    <w:rsid w:val="00A82769"/>
    <w:rsid w:val="00A83212"/>
    <w:rsid w:val="00A834E0"/>
    <w:rsid w:val="00A8777B"/>
    <w:rsid w:val="00A973E6"/>
    <w:rsid w:val="00AA2D31"/>
    <w:rsid w:val="00AB08AB"/>
    <w:rsid w:val="00AB39A1"/>
    <w:rsid w:val="00AB62B7"/>
    <w:rsid w:val="00AC2C52"/>
    <w:rsid w:val="00AC3B9A"/>
    <w:rsid w:val="00AD0EFB"/>
    <w:rsid w:val="00AD1128"/>
    <w:rsid w:val="00AD32C3"/>
    <w:rsid w:val="00AD5A8D"/>
    <w:rsid w:val="00AD6E67"/>
    <w:rsid w:val="00AE0AD7"/>
    <w:rsid w:val="00AE18EF"/>
    <w:rsid w:val="00AE7108"/>
    <w:rsid w:val="00AF00DD"/>
    <w:rsid w:val="00AF294A"/>
    <w:rsid w:val="00AF46D8"/>
    <w:rsid w:val="00AF5E21"/>
    <w:rsid w:val="00AF729B"/>
    <w:rsid w:val="00B00537"/>
    <w:rsid w:val="00B01C09"/>
    <w:rsid w:val="00B05126"/>
    <w:rsid w:val="00B05C18"/>
    <w:rsid w:val="00B0656E"/>
    <w:rsid w:val="00B06B96"/>
    <w:rsid w:val="00B07320"/>
    <w:rsid w:val="00B118C9"/>
    <w:rsid w:val="00B14A1C"/>
    <w:rsid w:val="00B174C4"/>
    <w:rsid w:val="00B20EEF"/>
    <w:rsid w:val="00B2209C"/>
    <w:rsid w:val="00B22D84"/>
    <w:rsid w:val="00B23148"/>
    <w:rsid w:val="00B23B3B"/>
    <w:rsid w:val="00B31673"/>
    <w:rsid w:val="00B33B13"/>
    <w:rsid w:val="00B343AC"/>
    <w:rsid w:val="00B433B3"/>
    <w:rsid w:val="00B43C10"/>
    <w:rsid w:val="00B45E97"/>
    <w:rsid w:val="00B46D07"/>
    <w:rsid w:val="00B52B10"/>
    <w:rsid w:val="00B537BB"/>
    <w:rsid w:val="00B562C6"/>
    <w:rsid w:val="00B571CC"/>
    <w:rsid w:val="00B67B16"/>
    <w:rsid w:val="00B67DC6"/>
    <w:rsid w:val="00B72758"/>
    <w:rsid w:val="00B74143"/>
    <w:rsid w:val="00B74A5B"/>
    <w:rsid w:val="00B74D83"/>
    <w:rsid w:val="00B763F9"/>
    <w:rsid w:val="00B8054F"/>
    <w:rsid w:val="00B83DE9"/>
    <w:rsid w:val="00B853C4"/>
    <w:rsid w:val="00B90D66"/>
    <w:rsid w:val="00B925F0"/>
    <w:rsid w:val="00B9437D"/>
    <w:rsid w:val="00B95B5B"/>
    <w:rsid w:val="00B95C38"/>
    <w:rsid w:val="00B95CF3"/>
    <w:rsid w:val="00BA17C7"/>
    <w:rsid w:val="00BA2A35"/>
    <w:rsid w:val="00BA3DFC"/>
    <w:rsid w:val="00BA5854"/>
    <w:rsid w:val="00BA5D4B"/>
    <w:rsid w:val="00BB1862"/>
    <w:rsid w:val="00BB65F1"/>
    <w:rsid w:val="00BC1775"/>
    <w:rsid w:val="00BC272F"/>
    <w:rsid w:val="00BC6D13"/>
    <w:rsid w:val="00BD0AF7"/>
    <w:rsid w:val="00BD1AD4"/>
    <w:rsid w:val="00BD2E93"/>
    <w:rsid w:val="00BE0727"/>
    <w:rsid w:val="00BE1877"/>
    <w:rsid w:val="00BE238D"/>
    <w:rsid w:val="00BE32D8"/>
    <w:rsid w:val="00BE407E"/>
    <w:rsid w:val="00BE5391"/>
    <w:rsid w:val="00BE748D"/>
    <w:rsid w:val="00BF067A"/>
    <w:rsid w:val="00BF1F51"/>
    <w:rsid w:val="00BF23AB"/>
    <w:rsid w:val="00BF5C03"/>
    <w:rsid w:val="00BF6216"/>
    <w:rsid w:val="00C0003D"/>
    <w:rsid w:val="00C011AE"/>
    <w:rsid w:val="00C01CC6"/>
    <w:rsid w:val="00C03F27"/>
    <w:rsid w:val="00C07255"/>
    <w:rsid w:val="00C157AC"/>
    <w:rsid w:val="00C16891"/>
    <w:rsid w:val="00C241F5"/>
    <w:rsid w:val="00C250B4"/>
    <w:rsid w:val="00C317B0"/>
    <w:rsid w:val="00C3347A"/>
    <w:rsid w:val="00C35BE0"/>
    <w:rsid w:val="00C37CB3"/>
    <w:rsid w:val="00C46B6B"/>
    <w:rsid w:val="00C47007"/>
    <w:rsid w:val="00C50821"/>
    <w:rsid w:val="00C62522"/>
    <w:rsid w:val="00C625C9"/>
    <w:rsid w:val="00C720BE"/>
    <w:rsid w:val="00C7445A"/>
    <w:rsid w:val="00C747A5"/>
    <w:rsid w:val="00C817F1"/>
    <w:rsid w:val="00C85C4D"/>
    <w:rsid w:val="00C90B8D"/>
    <w:rsid w:val="00C92D7F"/>
    <w:rsid w:val="00C952E3"/>
    <w:rsid w:val="00CA449F"/>
    <w:rsid w:val="00CA5753"/>
    <w:rsid w:val="00CA5ACD"/>
    <w:rsid w:val="00CA60B4"/>
    <w:rsid w:val="00CA73B9"/>
    <w:rsid w:val="00CB078E"/>
    <w:rsid w:val="00CB1B02"/>
    <w:rsid w:val="00CB2375"/>
    <w:rsid w:val="00CB2738"/>
    <w:rsid w:val="00CB550C"/>
    <w:rsid w:val="00CB5B71"/>
    <w:rsid w:val="00CB6968"/>
    <w:rsid w:val="00CB7342"/>
    <w:rsid w:val="00CC38D4"/>
    <w:rsid w:val="00CC4A79"/>
    <w:rsid w:val="00CC5431"/>
    <w:rsid w:val="00CC5E3D"/>
    <w:rsid w:val="00CD06F3"/>
    <w:rsid w:val="00CD57FB"/>
    <w:rsid w:val="00CE36D9"/>
    <w:rsid w:val="00CE47AA"/>
    <w:rsid w:val="00CF18B8"/>
    <w:rsid w:val="00CF2922"/>
    <w:rsid w:val="00CF4135"/>
    <w:rsid w:val="00CF47C3"/>
    <w:rsid w:val="00CF5712"/>
    <w:rsid w:val="00CF6ED5"/>
    <w:rsid w:val="00D010EE"/>
    <w:rsid w:val="00D03D9D"/>
    <w:rsid w:val="00D07A2D"/>
    <w:rsid w:val="00D07E3F"/>
    <w:rsid w:val="00D11018"/>
    <w:rsid w:val="00D13370"/>
    <w:rsid w:val="00D1550F"/>
    <w:rsid w:val="00D1695B"/>
    <w:rsid w:val="00D20813"/>
    <w:rsid w:val="00D2387C"/>
    <w:rsid w:val="00D27EF5"/>
    <w:rsid w:val="00D32732"/>
    <w:rsid w:val="00D34FC1"/>
    <w:rsid w:val="00D35304"/>
    <w:rsid w:val="00D436CE"/>
    <w:rsid w:val="00D52BA0"/>
    <w:rsid w:val="00D61223"/>
    <w:rsid w:val="00D619F2"/>
    <w:rsid w:val="00D638D6"/>
    <w:rsid w:val="00D6698B"/>
    <w:rsid w:val="00D6704E"/>
    <w:rsid w:val="00D67AF7"/>
    <w:rsid w:val="00D71411"/>
    <w:rsid w:val="00D71D87"/>
    <w:rsid w:val="00D74F4C"/>
    <w:rsid w:val="00D7630C"/>
    <w:rsid w:val="00D77338"/>
    <w:rsid w:val="00D81DC0"/>
    <w:rsid w:val="00D86B41"/>
    <w:rsid w:val="00D9329F"/>
    <w:rsid w:val="00D95C7B"/>
    <w:rsid w:val="00D95EAF"/>
    <w:rsid w:val="00DA0A53"/>
    <w:rsid w:val="00DA59C6"/>
    <w:rsid w:val="00DA6B55"/>
    <w:rsid w:val="00DA70D5"/>
    <w:rsid w:val="00DB0DFA"/>
    <w:rsid w:val="00DB40A9"/>
    <w:rsid w:val="00DB7912"/>
    <w:rsid w:val="00DC217D"/>
    <w:rsid w:val="00DD0D3B"/>
    <w:rsid w:val="00DD2023"/>
    <w:rsid w:val="00DD33F3"/>
    <w:rsid w:val="00DD74A7"/>
    <w:rsid w:val="00DE3012"/>
    <w:rsid w:val="00DE7086"/>
    <w:rsid w:val="00DF1FE2"/>
    <w:rsid w:val="00DF60BF"/>
    <w:rsid w:val="00DF7B0D"/>
    <w:rsid w:val="00E0039D"/>
    <w:rsid w:val="00E0107D"/>
    <w:rsid w:val="00E051F2"/>
    <w:rsid w:val="00E058C3"/>
    <w:rsid w:val="00E116D5"/>
    <w:rsid w:val="00E134DD"/>
    <w:rsid w:val="00E149C3"/>
    <w:rsid w:val="00E15978"/>
    <w:rsid w:val="00E169C2"/>
    <w:rsid w:val="00E20F56"/>
    <w:rsid w:val="00E238A3"/>
    <w:rsid w:val="00E31E65"/>
    <w:rsid w:val="00E33246"/>
    <w:rsid w:val="00E36DE4"/>
    <w:rsid w:val="00E41F84"/>
    <w:rsid w:val="00E50200"/>
    <w:rsid w:val="00E526AC"/>
    <w:rsid w:val="00E5369E"/>
    <w:rsid w:val="00E54B93"/>
    <w:rsid w:val="00E551F8"/>
    <w:rsid w:val="00E563CC"/>
    <w:rsid w:val="00E57F73"/>
    <w:rsid w:val="00E60B0D"/>
    <w:rsid w:val="00E6245C"/>
    <w:rsid w:val="00E6393E"/>
    <w:rsid w:val="00E65F3A"/>
    <w:rsid w:val="00E65FE5"/>
    <w:rsid w:val="00E70A2C"/>
    <w:rsid w:val="00E7343C"/>
    <w:rsid w:val="00E755E9"/>
    <w:rsid w:val="00E75734"/>
    <w:rsid w:val="00E8058E"/>
    <w:rsid w:val="00E83747"/>
    <w:rsid w:val="00E8ED88"/>
    <w:rsid w:val="00E962F0"/>
    <w:rsid w:val="00EA0B7E"/>
    <w:rsid w:val="00EA46F1"/>
    <w:rsid w:val="00EA4750"/>
    <w:rsid w:val="00EB05F0"/>
    <w:rsid w:val="00EB23AF"/>
    <w:rsid w:val="00EB3C75"/>
    <w:rsid w:val="00EB6617"/>
    <w:rsid w:val="00EC1438"/>
    <w:rsid w:val="00EC6B5A"/>
    <w:rsid w:val="00EC75BC"/>
    <w:rsid w:val="00ED175E"/>
    <w:rsid w:val="00ED2D0B"/>
    <w:rsid w:val="00EE2688"/>
    <w:rsid w:val="00EE2A44"/>
    <w:rsid w:val="00EE3F8B"/>
    <w:rsid w:val="00EE4821"/>
    <w:rsid w:val="00EE4A26"/>
    <w:rsid w:val="00EF2498"/>
    <w:rsid w:val="00EF7AB0"/>
    <w:rsid w:val="00F02983"/>
    <w:rsid w:val="00F04CCB"/>
    <w:rsid w:val="00F119D5"/>
    <w:rsid w:val="00F13AFD"/>
    <w:rsid w:val="00F15415"/>
    <w:rsid w:val="00F16B4E"/>
    <w:rsid w:val="00F207D7"/>
    <w:rsid w:val="00F20C44"/>
    <w:rsid w:val="00F2417A"/>
    <w:rsid w:val="00F26355"/>
    <w:rsid w:val="00F27CF7"/>
    <w:rsid w:val="00F30578"/>
    <w:rsid w:val="00F3148D"/>
    <w:rsid w:val="00F40315"/>
    <w:rsid w:val="00F41E4B"/>
    <w:rsid w:val="00F47899"/>
    <w:rsid w:val="00F52012"/>
    <w:rsid w:val="00F52BBE"/>
    <w:rsid w:val="00F52F38"/>
    <w:rsid w:val="00F53457"/>
    <w:rsid w:val="00F575B2"/>
    <w:rsid w:val="00F630AF"/>
    <w:rsid w:val="00F64A46"/>
    <w:rsid w:val="00F6785A"/>
    <w:rsid w:val="00F7000B"/>
    <w:rsid w:val="00F7169C"/>
    <w:rsid w:val="00F73B2D"/>
    <w:rsid w:val="00F747B8"/>
    <w:rsid w:val="00F75FF4"/>
    <w:rsid w:val="00F80299"/>
    <w:rsid w:val="00F85704"/>
    <w:rsid w:val="00F90A09"/>
    <w:rsid w:val="00F90ADE"/>
    <w:rsid w:val="00F917E3"/>
    <w:rsid w:val="00F95183"/>
    <w:rsid w:val="00F96878"/>
    <w:rsid w:val="00FA346A"/>
    <w:rsid w:val="00FA4DC5"/>
    <w:rsid w:val="00FA65BD"/>
    <w:rsid w:val="00FA6981"/>
    <w:rsid w:val="00FB11B0"/>
    <w:rsid w:val="00FB2A98"/>
    <w:rsid w:val="00FD080A"/>
    <w:rsid w:val="00FD2B7C"/>
    <w:rsid w:val="00FD2BA7"/>
    <w:rsid w:val="00FE244D"/>
    <w:rsid w:val="00FE3A40"/>
    <w:rsid w:val="00FE565F"/>
    <w:rsid w:val="00FE56FB"/>
    <w:rsid w:val="00FE7F08"/>
    <w:rsid w:val="00FF39CF"/>
    <w:rsid w:val="00FF3C0B"/>
    <w:rsid w:val="00FF3FC5"/>
    <w:rsid w:val="013B84A5"/>
    <w:rsid w:val="01413D70"/>
    <w:rsid w:val="01D356A5"/>
    <w:rsid w:val="02625461"/>
    <w:rsid w:val="05408E1F"/>
    <w:rsid w:val="056D82E4"/>
    <w:rsid w:val="07519B34"/>
    <w:rsid w:val="07C23E13"/>
    <w:rsid w:val="07F1E7FF"/>
    <w:rsid w:val="08DC62EB"/>
    <w:rsid w:val="08EFB100"/>
    <w:rsid w:val="09523E09"/>
    <w:rsid w:val="0A1AE5B6"/>
    <w:rsid w:val="0B35E068"/>
    <w:rsid w:val="0DD215A7"/>
    <w:rsid w:val="0F6D8C65"/>
    <w:rsid w:val="10BF8067"/>
    <w:rsid w:val="10F6C27A"/>
    <w:rsid w:val="11E70744"/>
    <w:rsid w:val="120D9463"/>
    <w:rsid w:val="1262B2AF"/>
    <w:rsid w:val="1423AAE8"/>
    <w:rsid w:val="146B3AE3"/>
    <w:rsid w:val="18053877"/>
    <w:rsid w:val="18883218"/>
    <w:rsid w:val="189E7D9E"/>
    <w:rsid w:val="19533B97"/>
    <w:rsid w:val="196E9FE0"/>
    <w:rsid w:val="19D57995"/>
    <w:rsid w:val="19DA744D"/>
    <w:rsid w:val="1A2AA8FA"/>
    <w:rsid w:val="1B795021"/>
    <w:rsid w:val="1C6B78C4"/>
    <w:rsid w:val="1C73362D"/>
    <w:rsid w:val="1CAD5ACC"/>
    <w:rsid w:val="1CB771A4"/>
    <w:rsid w:val="1CF0A077"/>
    <w:rsid w:val="1D46B23B"/>
    <w:rsid w:val="2070A415"/>
    <w:rsid w:val="213BF7DA"/>
    <w:rsid w:val="22B9A46D"/>
    <w:rsid w:val="2302A957"/>
    <w:rsid w:val="233363D9"/>
    <w:rsid w:val="233373D3"/>
    <w:rsid w:val="23467293"/>
    <w:rsid w:val="23510E3A"/>
    <w:rsid w:val="249861BA"/>
    <w:rsid w:val="2623F259"/>
    <w:rsid w:val="275CCBF5"/>
    <w:rsid w:val="27F1EB4F"/>
    <w:rsid w:val="288223BB"/>
    <w:rsid w:val="289370FB"/>
    <w:rsid w:val="28B7FB2F"/>
    <w:rsid w:val="28FE18F9"/>
    <w:rsid w:val="290D1EDB"/>
    <w:rsid w:val="29370BD1"/>
    <w:rsid w:val="2B05D76F"/>
    <w:rsid w:val="2BAFD331"/>
    <w:rsid w:val="2CE1F35B"/>
    <w:rsid w:val="2E647F84"/>
    <w:rsid w:val="2E6FE200"/>
    <w:rsid w:val="30B5B304"/>
    <w:rsid w:val="32ACF454"/>
    <w:rsid w:val="32BEEA59"/>
    <w:rsid w:val="32F77CD3"/>
    <w:rsid w:val="34625D90"/>
    <w:rsid w:val="3477D0FC"/>
    <w:rsid w:val="358513B0"/>
    <w:rsid w:val="35A791F3"/>
    <w:rsid w:val="36041D0D"/>
    <w:rsid w:val="38952C65"/>
    <w:rsid w:val="3AEB787F"/>
    <w:rsid w:val="3B71FEFF"/>
    <w:rsid w:val="3B814418"/>
    <w:rsid w:val="3C55444D"/>
    <w:rsid w:val="3E04BBA4"/>
    <w:rsid w:val="403D7719"/>
    <w:rsid w:val="40778391"/>
    <w:rsid w:val="408D300E"/>
    <w:rsid w:val="42C822F7"/>
    <w:rsid w:val="43CC5036"/>
    <w:rsid w:val="447D6E89"/>
    <w:rsid w:val="45AD0C63"/>
    <w:rsid w:val="464F60F4"/>
    <w:rsid w:val="4665EE15"/>
    <w:rsid w:val="46D5B738"/>
    <w:rsid w:val="479A15F6"/>
    <w:rsid w:val="483519E9"/>
    <w:rsid w:val="498E8B5E"/>
    <w:rsid w:val="49C2934A"/>
    <w:rsid w:val="4A7B4CD7"/>
    <w:rsid w:val="4A99BB52"/>
    <w:rsid w:val="4AA4843E"/>
    <w:rsid w:val="4B815425"/>
    <w:rsid w:val="4D31D380"/>
    <w:rsid w:val="4D9652DD"/>
    <w:rsid w:val="4F26F182"/>
    <w:rsid w:val="4FAB8FC9"/>
    <w:rsid w:val="52D0073A"/>
    <w:rsid w:val="53C05B85"/>
    <w:rsid w:val="5413BEAF"/>
    <w:rsid w:val="5472A75C"/>
    <w:rsid w:val="54FDD5F3"/>
    <w:rsid w:val="5560C346"/>
    <w:rsid w:val="572F68B2"/>
    <w:rsid w:val="59FAB742"/>
    <w:rsid w:val="5BFCB9EF"/>
    <w:rsid w:val="5C5C5C33"/>
    <w:rsid w:val="5CE93507"/>
    <w:rsid w:val="5F2D7D4E"/>
    <w:rsid w:val="5F8C5FB7"/>
    <w:rsid w:val="600D332F"/>
    <w:rsid w:val="604AFDFE"/>
    <w:rsid w:val="60BD3E00"/>
    <w:rsid w:val="6132D722"/>
    <w:rsid w:val="61CADC33"/>
    <w:rsid w:val="631B26E4"/>
    <w:rsid w:val="6342336C"/>
    <w:rsid w:val="64A5137A"/>
    <w:rsid w:val="678C2570"/>
    <w:rsid w:val="6822770C"/>
    <w:rsid w:val="692AAA1C"/>
    <w:rsid w:val="6A92FDA4"/>
    <w:rsid w:val="6AE8F3BE"/>
    <w:rsid w:val="6B240C7A"/>
    <w:rsid w:val="6BA4757F"/>
    <w:rsid w:val="6CAF367F"/>
    <w:rsid w:val="6CF76CAA"/>
    <w:rsid w:val="6D1A8FBE"/>
    <w:rsid w:val="6D9DE6E1"/>
    <w:rsid w:val="6E7A3249"/>
    <w:rsid w:val="70B42F30"/>
    <w:rsid w:val="70C088A5"/>
    <w:rsid w:val="71C91DAD"/>
    <w:rsid w:val="72B8FA76"/>
    <w:rsid w:val="73ED03C4"/>
    <w:rsid w:val="755C4854"/>
    <w:rsid w:val="75ACD9C4"/>
    <w:rsid w:val="75E6C8EF"/>
    <w:rsid w:val="77B364E5"/>
    <w:rsid w:val="7851DDCE"/>
    <w:rsid w:val="7AFC26C6"/>
    <w:rsid w:val="7B702D3B"/>
    <w:rsid w:val="7BF14B48"/>
    <w:rsid w:val="7D0BBDA7"/>
    <w:rsid w:val="7D8EACC7"/>
    <w:rsid w:val="7E297FC4"/>
    <w:rsid w:val="7E9AC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9DA5"/>
  <w15:chartTrackingRefBased/>
  <w15:docId w15:val="{05C36473-685E-4119-AE28-FF8CB86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3246AA"/>
    <w:pPr>
      <w:spacing w:after="120" w:line="312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AA"/>
    <w:pPr>
      <w:keepNext/>
      <w:keepLines/>
      <w:spacing w:before="120" w:after="240" w:line="240" w:lineRule="auto"/>
      <w:outlineLvl w:val="0"/>
    </w:pPr>
    <w:rPr>
      <w:rFonts w:asciiTheme="majorHAnsi" w:eastAsiaTheme="majorEastAsia" w:hAnsiTheme="majorHAnsi" w:cstheme="majorBidi"/>
      <w:b/>
      <w:color w:val="0E7482"/>
      <w:sz w:val="48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6AA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olor w:val="0E748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46AA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color w:val="0E7482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A6B55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/>
      <w:iCs/>
      <w:color w:val="0D0D0D" w:themeColor="text1" w:themeShade="8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31B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b/>
      <w:sz w:val="2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31B"/>
    <w:pPr>
      <w:keepNext/>
      <w:keepLines/>
      <w:spacing w:after="80" w:line="240" w:lineRule="auto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E468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D0D0D" w:themeColor="accent1" w:themeShade="80"/>
      <w:sz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E468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D0D0D" w:themeColor="accent1" w:themeShade="80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D0D0D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3246AA"/>
    <w:pPr>
      <w:pBdr>
        <w:top w:val="single" w:sz="8" w:space="2" w:color="auto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color w:val="36335C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6AA"/>
    <w:rPr>
      <w:rFonts w:asciiTheme="majorHAnsi" w:eastAsiaTheme="majorEastAsia" w:hAnsiTheme="majorHAnsi" w:cstheme="majorBidi"/>
      <w:b/>
      <w:color w:val="36335C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A"/>
    <w:pPr>
      <w:numPr>
        <w:ilvl w:val="1"/>
      </w:numPr>
      <w:pBdr>
        <w:bottom w:val="single" w:sz="4" w:space="1" w:color="auto"/>
      </w:pBdr>
      <w:spacing w:before="120" w:line="240" w:lineRule="auto"/>
    </w:pPr>
    <w:rPr>
      <w:rFonts w:eastAsiaTheme="minorEastAsia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246AA"/>
    <w:rPr>
      <w:rFonts w:eastAsiaTheme="minorEastAsia"/>
      <w:b/>
      <w:color w:val="1A1A1A" w:themeColor="text1"/>
      <w:sz w:val="44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246AA"/>
    <w:rPr>
      <w:rFonts w:asciiTheme="majorHAnsi" w:eastAsiaTheme="majorEastAsia" w:hAnsiTheme="majorHAnsi" w:cstheme="majorBidi"/>
      <w:b/>
      <w:color w:val="0E7482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246AA"/>
    <w:rPr>
      <w:rFonts w:asciiTheme="majorHAnsi" w:eastAsiaTheme="majorEastAsia" w:hAnsiTheme="majorHAnsi" w:cstheme="majorBidi"/>
      <w:b/>
      <w:color w:val="0E7482"/>
      <w:sz w:val="36"/>
      <w:szCs w:val="36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qFormat/>
    <w:rsid w:val="00512870"/>
    <w:pPr>
      <w:numPr>
        <w:numId w:val="2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46AA"/>
    <w:rPr>
      <w:rFonts w:asciiTheme="majorHAnsi" w:eastAsiaTheme="majorEastAsia" w:hAnsiTheme="majorHAnsi" w:cstheme="majorBidi"/>
      <w:b/>
      <w:color w:val="0E748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4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6B55"/>
    <w:rPr>
      <w:rFonts w:asciiTheme="majorHAnsi" w:eastAsiaTheme="majorEastAsia" w:hAnsiTheme="majorHAnsi" w:cstheme="majorBidi"/>
      <w:b/>
      <w:iCs/>
      <w:color w:val="0D0D0D" w:themeColor="text1" w:themeShade="8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8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37393B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3246AA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3246AA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59331B"/>
    <w:pPr>
      <w:tabs>
        <w:tab w:val="center" w:pos="4513"/>
        <w:tab w:val="right" w:pos="9026"/>
      </w:tabs>
      <w:spacing w:after="0" w:line="240" w:lineRule="auto"/>
    </w:pPr>
    <w:rPr>
      <w:color w:val="1A1A1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331B"/>
    <w:rPr>
      <w:color w:val="1A1A1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7E468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4689"/>
    <w:rPr>
      <w:color w:val="1A1A1A" w:themeColor="text1"/>
      <w:sz w:val="16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E4689"/>
    <w:rPr>
      <w:color w:val="0D0D0D" w:themeColor="accent1" w:themeShade="80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3246AA"/>
    <w:pPr>
      <w:numPr>
        <w:numId w:val="5"/>
      </w:numPr>
      <w:spacing w:after="120" w:line="312" w:lineRule="auto"/>
      <w:ind w:left="568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3246AA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3246AA"/>
    <w:pPr>
      <w:numPr>
        <w:numId w:val="35"/>
      </w:numPr>
      <w:spacing w:after="120" w:line="312" w:lineRule="auto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3246AA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qFormat/>
    <w:rsid w:val="00DA6B55"/>
    <w:pPr>
      <w:numPr>
        <w:numId w:val="7"/>
      </w:numPr>
      <w:ind w:left="1078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CE372F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B20EEF"/>
    <w:pPr>
      <w:spacing w:after="0" w:line="240" w:lineRule="auto"/>
    </w:pPr>
    <w:rPr>
      <w:rFonts w:eastAsiaTheme="majorEastAsia" w:cstheme="majorBidi"/>
      <w:b/>
      <w:iCs/>
      <w:noProof/>
      <w:color w:val="1A1A1A" w:themeColor="text1"/>
      <w:sz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7E4689"/>
    <w:rPr>
      <w:rFonts w:asciiTheme="majorHAnsi" w:eastAsiaTheme="majorEastAsia" w:hAnsiTheme="majorHAnsi" w:cstheme="majorBidi"/>
      <w:b/>
      <w:color w:val="0D0D0D" w:themeColor="accent1" w:themeShade="80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2D4B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0D0D0D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1A1A1A" w:themeColor="accent1"/>
        <w:bottom w:val="single" w:sz="4" w:space="6" w:color="1A1A1A" w:themeColor="accent1"/>
      </w:pBdr>
      <w:spacing w:before="240" w:after="240"/>
      <w:ind w:left="851" w:right="851"/>
    </w:pPr>
    <w:rPr>
      <w:iCs/>
      <w:color w:val="0D0D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0D0D0D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0D0D0D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DA6B55"/>
    <w:pPr>
      <w:numPr>
        <w:ilvl w:val="1"/>
        <w:numId w:val="13"/>
      </w:numPr>
      <w:ind w:left="1134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3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3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4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6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37393B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37393B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37393B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7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7E4689"/>
    <w:pPr>
      <w:jc w:val="center"/>
    </w:pPr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paragraph" w:customStyle="1" w:styleId="paragraph">
    <w:name w:val="paragraph"/>
    <w:basedOn w:val="Normal"/>
    <w:rsid w:val="008D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8D22DE"/>
  </w:style>
  <w:style w:type="character" w:customStyle="1" w:styleId="eop">
    <w:name w:val="eop"/>
    <w:basedOn w:val="DefaultParagraphFont"/>
    <w:rsid w:val="008D22DE"/>
  </w:style>
  <w:style w:type="character" w:styleId="CommentReference">
    <w:name w:val="annotation reference"/>
    <w:basedOn w:val="DefaultParagraphFont"/>
    <w:uiPriority w:val="99"/>
    <w:semiHidden/>
    <w:unhideWhenUsed/>
    <w:rsid w:val="00D71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411"/>
    <w:rPr>
      <w:color w:val="1A1A1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411"/>
    <w:rPr>
      <w:b/>
      <w:bCs/>
      <w:color w:val="1A1A1A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1411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3C75"/>
  </w:style>
  <w:style w:type="paragraph" w:styleId="Revision">
    <w:name w:val="Revision"/>
    <w:hidden/>
    <w:uiPriority w:val="99"/>
    <w:semiHidden/>
    <w:rsid w:val="00892274"/>
    <w:pPr>
      <w:spacing w:after="0" w:line="240" w:lineRule="auto"/>
    </w:pPr>
    <w:rPr>
      <w:color w:val="1A1A1A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sability@dpac.tas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pac.tas.gov.au/divisions/cpp/community-and-disability-services/disability-inclusion-and-safeguarding-act-202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tas.gov.au/view/whole/html/asmade/act-2024-021?query=((PrintType%3D%22act.reprint%22+AND+Amending%3C%3E%22pure%22+AND+PitValid%3D%40pointInTime(20250528000000))+OR+(PrintType%3D%22act.reprint%22+AND+Amending%3D%22pure%22+AND+PitValid%3D%40pointInTime(20250528000000))+OR+(PrintType%3D%22reprint%22+AND+Amending%3C%3E%22pure%22+AND+PitValid%3D%40pointInTime(20250528000000))+OR+(PrintType%3D%22reprint%22+AND+Amending%3D%22pure%22+AND+PitValid%3D%40pointInTime(20250528000000)))+AND+Title%3D(%22disability%22+AND+%22rights%22+AND+%22inclusion%22+AND+%22and%22+AND+%22safeguarding%22+AND+%22act%22)&amp;dQuery=Document+Types%3D%22%3Cspan+class%3D%27dq-highlight%27%3E+Acts+As+Made%3C%2Fspan%3E%2C+%3Cspan+class%3D%27dq-highlight%27%3EAmending+Acts+As+Made%3C%2Fspan%3E%2C+%3Cspan+class%3D%27dq-highlight%27%3E+SRs+As+Made%3C%2Fspan%3E%2C+%3Cspan+class%3D%27dq-highlight%27%3EAmending+SRs+As+Made%3C%2Fspan%3E%22%2C+Search+In%3D%22%3Cspan+class%3D%27dq-highlight%27%3ETitle%3C%2Fspan%3E%22%2C+All+Words%3D%22%3Cspan+class%3D%27dq-highlight%27%3Edisability+rights+inclusion+and+safeguarding+act%3C%2Fspan%3E%22%2C+Point+In+Time%3D%22%3Cspan+class%3D%27dq-highlight%27%3E28%2F05%2F2025%3C%2Fspan%3E%22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legislation.tas.gov.au/view/whole/html/asmade/act-2024-021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333333"/>
      </a:dk2>
      <a:lt2>
        <a:srgbClr val="E4E5E6"/>
      </a:lt2>
      <a:accent1>
        <a:srgbClr val="1A1A1A"/>
      </a:accent1>
      <a:accent2>
        <a:srgbClr val="005A96"/>
      </a:accent2>
      <a:accent3>
        <a:srgbClr val="535353"/>
      </a:accent3>
      <a:accent4>
        <a:srgbClr val="8C8C8C"/>
      </a:accent4>
      <a:accent5>
        <a:srgbClr val="20416F"/>
      </a:accent5>
      <a:accent6>
        <a:srgbClr val="6A96D3"/>
      </a:accent6>
      <a:hlink>
        <a:srgbClr val="2B5794"/>
      </a:hlink>
      <a:folHlink>
        <a:srgbClr val="CE372F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60bf1eb1979a2e87218753c16f251c8d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e2b2e0b7bf71b2d49249570890cf95f8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FFAA3-ACFF-4995-A9AA-F58B9A52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53F8F-2E39-4846-81CB-8C8485E8F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C5C96-05CF-4272-9427-633179B2438F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1827</Words>
  <Characters>9886</Characters>
  <Application>Microsoft Office Word</Application>
  <DocSecurity>0</DocSecurity>
  <Lines>183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 Beek, Haylee</cp:lastModifiedBy>
  <cp:revision>3</cp:revision>
  <cp:lastPrinted>2025-07-06T23:22:00Z</cp:lastPrinted>
  <dcterms:created xsi:type="dcterms:W3CDTF">2025-10-07T05:26:00Z</dcterms:created>
  <dcterms:modified xsi:type="dcterms:W3CDTF">2025-10-07T05:28:00Z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437fb5ca,54db350e,1decd972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f8890b3,1b39a184,298380ac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2025-10-07T05:26:52Z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b3518843-c64c-40d2-a072-1b194bc9422a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