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3E6" w:rsidRDefault="00B203E6" w:rsidP="00C36501">
      <w:pPr>
        <w:pStyle w:val="Heading1"/>
      </w:pPr>
    </w:p>
    <w:p w:rsidR="00B203E6" w:rsidRDefault="00B203E6" w:rsidP="00C36501">
      <w:pPr>
        <w:pStyle w:val="Heading1"/>
      </w:pPr>
    </w:p>
    <w:p w:rsidR="00B203E6" w:rsidRDefault="00B203E6" w:rsidP="00C36501">
      <w:pPr>
        <w:pStyle w:val="Heading1"/>
      </w:pPr>
    </w:p>
    <w:p w:rsidR="00DA4BF8" w:rsidRDefault="000B193E" w:rsidP="00C36501">
      <w:pPr>
        <w:pStyle w:val="Heading1"/>
      </w:pPr>
      <w:r w:rsidRPr="00BB565B">
        <w:t xml:space="preserve">Tasmanian Government </w:t>
      </w:r>
      <w:r w:rsidR="00B87C4D">
        <w:t>and</w:t>
      </w:r>
      <w:r w:rsidRPr="00BB565B">
        <w:t xml:space="preserve"> Neighbourhood Houses </w:t>
      </w:r>
    </w:p>
    <w:p w:rsidR="006012BC" w:rsidRDefault="00DA4BF8" w:rsidP="00C36501">
      <w:pPr>
        <w:pStyle w:val="Heading1"/>
      </w:pPr>
      <w:r>
        <w:t>Shared Commitment to Collaboration</w:t>
      </w:r>
    </w:p>
    <w:p w:rsidR="00DA4BF8" w:rsidRPr="00DA4BF8" w:rsidRDefault="00DA4BF8" w:rsidP="00C36501">
      <w:r w:rsidRPr="00DA4BF8">
        <w:t>A protocol for working together for the benefit of local communities</w:t>
      </w:r>
    </w:p>
    <w:p w:rsidR="00B203E6" w:rsidRDefault="00B203E6" w:rsidP="00C36501"/>
    <w:p w:rsidR="00B203E6" w:rsidRDefault="00B203E6" w:rsidP="00C36501">
      <w:r>
        <w:br w:type="page"/>
      </w:r>
    </w:p>
    <w:p w:rsidR="00D00826" w:rsidRDefault="00D00826" w:rsidP="00C36501">
      <w:pPr>
        <w:pStyle w:val="Heading2"/>
      </w:pPr>
      <w:r>
        <w:lastRenderedPageBreak/>
        <w:t>Minister for Human Services’ Foreword</w:t>
      </w:r>
    </w:p>
    <w:p w:rsidR="00585F5E" w:rsidRPr="00286001" w:rsidRDefault="00585F5E" w:rsidP="00C36501">
      <w:r w:rsidRPr="00286001">
        <w:t xml:space="preserve">Tasmania’s Neighbourhood Houses are the heart of our local communities. </w:t>
      </w:r>
      <w:r>
        <w:t>The Houses are open to everyone and play</w:t>
      </w:r>
      <w:r w:rsidRPr="00D02185">
        <w:t xml:space="preserve"> a fundamental role </w:t>
      </w:r>
      <w:r>
        <w:t>in connecting people to their communities by creating</w:t>
      </w:r>
      <w:r w:rsidRPr="00286001">
        <w:t xml:space="preserve"> supportive environments</w:t>
      </w:r>
      <w:r>
        <w:t xml:space="preserve"> that enrich the lives of</w:t>
      </w:r>
      <w:r w:rsidRPr="00286001">
        <w:t xml:space="preserve"> individuals</w:t>
      </w:r>
      <w:r>
        <w:t xml:space="preserve"> </w:t>
      </w:r>
      <w:r w:rsidRPr="00286001">
        <w:t xml:space="preserve">and families. </w:t>
      </w:r>
    </w:p>
    <w:p w:rsidR="00585F5E" w:rsidRPr="00286001" w:rsidRDefault="00585F5E" w:rsidP="00C36501">
      <w:r w:rsidRPr="00286001">
        <w:t xml:space="preserve">The Tasmanian Government proudly funds 34 Neighbourhood Houses across the State, </w:t>
      </w:r>
      <w:r>
        <w:t>as well as</w:t>
      </w:r>
      <w:r w:rsidRPr="00286001">
        <w:t xml:space="preserve"> the peak body, Neighbourhood Houses Tasmania. </w:t>
      </w:r>
    </w:p>
    <w:p w:rsidR="00585F5E" w:rsidRDefault="00585F5E" w:rsidP="00C36501">
      <w:r>
        <w:t>This Protocol recognises</w:t>
      </w:r>
      <w:r w:rsidRPr="00286001">
        <w:t xml:space="preserve"> the value of Tasmanian Government staff working with Neighbourhood Houses to understand community needs and views, deliver activities and programs and build community </w:t>
      </w:r>
      <w:r>
        <w:t xml:space="preserve">and individual </w:t>
      </w:r>
      <w:r w:rsidRPr="00286001">
        <w:t xml:space="preserve">capacity. </w:t>
      </w:r>
    </w:p>
    <w:p w:rsidR="00585F5E" w:rsidRPr="00AB115F" w:rsidRDefault="00585F5E" w:rsidP="00C36501">
      <w:r>
        <w:t>It commits us to</w:t>
      </w:r>
      <w:r w:rsidRPr="00D02185">
        <w:t xml:space="preserve"> working together to build and strengthen local partnerships</w:t>
      </w:r>
      <w:r>
        <w:t>;</w:t>
      </w:r>
      <w:r w:rsidRPr="00D02185">
        <w:t xml:space="preserve"> to ensure services are accessible to </w:t>
      </w:r>
      <w:r>
        <w:t xml:space="preserve">all, </w:t>
      </w:r>
      <w:r w:rsidRPr="00D02185">
        <w:t xml:space="preserve">adapted to meet </w:t>
      </w:r>
      <w:r>
        <w:t xml:space="preserve">local requirements </w:t>
      </w:r>
      <w:r w:rsidRPr="00D02185">
        <w:t>and integrated</w:t>
      </w:r>
      <w:r>
        <w:t>,</w:t>
      </w:r>
      <w:r w:rsidRPr="00D02185">
        <w:t xml:space="preserve"> so </w:t>
      </w:r>
      <w:r>
        <w:t xml:space="preserve">that </w:t>
      </w:r>
      <w:r w:rsidRPr="00D02185">
        <w:t xml:space="preserve">resources are </w:t>
      </w:r>
      <w:r>
        <w:t>available</w:t>
      </w:r>
      <w:r w:rsidRPr="00D02185">
        <w:t xml:space="preserve"> to the people and places wh</w:t>
      </w:r>
      <w:r>
        <w:t>ere they are most needed</w:t>
      </w:r>
      <w:r w:rsidRPr="00D02185">
        <w:t>.  </w:t>
      </w:r>
    </w:p>
    <w:p w:rsidR="00585F5E" w:rsidRPr="00286001" w:rsidRDefault="00585F5E" w:rsidP="00C36501">
      <w:r w:rsidRPr="00286001">
        <w:t>Key issues for collaboration include community development, health, education, transport and policing.</w:t>
      </w:r>
      <w:r>
        <w:t xml:space="preserve"> The P</w:t>
      </w:r>
      <w:r w:rsidRPr="00D02185">
        <w:t xml:space="preserve">rotocol underpins </w:t>
      </w:r>
      <w:r>
        <w:t>the</w:t>
      </w:r>
      <w:r w:rsidRPr="00D02185">
        <w:t xml:space="preserve"> partnership to deliver better outcomes for people</w:t>
      </w:r>
      <w:r w:rsidRPr="00286001">
        <w:t xml:space="preserve"> </w:t>
      </w:r>
      <w:r>
        <w:t xml:space="preserve">and </w:t>
      </w:r>
      <w:r w:rsidRPr="00286001">
        <w:t>builds on the cooperation that is already happening in local communities.</w:t>
      </w:r>
      <w:r>
        <w:t xml:space="preserve"> It encourages us to innovate </w:t>
      </w:r>
      <w:r w:rsidRPr="00286001">
        <w:t xml:space="preserve">and continue to look for new ways </w:t>
      </w:r>
      <w:r>
        <w:t xml:space="preserve">of </w:t>
      </w:r>
      <w:r w:rsidRPr="00286001">
        <w:t>work</w:t>
      </w:r>
      <w:r>
        <w:t>ing</w:t>
      </w:r>
      <w:r w:rsidRPr="00286001">
        <w:t xml:space="preserve"> together.</w:t>
      </w:r>
    </w:p>
    <w:p w:rsidR="00585F5E" w:rsidRDefault="00585F5E" w:rsidP="00C36501">
      <w:r w:rsidRPr="00D02185">
        <w:t xml:space="preserve">I </w:t>
      </w:r>
      <w:r>
        <w:t>thank</w:t>
      </w:r>
      <w:r w:rsidRPr="00D02185">
        <w:t xml:space="preserve"> the </w:t>
      </w:r>
      <w:r>
        <w:t>staff and</w:t>
      </w:r>
      <w:r w:rsidRPr="00D02185">
        <w:t xml:space="preserve"> volunteers who </w:t>
      </w:r>
      <w:r>
        <w:t xml:space="preserve">unselfishly </w:t>
      </w:r>
      <w:r w:rsidRPr="00D02185">
        <w:t xml:space="preserve">dedicate their time to </w:t>
      </w:r>
      <w:r>
        <w:t>make</w:t>
      </w:r>
      <w:r w:rsidRPr="00D02185">
        <w:t xml:space="preserve"> a positive and important </w:t>
      </w:r>
      <w:r>
        <w:t>contribution to other people, and their</w:t>
      </w:r>
      <w:r w:rsidRPr="00D02185">
        <w:t xml:space="preserve"> communities.</w:t>
      </w:r>
      <w:r>
        <w:t xml:space="preserve"> Through practical application of this Protocol, I look forward to the</w:t>
      </w:r>
      <w:r w:rsidRPr="00286001">
        <w:t xml:space="preserve"> Tasmanian Government and Neighbourhood Houses </w:t>
      </w:r>
      <w:r>
        <w:t>working more closely togethe</w:t>
      </w:r>
      <w:r w:rsidR="00433D92">
        <w:t xml:space="preserve">r to help </w:t>
      </w:r>
      <w:r>
        <w:t xml:space="preserve">even more Tasmanians participate in, and benefit from, our </w:t>
      </w:r>
      <w:r w:rsidR="00E064EC">
        <w:t>S</w:t>
      </w:r>
      <w:r>
        <w:t>tate’s brighter future.</w:t>
      </w:r>
      <w:r w:rsidRPr="00286001">
        <w:t xml:space="preserve"> </w:t>
      </w:r>
    </w:p>
    <w:p w:rsidR="00E00792" w:rsidRPr="00912455" w:rsidRDefault="00E00792" w:rsidP="00C36501">
      <w:pPr>
        <w:rPr>
          <w:b/>
        </w:rPr>
      </w:pPr>
      <w:r w:rsidRPr="00912455">
        <w:rPr>
          <w:b/>
        </w:rPr>
        <w:t>Roger Jaensch MP</w:t>
      </w:r>
    </w:p>
    <w:p w:rsidR="00E00792" w:rsidRPr="00912455" w:rsidRDefault="00E00792" w:rsidP="00C36501">
      <w:pPr>
        <w:rPr>
          <w:b/>
        </w:rPr>
      </w:pPr>
      <w:r w:rsidRPr="00912455">
        <w:rPr>
          <w:b/>
        </w:rPr>
        <w:t>Minister for Human Services</w:t>
      </w:r>
    </w:p>
    <w:p w:rsidR="00B203E6" w:rsidRDefault="00B203E6" w:rsidP="00C36501">
      <w:pPr>
        <w:pStyle w:val="Heading2"/>
      </w:pPr>
      <w:r>
        <w:t>NHT President’s For</w:t>
      </w:r>
      <w:r w:rsidR="00286001">
        <w:t>e</w:t>
      </w:r>
      <w:r>
        <w:t>w</w:t>
      </w:r>
      <w:r w:rsidR="00286001">
        <w:t>o</w:t>
      </w:r>
      <w:r>
        <w:t>rd</w:t>
      </w:r>
    </w:p>
    <w:p w:rsidR="00F913FB" w:rsidRPr="00F913FB" w:rsidRDefault="00F913FB" w:rsidP="00C36501">
      <w:r w:rsidRPr="00F913FB">
        <w:t>For over 40 years Neighbourhood Houses have provided opportunities for local Tasmanian communities to come together in welcoming, safe space</w:t>
      </w:r>
      <w:r w:rsidR="005A02D4">
        <w:t>s</w:t>
      </w:r>
      <w:r w:rsidRPr="00F913FB">
        <w:t xml:space="preserve"> to work on local needs. </w:t>
      </w:r>
      <w:r w:rsidR="00380146">
        <w:t xml:space="preserve">Neighbourhood </w:t>
      </w:r>
      <w:r w:rsidRPr="00F913FB">
        <w:t>Houses promote belonging and community spirit, reducing social isolation by building connection and relationships.</w:t>
      </w:r>
    </w:p>
    <w:p w:rsidR="00F913FB" w:rsidRPr="00DA4BF8" w:rsidRDefault="00F913FB" w:rsidP="00C36501">
      <w:r w:rsidRPr="00DA4BF8">
        <w:t xml:space="preserve">Community development requires building strong partnerships, including </w:t>
      </w:r>
      <w:r w:rsidR="00592EEA">
        <w:t xml:space="preserve">with </w:t>
      </w:r>
      <w:r w:rsidR="005A02D4">
        <w:t>Tasmania</w:t>
      </w:r>
      <w:r w:rsidR="00CD623F">
        <w:t>n</w:t>
      </w:r>
      <w:r w:rsidR="005A02D4">
        <w:t xml:space="preserve"> G</w:t>
      </w:r>
      <w:r w:rsidR="005A02D4" w:rsidRPr="00DA4BF8">
        <w:t xml:space="preserve">overnment </w:t>
      </w:r>
      <w:r w:rsidRPr="00DA4BF8">
        <w:t xml:space="preserve">agencies that work within our local communities. When Neighbourhood Houses and </w:t>
      </w:r>
      <w:r w:rsidR="00592EEA">
        <w:t xml:space="preserve">agency staff, for example </w:t>
      </w:r>
      <w:r w:rsidRPr="00DA4BF8">
        <w:t>school</w:t>
      </w:r>
      <w:r w:rsidR="00592EEA">
        <w:t xml:space="preserve"> staff</w:t>
      </w:r>
      <w:r w:rsidRPr="00DA4BF8">
        <w:t xml:space="preserve"> or police all work together with a common purpose of creating opportunities and supporting people we can achieve so much more.  This </w:t>
      </w:r>
      <w:r w:rsidR="00355500" w:rsidRPr="00DA4BF8">
        <w:t>P</w:t>
      </w:r>
      <w:r w:rsidRPr="00DA4BF8">
        <w:t>rotocol recognises the significance of the partnership process and inform</w:t>
      </w:r>
      <w:r w:rsidR="008F7570">
        <w:t>s</w:t>
      </w:r>
      <w:r w:rsidRPr="00DA4BF8">
        <w:t xml:space="preserve"> all parties of the need to, and ways to, meet, talk and </w:t>
      </w:r>
      <w:proofErr w:type="gramStart"/>
      <w:r w:rsidRPr="00DA4BF8">
        <w:t>take action</w:t>
      </w:r>
      <w:proofErr w:type="gramEnd"/>
      <w:r w:rsidRPr="00DA4BF8">
        <w:t xml:space="preserve"> together. Importantly it validates the role of </w:t>
      </w:r>
      <w:r w:rsidR="00380146">
        <w:t xml:space="preserve">Neighbourhood </w:t>
      </w:r>
      <w:r w:rsidRPr="00DA4BF8">
        <w:t xml:space="preserve">Houses in community consultation and engagement and highlights the value and opportunity for </w:t>
      </w:r>
      <w:r w:rsidR="008F7570">
        <w:t>Tasmanian G</w:t>
      </w:r>
      <w:r w:rsidRPr="00DA4BF8">
        <w:t xml:space="preserve">overnment agencies that need to engage, consult or plan locally. </w:t>
      </w:r>
    </w:p>
    <w:p w:rsidR="00F913FB" w:rsidRDefault="00F913FB" w:rsidP="00C36501">
      <w:r w:rsidRPr="00DA4BF8">
        <w:lastRenderedPageBreak/>
        <w:t xml:space="preserve">Neighbourhood Houses Tasmania is very pleased to be a partner in this Protocol. We thank the State Government and Department of Communities Tasmania for their continued support of Houses and their commitment to our core business of building community through community development. We are proud to sign this Protocol as it endorses our community development approach which has brought great benefits to our local communities </w:t>
      </w:r>
      <w:r w:rsidRPr="00F913FB">
        <w:t>and Tasmania as a whole. We look forward to working together.</w:t>
      </w:r>
    </w:p>
    <w:p w:rsidR="00E00792" w:rsidRPr="00912455" w:rsidRDefault="00E00792" w:rsidP="00C36501">
      <w:pPr>
        <w:rPr>
          <w:b/>
        </w:rPr>
      </w:pPr>
      <w:r w:rsidRPr="00912455">
        <w:rPr>
          <w:b/>
        </w:rPr>
        <w:t>Kate Beer</w:t>
      </w:r>
    </w:p>
    <w:p w:rsidR="00E00792" w:rsidRPr="00912455" w:rsidRDefault="00E00792" w:rsidP="00C36501">
      <w:pPr>
        <w:rPr>
          <w:b/>
        </w:rPr>
      </w:pPr>
      <w:r w:rsidRPr="00912455">
        <w:rPr>
          <w:b/>
        </w:rPr>
        <w:t>Neighbourhood Houses Tasmania President</w:t>
      </w:r>
    </w:p>
    <w:p w:rsidR="00B203E6" w:rsidRDefault="00B203E6" w:rsidP="00C36501">
      <w:pPr>
        <w:pStyle w:val="Heading2"/>
      </w:pPr>
      <w:r w:rsidRPr="00BB565B">
        <w:t xml:space="preserve">Tasmanian Government </w:t>
      </w:r>
      <w:r>
        <w:t>and</w:t>
      </w:r>
      <w:r w:rsidRPr="00BB565B">
        <w:t xml:space="preserve"> Neighbourhood Houses Protocol</w:t>
      </w:r>
    </w:p>
    <w:p w:rsidR="00767693" w:rsidRDefault="00D55466" w:rsidP="00C36501">
      <w:r w:rsidRPr="00B257F3">
        <w:t>This Protocol acknowledges and underlines that Tasmania’s</w:t>
      </w:r>
      <w:r w:rsidR="00294FDB">
        <w:t xml:space="preserve"> Network of</w:t>
      </w:r>
      <w:r w:rsidRPr="00B257F3">
        <w:t xml:space="preserve"> House</w:t>
      </w:r>
      <w:r w:rsidR="00294FDB">
        <w:t>s</w:t>
      </w:r>
      <w:r w:rsidRPr="00B257F3">
        <w:t xml:space="preserve"> is the heart of our local communities. </w:t>
      </w:r>
    </w:p>
    <w:p w:rsidR="00767693" w:rsidRPr="00BB565B" w:rsidRDefault="00767693" w:rsidP="00767693">
      <w:bookmarkStart w:id="0" w:name="_Hlk4491798"/>
      <w:r w:rsidRPr="00BB565B">
        <w:t xml:space="preserve">The Tasmanian Government and </w:t>
      </w:r>
      <w:r>
        <w:t>Neighbourhood Houses will work together to identify how they can assist local communities to benefit from social, community and economic development opportunities across Tasmania.</w:t>
      </w:r>
    </w:p>
    <w:bookmarkEnd w:id="0"/>
    <w:p w:rsidR="00D55466" w:rsidRPr="00B257F3" w:rsidRDefault="00D55466" w:rsidP="00C36501">
      <w:r w:rsidRPr="00B257F3">
        <w:t>There are 34 Tasmanian Government</w:t>
      </w:r>
      <w:r w:rsidR="000B047C">
        <w:t>-</w:t>
      </w:r>
      <w:r w:rsidRPr="00B257F3">
        <w:t xml:space="preserve">funded Neighbourhood Houses, with Neighbourhood Houses Tasmania as the peak body which represents and supports the </w:t>
      </w:r>
      <w:r w:rsidR="00294FDB">
        <w:t>Network of Houses</w:t>
      </w:r>
      <w:r w:rsidRPr="00B257F3">
        <w:t xml:space="preserve">. </w:t>
      </w:r>
    </w:p>
    <w:p w:rsidR="00D55466" w:rsidRPr="00B257F3" w:rsidRDefault="00D55466" w:rsidP="00C36501">
      <w:r w:rsidRPr="00B257F3">
        <w:t xml:space="preserve">Community development is the core business of the </w:t>
      </w:r>
      <w:r w:rsidR="00294FDB">
        <w:t>Network of Houses</w:t>
      </w:r>
      <w:r w:rsidRPr="00B257F3">
        <w:t xml:space="preserve">. Community development is about people </w:t>
      </w:r>
      <w:r w:rsidR="007E4130">
        <w:t>coming together</w:t>
      </w:r>
      <w:r w:rsidR="008B2E09">
        <w:t xml:space="preserve"> around a common issue or opportunity and then </w:t>
      </w:r>
      <w:r w:rsidRPr="00B257F3">
        <w:t xml:space="preserve">working together </w:t>
      </w:r>
      <w:r w:rsidR="008B2E09">
        <w:t>to do something about it</w:t>
      </w:r>
      <w:r w:rsidRPr="00B257F3">
        <w:t xml:space="preserve">. </w:t>
      </w:r>
      <w:r w:rsidR="002D710F">
        <w:t>Houses</w:t>
      </w:r>
      <w:r w:rsidR="008B2E09">
        <w:t xml:space="preserve"> are places where people find support, belonging and purpose. </w:t>
      </w:r>
      <w:r w:rsidRPr="00B257F3">
        <w:t xml:space="preserve">Houses are intentionally located in low socio-economic or regionally isolated communities, and work at a grass roots level for place-based change. </w:t>
      </w:r>
    </w:p>
    <w:p w:rsidR="00D55466" w:rsidRPr="00B257F3" w:rsidRDefault="00D55466" w:rsidP="00C36501">
      <w:r w:rsidRPr="00B257F3">
        <w:t xml:space="preserve">Neighbourhood Houses play a vital role in the Tasmanian community by working to:  </w:t>
      </w:r>
    </w:p>
    <w:p w:rsidR="00D55466" w:rsidRPr="00B257F3" w:rsidRDefault="00D55466" w:rsidP="00C36501">
      <w:pPr>
        <w:pStyle w:val="Dotpoint1"/>
      </w:pPr>
      <w:r w:rsidRPr="00B257F3">
        <w:t>create welcoming, safe spaces for people to come together, make social connections, engage in learning and volunteering opportunities and give back to their community</w:t>
      </w:r>
    </w:p>
    <w:p w:rsidR="00D55466" w:rsidRPr="00B257F3" w:rsidRDefault="00D55466" w:rsidP="00C36501">
      <w:pPr>
        <w:pStyle w:val="Dotpoint1"/>
      </w:pPr>
      <w:r w:rsidRPr="00B257F3">
        <w:t xml:space="preserve">support their local community and make a real difference in people’s lives </w:t>
      </w:r>
    </w:p>
    <w:p w:rsidR="00D55466" w:rsidRPr="00B257F3" w:rsidRDefault="00D55466" w:rsidP="00C36501">
      <w:pPr>
        <w:pStyle w:val="Dotpoint1"/>
      </w:pPr>
      <w:r w:rsidRPr="00B257F3">
        <w:t>provide pathways for people through training and skill development so they realise their potential and contribute to their community</w:t>
      </w:r>
    </w:p>
    <w:p w:rsidR="00D55466" w:rsidRPr="00B257F3" w:rsidRDefault="00D55466" w:rsidP="00C36501">
      <w:pPr>
        <w:pStyle w:val="Dotpoint1"/>
      </w:pPr>
      <w:r w:rsidRPr="00B257F3">
        <w:t xml:space="preserve">promote good health and wellbeing for all Tasmanians </w:t>
      </w:r>
    </w:p>
    <w:p w:rsidR="00D55466" w:rsidRDefault="00D55466" w:rsidP="00C36501">
      <w:pPr>
        <w:pStyle w:val="Dotpoint1"/>
      </w:pPr>
      <w:r w:rsidRPr="00B257F3">
        <w:t xml:space="preserve">provide a local focus point for consulting with </w:t>
      </w:r>
      <w:r>
        <w:t>communities</w:t>
      </w:r>
      <w:r w:rsidRPr="00B257F3">
        <w:t xml:space="preserve"> and providing access to </w:t>
      </w:r>
      <w:r w:rsidR="00380146">
        <w:t>activities, programs</w:t>
      </w:r>
      <w:r w:rsidR="00380146" w:rsidRPr="00B257F3">
        <w:t xml:space="preserve"> </w:t>
      </w:r>
      <w:r w:rsidRPr="00B257F3">
        <w:t>and resources.</w:t>
      </w:r>
    </w:p>
    <w:p w:rsidR="00ED4F9A" w:rsidRPr="00C36501" w:rsidRDefault="00ED4F9A" w:rsidP="00C36501">
      <w:r w:rsidRPr="00C36501">
        <w:t xml:space="preserve">This Protocol aims to embed collaboration and engagement between Neighbourhood Houses and </w:t>
      </w:r>
      <w:r w:rsidR="00013086" w:rsidRPr="00C36501">
        <w:t xml:space="preserve">the </w:t>
      </w:r>
      <w:r w:rsidRPr="00C36501">
        <w:t xml:space="preserve">Tasmanian Government. </w:t>
      </w:r>
      <w:r w:rsidR="009E301D" w:rsidRPr="00C36501">
        <w:t>It</w:t>
      </w:r>
      <w:r w:rsidRPr="00C36501">
        <w:t xml:space="preserve"> underlines the central role the </w:t>
      </w:r>
      <w:r w:rsidR="00294FDB" w:rsidRPr="00C36501">
        <w:t xml:space="preserve">Network of Houses </w:t>
      </w:r>
      <w:r w:rsidRPr="00C36501">
        <w:t xml:space="preserve">plays in </w:t>
      </w:r>
      <w:r w:rsidR="00213A89" w:rsidRPr="00C36501">
        <w:t>supporting</w:t>
      </w:r>
      <w:r w:rsidRPr="00C36501">
        <w:t xml:space="preserve"> and building thriving Tasmanian communities.</w:t>
      </w:r>
    </w:p>
    <w:p w:rsidR="006D23E3" w:rsidRPr="001426CB" w:rsidRDefault="006D23E3" w:rsidP="00C36501">
      <w:pPr>
        <w:pStyle w:val="Heading2"/>
      </w:pPr>
      <w:r>
        <w:t>W</w:t>
      </w:r>
      <w:r w:rsidRPr="001426CB">
        <w:t xml:space="preserve">orking together </w:t>
      </w:r>
    </w:p>
    <w:p w:rsidR="006D23E3" w:rsidRPr="00C36501" w:rsidRDefault="006D23E3" w:rsidP="00C36501">
      <w:pPr>
        <w:rPr>
          <w:b/>
        </w:rPr>
      </w:pPr>
      <w:r w:rsidRPr="00C36501">
        <w:rPr>
          <w:b/>
        </w:rPr>
        <w:t>Road Rules Training Videos</w:t>
      </w:r>
    </w:p>
    <w:p w:rsidR="00767693" w:rsidRDefault="006D23E3" w:rsidP="00C36501">
      <w:r w:rsidRPr="001426CB">
        <w:t>West Moonah Community House received funding from the Department of State Growth</w:t>
      </w:r>
      <w:r>
        <w:t>’s Community Road Safety Grants Program</w:t>
      </w:r>
      <w:r w:rsidRPr="001426CB">
        <w:t xml:space="preserve"> to support the development of Road Rules Training Videos</w:t>
      </w:r>
      <w:r>
        <w:t xml:space="preserve">. The videos </w:t>
      </w:r>
      <w:r w:rsidRPr="001426CB">
        <w:t>covered topics such as speed limits, intersections, overtaking and road signs. The</w:t>
      </w:r>
      <w:r>
        <w:t xml:space="preserve"> videos were designed as a training tool </w:t>
      </w:r>
      <w:r w:rsidRPr="001426CB">
        <w:t>to address language and literacy issues</w:t>
      </w:r>
      <w:r>
        <w:t xml:space="preserve"> people </w:t>
      </w:r>
      <w:r w:rsidRPr="001426CB">
        <w:t xml:space="preserve">from non-English speaking backgrounds </w:t>
      </w:r>
      <w:r>
        <w:t xml:space="preserve">encounter </w:t>
      </w:r>
      <w:r w:rsidRPr="001426CB">
        <w:t>w</w:t>
      </w:r>
      <w:r>
        <w:t xml:space="preserve">hen </w:t>
      </w:r>
      <w:r w:rsidRPr="001426CB">
        <w:t>learn</w:t>
      </w:r>
      <w:r>
        <w:t>ing</w:t>
      </w:r>
      <w:r w:rsidRPr="001426CB">
        <w:t xml:space="preserve"> to drive. </w:t>
      </w:r>
    </w:p>
    <w:p w:rsidR="006D23E3" w:rsidRPr="001426CB" w:rsidRDefault="006D23E3" w:rsidP="00C36501">
      <w:r w:rsidRPr="001426CB">
        <w:t xml:space="preserve">The videos proved very successful and were produced in English, Oromo, </w:t>
      </w:r>
      <w:proofErr w:type="spellStart"/>
      <w:r w:rsidRPr="001426CB">
        <w:t>Hazaragi</w:t>
      </w:r>
      <w:proofErr w:type="spellEnd"/>
      <w:r w:rsidRPr="001426CB">
        <w:t xml:space="preserve"> and Nepali. The videos are </w:t>
      </w:r>
      <w:r>
        <w:t xml:space="preserve">also </w:t>
      </w:r>
      <w:r w:rsidRPr="001426CB">
        <w:t>available on the State Growth website for everyone to access.</w:t>
      </w:r>
    </w:p>
    <w:p w:rsidR="006D23E3" w:rsidRDefault="006D23E3" w:rsidP="00C36501">
      <w:r w:rsidRPr="001426CB">
        <w:t>West Moonah Community House</w:t>
      </w:r>
      <w:r>
        <w:t xml:space="preserve"> was also successful in gaining further funding under the Community Road Safety Grants Program to develop additional videos to help novice drivers, to train other community groups and agencies around the State to deliver the training within their own communities and to trial the videos in schools so young people are learning the road rules well before hitting the road in a vehicle. </w:t>
      </w:r>
    </w:p>
    <w:p w:rsidR="006D23E3" w:rsidRDefault="006D23E3" w:rsidP="00C36501">
      <w:r>
        <w:t xml:space="preserve">State Growth staff assisted with the video development, from the preparatory work through to the completion of the filming and scripting.  Everyone worked extremely well together on this project with fantastic results achieved. </w:t>
      </w:r>
    </w:p>
    <w:p w:rsidR="006D23E3" w:rsidRPr="00C36501" w:rsidRDefault="006D23E3" w:rsidP="00C36501">
      <w:pPr>
        <w:rPr>
          <w:b/>
        </w:rPr>
      </w:pPr>
      <w:r w:rsidRPr="00C36501">
        <w:rPr>
          <w:b/>
        </w:rPr>
        <w:t>Focus on Children and Families</w:t>
      </w:r>
    </w:p>
    <w:p w:rsidR="006D23E3" w:rsidRDefault="006D23E3" w:rsidP="00C36501">
      <w:r>
        <w:t>Staff and volunteers at the Starting Point Neighbourhood House have worked alongside the Ravenswood Child and Family Centre for several years and have developed a great partnership.</w:t>
      </w:r>
    </w:p>
    <w:p w:rsidR="006D23E3" w:rsidRDefault="006D23E3" w:rsidP="00C36501">
      <w:r>
        <w:t xml:space="preserve">This strong relationship has evolved over time. This has required energy, honesty and commitment. The parties meet regularly, at committee meetings, and local group action meetings to address important issues for the Ravenswood community. </w:t>
      </w:r>
    </w:p>
    <w:p w:rsidR="006D23E3" w:rsidRDefault="006D23E3" w:rsidP="00C36501">
      <w:r>
        <w:t>In addition to informal networking and meetings, the Neighbourhood House and Child and Family Centre developed a Memorandum of Understanding to formalise collaborative funding under the Growing Together project, with the aim of enhancing supply and access to food.</w:t>
      </w:r>
    </w:p>
    <w:p w:rsidR="006D23E3" w:rsidRDefault="006D23E3" w:rsidP="00C36501">
      <w:r>
        <w:t xml:space="preserve">It takes time to build strong relationships, but the outcomes for communities are worth it. It is important to be honest, bold and involved. When personnel change, it is important to spend extra time and energy to re-build trust and respect. </w:t>
      </w:r>
    </w:p>
    <w:p w:rsidR="006D23E3" w:rsidRDefault="006D23E3" w:rsidP="00C36501">
      <w:r>
        <w:t>Whether it is working together on special projects, or just being able to tell community members about the local services they can access, the strong partnership between Starting Point Neighbourhood House and the Ravenswood Child and Family Centre results in better services for local families and their little ones.</w:t>
      </w:r>
    </w:p>
    <w:p w:rsidR="00ED4F9A" w:rsidRDefault="00ED4F9A" w:rsidP="00C36501">
      <w:pPr>
        <w:pStyle w:val="Heading2"/>
      </w:pPr>
      <w:r w:rsidRPr="00C87A53">
        <w:t xml:space="preserve">The </w:t>
      </w:r>
      <w:r w:rsidR="00C87A53" w:rsidRPr="00C87A53">
        <w:t xml:space="preserve">Agreement </w:t>
      </w:r>
    </w:p>
    <w:p w:rsidR="00ED4F9A" w:rsidRPr="00806C9F" w:rsidRDefault="00ED4F9A" w:rsidP="00C36501">
      <w:r w:rsidRPr="00C36501">
        <w:rPr>
          <w:b/>
        </w:rPr>
        <w:t>Neighbourhood Houses</w:t>
      </w:r>
      <w:r w:rsidR="004A5891">
        <w:t xml:space="preserve"> </w:t>
      </w:r>
      <w:r w:rsidRPr="00806C9F">
        <w:t xml:space="preserve">help </w:t>
      </w:r>
      <w:r w:rsidR="003C4336">
        <w:t xml:space="preserve">the </w:t>
      </w:r>
      <w:r w:rsidR="003C4336" w:rsidRPr="00C36501">
        <w:rPr>
          <w:b/>
        </w:rPr>
        <w:t xml:space="preserve">Tasmanian </w:t>
      </w:r>
      <w:r w:rsidRPr="00C36501">
        <w:rPr>
          <w:b/>
        </w:rPr>
        <w:t>Government</w:t>
      </w:r>
      <w:r w:rsidRPr="00806C9F">
        <w:t xml:space="preserve"> to:</w:t>
      </w:r>
    </w:p>
    <w:p w:rsidR="00ED4F9A" w:rsidRPr="00806C9F" w:rsidRDefault="00ED4F9A" w:rsidP="00C007C6">
      <w:pPr>
        <w:pStyle w:val="ListParagraph"/>
        <w:numPr>
          <w:ilvl w:val="0"/>
          <w:numId w:val="5"/>
        </w:numPr>
        <w:ind w:left="426"/>
      </w:pPr>
      <w:r>
        <w:t>E</w:t>
      </w:r>
      <w:r w:rsidRPr="00806C9F">
        <w:t>ngage locally to understand the issues facing communities and together develop solutions</w:t>
      </w:r>
      <w:r>
        <w:t>.</w:t>
      </w:r>
    </w:p>
    <w:p w:rsidR="00ED4F9A" w:rsidRPr="00806C9F" w:rsidRDefault="00ED4F9A" w:rsidP="00C007C6">
      <w:pPr>
        <w:pStyle w:val="ListParagraph"/>
        <w:numPr>
          <w:ilvl w:val="0"/>
          <w:numId w:val="5"/>
        </w:numPr>
        <w:ind w:left="426"/>
      </w:pPr>
      <w:r>
        <w:t>M</w:t>
      </w:r>
      <w:r w:rsidRPr="00806C9F">
        <w:t>eet its goal of ensuring a better quality of life for all Tasmanians, regardless of where they live</w:t>
      </w:r>
      <w:r>
        <w:t>.</w:t>
      </w:r>
    </w:p>
    <w:p w:rsidR="00ED4F9A" w:rsidRDefault="00ED4F9A" w:rsidP="00C007C6">
      <w:pPr>
        <w:pStyle w:val="ListParagraph"/>
        <w:numPr>
          <w:ilvl w:val="0"/>
          <w:numId w:val="5"/>
        </w:numPr>
        <w:ind w:left="426"/>
      </w:pPr>
      <w:r>
        <w:t>E</w:t>
      </w:r>
      <w:r w:rsidRPr="00806C9F">
        <w:t xml:space="preserve">nsure all Tasmanians benefit from </w:t>
      </w:r>
      <w:r w:rsidR="00125122">
        <w:t>social and c</w:t>
      </w:r>
      <w:bookmarkStart w:id="1" w:name="_GoBack"/>
      <w:bookmarkEnd w:id="1"/>
      <w:r w:rsidR="00125122">
        <w:t>ommunity development</w:t>
      </w:r>
      <w:r w:rsidRPr="00806C9F">
        <w:t>, and that no one is left behind.</w:t>
      </w:r>
    </w:p>
    <w:p w:rsidR="00ED4F9A" w:rsidRPr="00806C9F" w:rsidRDefault="00856B1F" w:rsidP="00C36501">
      <w:r w:rsidRPr="00C36501">
        <w:rPr>
          <w:b/>
        </w:rPr>
        <w:t xml:space="preserve">The </w:t>
      </w:r>
      <w:r w:rsidR="00ED4F9A" w:rsidRPr="00C36501">
        <w:rPr>
          <w:b/>
        </w:rPr>
        <w:t>Tasmanian Government</w:t>
      </w:r>
      <w:r w:rsidR="00ED4F9A" w:rsidRPr="00FC1465">
        <w:t xml:space="preserve"> </w:t>
      </w:r>
      <w:r w:rsidR="00DE2404">
        <w:t>will</w:t>
      </w:r>
      <w:r w:rsidR="00ED4F9A" w:rsidRPr="00806C9F">
        <w:t>:</w:t>
      </w:r>
    </w:p>
    <w:p w:rsidR="00ED4F9A" w:rsidRDefault="00ED4F9A" w:rsidP="00C007C6">
      <w:pPr>
        <w:pStyle w:val="ListParagraph"/>
        <w:numPr>
          <w:ilvl w:val="0"/>
          <w:numId w:val="6"/>
        </w:numPr>
        <w:ind w:left="426"/>
      </w:pPr>
      <w:r>
        <w:t>Consult and engage</w:t>
      </w:r>
      <w:r w:rsidR="00B15AF8">
        <w:t xml:space="preserve"> where appropriate</w:t>
      </w:r>
      <w:r>
        <w:t xml:space="preserve"> with Neighbourhood </w:t>
      </w:r>
      <w:r w:rsidRPr="00BB565B">
        <w:t>Houses</w:t>
      </w:r>
      <w:r>
        <w:t xml:space="preserve"> on </w:t>
      </w:r>
      <w:r w:rsidRPr="00BB565B">
        <w:t>local, place-based issues</w:t>
      </w:r>
      <w:r>
        <w:t xml:space="preserve"> and collaborate on solutions.</w:t>
      </w:r>
    </w:p>
    <w:p w:rsidR="00ED4F9A" w:rsidRPr="00BB565B" w:rsidRDefault="00ED4F9A" w:rsidP="00C007C6">
      <w:pPr>
        <w:pStyle w:val="ListParagraph"/>
        <w:numPr>
          <w:ilvl w:val="0"/>
          <w:numId w:val="6"/>
        </w:numPr>
        <w:ind w:left="426"/>
      </w:pPr>
      <w:r>
        <w:t>Communicate</w:t>
      </w:r>
      <w:r w:rsidR="00665E79">
        <w:t xml:space="preserve"> the Protocol</w:t>
      </w:r>
      <w:r>
        <w:t xml:space="preserve"> with staff</w:t>
      </w:r>
      <w:r w:rsidRPr="00BB565B">
        <w:t xml:space="preserve"> </w:t>
      </w:r>
      <w:r w:rsidR="00665E79">
        <w:t>and encourage collaboration</w:t>
      </w:r>
      <w:r>
        <w:t xml:space="preserve"> with Neighbourhood </w:t>
      </w:r>
      <w:r w:rsidRPr="00BB565B">
        <w:t>Houses</w:t>
      </w:r>
      <w:r>
        <w:t>.</w:t>
      </w:r>
      <w:r w:rsidR="009F6B3E">
        <w:t xml:space="preserve"> </w:t>
      </w:r>
    </w:p>
    <w:p w:rsidR="00ED4F9A" w:rsidRDefault="00ED4F9A" w:rsidP="00C007C6">
      <w:pPr>
        <w:pStyle w:val="ListParagraph"/>
        <w:numPr>
          <w:ilvl w:val="0"/>
          <w:numId w:val="6"/>
        </w:numPr>
        <w:ind w:left="426"/>
      </w:pPr>
      <w:r>
        <w:t xml:space="preserve">Ensure </w:t>
      </w:r>
      <w:r w:rsidRPr="00BB565B">
        <w:t>staff</w:t>
      </w:r>
      <w:r>
        <w:t xml:space="preserve"> are given enough time </w:t>
      </w:r>
      <w:r w:rsidR="009F6B3E">
        <w:t xml:space="preserve">where possible </w:t>
      </w:r>
      <w:r w:rsidRPr="00BB565B">
        <w:t xml:space="preserve">to develop </w:t>
      </w:r>
      <w:r>
        <w:t xml:space="preserve">effective working </w:t>
      </w:r>
      <w:r w:rsidRPr="00BB565B">
        <w:t xml:space="preserve">relationships </w:t>
      </w:r>
      <w:r>
        <w:t xml:space="preserve">with Neighbourhood </w:t>
      </w:r>
      <w:r w:rsidRPr="00BB565B">
        <w:t>Houses</w:t>
      </w:r>
      <w:r w:rsidR="000B047C">
        <w:t>.</w:t>
      </w:r>
      <w:r>
        <w:t xml:space="preserve"> </w:t>
      </w:r>
    </w:p>
    <w:p w:rsidR="00D55466" w:rsidRDefault="00856B1F" w:rsidP="00C36501">
      <w:r w:rsidRPr="00856B1F">
        <w:t>The</w:t>
      </w:r>
      <w:r>
        <w:rPr>
          <w:b/>
        </w:rPr>
        <w:t xml:space="preserve"> </w:t>
      </w:r>
      <w:r w:rsidR="006E2FF1">
        <w:rPr>
          <w:b/>
        </w:rPr>
        <w:t>Tasmanian Government and Neighbourhood Houses</w:t>
      </w:r>
      <w:r w:rsidR="006E2FF1">
        <w:t xml:space="preserve"> </w:t>
      </w:r>
      <w:r w:rsidR="00DE2404">
        <w:t>will</w:t>
      </w:r>
      <w:r w:rsidR="006E2FF1">
        <w:t xml:space="preserve"> work together to build </w:t>
      </w:r>
      <w:r w:rsidR="006C66E6">
        <w:t>and</w:t>
      </w:r>
      <w:r w:rsidR="0032775D">
        <w:t xml:space="preserve"> </w:t>
      </w:r>
      <w:r w:rsidR="006E2FF1">
        <w:t xml:space="preserve">strengthen </w:t>
      </w:r>
      <w:r w:rsidR="00524BEB">
        <w:t xml:space="preserve">local </w:t>
      </w:r>
      <w:r w:rsidR="006E2FF1">
        <w:t xml:space="preserve">partnerships to </w:t>
      </w:r>
      <w:r w:rsidR="006C66E6">
        <w:t>ensure</w:t>
      </w:r>
      <w:r w:rsidR="006E2FF1">
        <w:t xml:space="preserve"> </w:t>
      </w:r>
      <w:r w:rsidR="00D3183C">
        <w:t xml:space="preserve">activities and programs </w:t>
      </w:r>
      <w:r w:rsidR="006E2FF1">
        <w:t xml:space="preserve">are accessible to </w:t>
      </w:r>
      <w:r w:rsidR="0032775D">
        <w:t>everyone</w:t>
      </w:r>
      <w:r w:rsidR="006E2FF1">
        <w:t>, adapted to meet the needs of local communities</w:t>
      </w:r>
      <w:r w:rsidR="006C66E6">
        <w:t>,</w:t>
      </w:r>
      <w:r w:rsidR="006E2FF1">
        <w:t xml:space="preserve"> and integrated</w:t>
      </w:r>
      <w:r w:rsidR="000B047C">
        <w:t xml:space="preserve"> </w:t>
      </w:r>
      <w:r w:rsidR="00E4445B">
        <w:t xml:space="preserve">so </w:t>
      </w:r>
      <w:r w:rsidR="000B047C">
        <w:t xml:space="preserve">that resources are </w:t>
      </w:r>
      <w:r w:rsidR="00E4445B">
        <w:t xml:space="preserve">best </w:t>
      </w:r>
      <w:r w:rsidR="000B047C">
        <w:t xml:space="preserve">targeted to the people and </w:t>
      </w:r>
      <w:r w:rsidR="00C179D0">
        <w:t>places</w:t>
      </w:r>
      <w:r w:rsidR="000B047C">
        <w:t xml:space="preserve"> that need them</w:t>
      </w:r>
      <w:r w:rsidR="00C179D0">
        <w:t>.</w:t>
      </w:r>
    </w:p>
    <w:p w:rsidR="00B00C3C" w:rsidRDefault="00927E04" w:rsidP="00C36501">
      <w:r w:rsidRPr="001F613C">
        <w:t>In recognition of the value of Neighbourhood Houses</w:t>
      </w:r>
      <w:r w:rsidR="00905043">
        <w:t>’</w:t>
      </w:r>
      <w:r w:rsidRPr="001F613C">
        <w:t xml:space="preserve"> ongoing commitment to social and community development, t</w:t>
      </w:r>
      <w:r w:rsidR="00B00C3C" w:rsidRPr="001F613C">
        <w:t xml:space="preserve">he Tasmanian Government and Neighbourhood Houses </w:t>
      </w:r>
      <w:r w:rsidRPr="001F613C">
        <w:t>will work together to identify</w:t>
      </w:r>
      <w:r w:rsidR="00B00C3C" w:rsidRPr="001F613C">
        <w:t xml:space="preserve"> </w:t>
      </w:r>
      <w:r w:rsidRPr="001F613C">
        <w:t>how they can assist</w:t>
      </w:r>
      <w:r w:rsidR="00B00C3C" w:rsidRPr="001F613C">
        <w:t xml:space="preserve"> local communities to </w:t>
      </w:r>
      <w:r w:rsidRPr="001F613C">
        <w:t>benefit from</w:t>
      </w:r>
      <w:r w:rsidR="00B00C3C" w:rsidRPr="001F613C">
        <w:t xml:space="preserve"> opportunities </w:t>
      </w:r>
      <w:r w:rsidR="001F613C">
        <w:t>for social,</w:t>
      </w:r>
      <w:r w:rsidR="00294FDB" w:rsidRPr="001F613C">
        <w:t xml:space="preserve"> community </w:t>
      </w:r>
      <w:r w:rsidR="001F613C">
        <w:t>and economic growth opportunities</w:t>
      </w:r>
      <w:r w:rsidR="00294FDB" w:rsidRPr="001F613C">
        <w:t xml:space="preserve"> </w:t>
      </w:r>
      <w:r w:rsidR="00B00C3C" w:rsidRPr="001F613C">
        <w:t>across Tasmania.</w:t>
      </w:r>
      <w:r w:rsidR="00B00C3C">
        <w:t xml:space="preserve"> </w:t>
      </w:r>
    </w:p>
    <w:p w:rsidR="00B00C3C" w:rsidRDefault="00B00C3C" w:rsidP="00C36501">
      <w:r>
        <w:t xml:space="preserve">This Protocol </w:t>
      </w:r>
      <w:r w:rsidR="0048206A">
        <w:t xml:space="preserve">will </w:t>
      </w:r>
      <w:r w:rsidR="00013086">
        <w:t>operate</w:t>
      </w:r>
      <w:r w:rsidR="0048206A">
        <w:t xml:space="preserve"> for </w:t>
      </w:r>
      <w:r>
        <w:t>five year</w:t>
      </w:r>
      <w:r w:rsidR="0048206A">
        <w:t>s and</w:t>
      </w:r>
      <w:r>
        <w:t xml:space="preserve"> will be reviewed in line with the </w:t>
      </w:r>
      <w:r w:rsidR="00013086">
        <w:t>Neighbourhood House Program Strategic Framework 2018-2023</w:t>
      </w:r>
      <w:r w:rsidR="0048206A">
        <w:t>.</w:t>
      </w:r>
    </w:p>
    <w:p w:rsidR="00A843C8" w:rsidRPr="00C36501" w:rsidRDefault="00A843C8" w:rsidP="00C36501">
      <w:pPr>
        <w:rPr>
          <w:b/>
        </w:rPr>
      </w:pPr>
      <w:r w:rsidRPr="00C36501">
        <w:rPr>
          <w:b/>
        </w:rPr>
        <w:t>Approved by:</w:t>
      </w:r>
    </w:p>
    <w:p w:rsidR="005D7E04" w:rsidRPr="00C36501" w:rsidRDefault="005D7E04" w:rsidP="00C36501">
      <w:pPr>
        <w:rPr>
          <w:b/>
        </w:rPr>
      </w:pPr>
      <w:r w:rsidRPr="00C36501">
        <w:rPr>
          <w:b/>
        </w:rPr>
        <w:t>Kate Beer</w:t>
      </w:r>
      <w:r w:rsidRPr="00C36501">
        <w:rPr>
          <w:b/>
        </w:rPr>
        <w:t>, Neighbourhood Houses Tasmania</w:t>
      </w:r>
      <w:r w:rsidRPr="00C36501">
        <w:rPr>
          <w:b/>
        </w:rPr>
        <w:t xml:space="preserve"> President</w:t>
      </w:r>
    </w:p>
    <w:p w:rsidR="005D7E04" w:rsidRPr="00C36501" w:rsidRDefault="005D7E04" w:rsidP="00C36501">
      <w:pPr>
        <w:rPr>
          <w:b/>
        </w:rPr>
      </w:pPr>
      <w:r w:rsidRPr="00C36501">
        <w:rPr>
          <w:b/>
        </w:rPr>
        <w:t>Roger Jaensch</w:t>
      </w:r>
      <w:r w:rsidRPr="00C36501">
        <w:rPr>
          <w:b/>
        </w:rPr>
        <w:t xml:space="preserve">, </w:t>
      </w:r>
      <w:r w:rsidRPr="00C36501">
        <w:rPr>
          <w:b/>
        </w:rPr>
        <w:t>Minister for Human</w:t>
      </w:r>
      <w:r w:rsidRPr="00C36501">
        <w:rPr>
          <w:b/>
        </w:rPr>
        <w:t xml:space="preserve"> Services</w:t>
      </w:r>
    </w:p>
    <w:p w:rsidR="005D7E04" w:rsidRDefault="005D7E04" w:rsidP="00C36501"/>
    <w:sectPr w:rsidR="005D7E04" w:rsidSect="00AD6A26">
      <w:pgSz w:w="11906" w:h="16838"/>
      <w:pgMar w:top="1559"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F7A" w:rsidRDefault="002F7F7A" w:rsidP="00C36501">
      <w:r>
        <w:separator/>
      </w:r>
    </w:p>
  </w:endnote>
  <w:endnote w:type="continuationSeparator" w:id="0">
    <w:p w:rsidR="002F7F7A" w:rsidRDefault="002F7F7A" w:rsidP="00C36501">
      <w:r>
        <w:continuationSeparator/>
      </w:r>
    </w:p>
  </w:endnote>
  <w:endnote w:type="continuationNotice" w:id="1">
    <w:p w:rsidR="002F7F7A" w:rsidRDefault="002F7F7A" w:rsidP="00C365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F7A" w:rsidRDefault="002F7F7A" w:rsidP="00C36501">
      <w:r>
        <w:separator/>
      </w:r>
    </w:p>
  </w:footnote>
  <w:footnote w:type="continuationSeparator" w:id="0">
    <w:p w:rsidR="002F7F7A" w:rsidRDefault="002F7F7A" w:rsidP="00C36501">
      <w:r>
        <w:continuationSeparator/>
      </w:r>
    </w:p>
  </w:footnote>
  <w:footnote w:type="continuationNotice" w:id="1">
    <w:p w:rsidR="002F7F7A" w:rsidRDefault="002F7F7A" w:rsidP="00C3650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C2529"/>
    <w:multiLevelType w:val="hybridMultilevel"/>
    <w:tmpl w:val="9CE0D1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210E70"/>
    <w:multiLevelType w:val="hybridMultilevel"/>
    <w:tmpl w:val="2C340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D86641"/>
    <w:multiLevelType w:val="hybridMultilevel"/>
    <w:tmpl w:val="4A1EEEEC"/>
    <w:lvl w:ilvl="0" w:tplc="65C6EE92">
      <w:start w:val="1"/>
      <w:numFmt w:val="bullet"/>
      <w:pStyle w:val="Dotpoin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064A06"/>
    <w:multiLevelType w:val="hybridMultilevel"/>
    <w:tmpl w:val="313AE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3542C8"/>
    <w:multiLevelType w:val="hybridMultilevel"/>
    <w:tmpl w:val="A3E04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C513DC"/>
    <w:multiLevelType w:val="hybridMultilevel"/>
    <w:tmpl w:val="3AB82C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CF021B2"/>
    <w:multiLevelType w:val="hybridMultilevel"/>
    <w:tmpl w:val="AE3CC410"/>
    <w:lvl w:ilvl="0" w:tplc="0C09000F">
      <w:start w:val="1"/>
      <w:numFmt w:val="decimal"/>
      <w:lvlText w:val="%1."/>
      <w:lvlJc w:val="left"/>
      <w:pPr>
        <w:ind w:left="781" w:hanging="360"/>
      </w:pPr>
    </w:lvl>
    <w:lvl w:ilvl="1" w:tplc="0C090019" w:tentative="1">
      <w:start w:val="1"/>
      <w:numFmt w:val="lowerLetter"/>
      <w:lvlText w:val="%2."/>
      <w:lvlJc w:val="left"/>
      <w:pPr>
        <w:ind w:left="1501" w:hanging="360"/>
      </w:pPr>
    </w:lvl>
    <w:lvl w:ilvl="2" w:tplc="0C09001B" w:tentative="1">
      <w:start w:val="1"/>
      <w:numFmt w:val="lowerRoman"/>
      <w:lvlText w:val="%3."/>
      <w:lvlJc w:val="right"/>
      <w:pPr>
        <w:ind w:left="2221" w:hanging="180"/>
      </w:pPr>
    </w:lvl>
    <w:lvl w:ilvl="3" w:tplc="0C09000F" w:tentative="1">
      <w:start w:val="1"/>
      <w:numFmt w:val="decimal"/>
      <w:lvlText w:val="%4."/>
      <w:lvlJc w:val="left"/>
      <w:pPr>
        <w:ind w:left="2941" w:hanging="360"/>
      </w:pPr>
    </w:lvl>
    <w:lvl w:ilvl="4" w:tplc="0C090019" w:tentative="1">
      <w:start w:val="1"/>
      <w:numFmt w:val="lowerLetter"/>
      <w:lvlText w:val="%5."/>
      <w:lvlJc w:val="left"/>
      <w:pPr>
        <w:ind w:left="3661" w:hanging="360"/>
      </w:pPr>
    </w:lvl>
    <w:lvl w:ilvl="5" w:tplc="0C09001B" w:tentative="1">
      <w:start w:val="1"/>
      <w:numFmt w:val="lowerRoman"/>
      <w:lvlText w:val="%6."/>
      <w:lvlJc w:val="right"/>
      <w:pPr>
        <w:ind w:left="4381" w:hanging="180"/>
      </w:pPr>
    </w:lvl>
    <w:lvl w:ilvl="6" w:tplc="0C09000F" w:tentative="1">
      <w:start w:val="1"/>
      <w:numFmt w:val="decimal"/>
      <w:lvlText w:val="%7."/>
      <w:lvlJc w:val="left"/>
      <w:pPr>
        <w:ind w:left="5101" w:hanging="360"/>
      </w:pPr>
    </w:lvl>
    <w:lvl w:ilvl="7" w:tplc="0C090019" w:tentative="1">
      <w:start w:val="1"/>
      <w:numFmt w:val="lowerLetter"/>
      <w:lvlText w:val="%8."/>
      <w:lvlJc w:val="left"/>
      <w:pPr>
        <w:ind w:left="5821" w:hanging="360"/>
      </w:pPr>
    </w:lvl>
    <w:lvl w:ilvl="8" w:tplc="0C09001B" w:tentative="1">
      <w:start w:val="1"/>
      <w:numFmt w:val="lowerRoman"/>
      <w:lvlText w:val="%9."/>
      <w:lvlJc w:val="right"/>
      <w:pPr>
        <w:ind w:left="6541" w:hanging="180"/>
      </w:pPr>
    </w:lvl>
  </w:abstractNum>
  <w:abstractNum w:abstractNumId="7" w15:restartNumberingAfterBreak="0">
    <w:nsid w:val="63B7334C"/>
    <w:multiLevelType w:val="hybridMultilevel"/>
    <w:tmpl w:val="16787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2"/>
  </w:num>
  <w:num w:numId="5">
    <w:abstractNumId w:val="0"/>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93E"/>
    <w:rsid w:val="000051D0"/>
    <w:rsid w:val="0001088F"/>
    <w:rsid w:val="00013086"/>
    <w:rsid w:val="00013CE7"/>
    <w:rsid w:val="00027664"/>
    <w:rsid w:val="00033E4C"/>
    <w:rsid w:val="00045A02"/>
    <w:rsid w:val="0005024D"/>
    <w:rsid w:val="00050579"/>
    <w:rsid w:val="000629AF"/>
    <w:rsid w:val="00082018"/>
    <w:rsid w:val="00085168"/>
    <w:rsid w:val="000B047C"/>
    <w:rsid w:val="000B193E"/>
    <w:rsid w:val="000F269B"/>
    <w:rsid w:val="000F31B1"/>
    <w:rsid w:val="001034BA"/>
    <w:rsid w:val="00114D0E"/>
    <w:rsid w:val="00114F96"/>
    <w:rsid w:val="001237A8"/>
    <w:rsid w:val="001241FC"/>
    <w:rsid w:val="00125122"/>
    <w:rsid w:val="00130F57"/>
    <w:rsid w:val="00131E86"/>
    <w:rsid w:val="00154A82"/>
    <w:rsid w:val="00191787"/>
    <w:rsid w:val="00196E82"/>
    <w:rsid w:val="001A6E1D"/>
    <w:rsid w:val="001A7696"/>
    <w:rsid w:val="001B0811"/>
    <w:rsid w:val="001C478F"/>
    <w:rsid w:val="001F0AD2"/>
    <w:rsid w:val="001F613C"/>
    <w:rsid w:val="00213A89"/>
    <w:rsid w:val="002140BC"/>
    <w:rsid w:val="00226E14"/>
    <w:rsid w:val="0027513F"/>
    <w:rsid w:val="00286001"/>
    <w:rsid w:val="00294FDB"/>
    <w:rsid w:val="002B3B60"/>
    <w:rsid w:val="002D710F"/>
    <w:rsid w:val="002F7F7A"/>
    <w:rsid w:val="00305A05"/>
    <w:rsid w:val="00311DC2"/>
    <w:rsid w:val="00313B4A"/>
    <w:rsid w:val="0032775D"/>
    <w:rsid w:val="00334849"/>
    <w:rsid w:val="00335D94"/>
    <w:rsid w:val="00354236"/>
    <w:rsid w:val="00355500"/>
    <w:rsid w:val="00355677"/>
    <w:rsid w:val="00360D8E"/>
    <w:rsid w:val="00380146"/>
    <w:rsid w:val="00385443"/>
    <w:rsid w:val="00394F19"/>
    <w:rsid w:val="00395F1B"/>
    <w:rsid w:val="003A23B2"/>
    <w:rsid w:val="003C4336"/>
    <w:rsid w:val="003E7034"/>
    <w:rsid w:val="003F0983"/>
    <w:rsid w:val="003F4927"/>
    <w:rsid w:val="003F542D"/>
    <w:rsid w:val="0040190A"/>
    <w:rsid w:val="00430D3B"/>
    <w:rsid w:val="00433221"/>
    <w:rsid w:val="00433D92"/>
    <w:rsid w:val="004407DB"/>
    <w:rsid w:val="00452553"/>
    <w:rsid w:val="00477AE1"/>
    <w:rsid w:val="0048206A"/>
    <w:rsid w:val="004A0E0D"/>
    <w:rsid w:val="004A250F"/>
    <w:rsid w:val="004A4F66"/>
    <w:rsid w:val="004A5891"/>
    <w:rsid w:val="004C0D3A"/>
    <w:rsid w:val="004C7DA3"/>
    <w:rsid w:val="0050066E"/>
    <w:rsid w:val="0052458E"/>
    <w:rsid w:val="00524BEB"/>
    <w:rsid w:val="00527945"/>
    <w:rsid w:val="005520C1"/>
    <w:rsid w:val="00556608"/>
    <w:rsid w:val="00570B05"/>
    <w:rsid w:val="00575516"/>
    <w:rsid w:val="00585F5E"/>
    <w:rsid w:val="005909C5"/>
    <w:rsid w:val="00592EEA"/>
    <w:rsid w:val="005A02D4"/>
    <w:rsid w:val="005B2F73"/>
    <w:rsid w:val="005D7E04"/>
    <w:rsid w:val="005F42BF"/>
    <w:rsid w:val="006012BC"/>
    <w:rsid w:val="00655859"/>
    <w:rsid w:val="00665E79"/>
    <w:rsid w:val="00672B18"/>
    <w:rsid w:val="00673250"/>
    <w:rsid w:val="00690CC1"/>
    <w:rsid w:val="006C66E6"/>
    <w:rsid w:val="006D23E3"/>
    <w:rsid w:val="006E2FF1"/>
    <w:rsid w:val="00710727"/>
    <w:rsid w:val="00721DC9"/>
    <w:rsid w:val="0072560F"/>
    <w:rsid w:val="00735985"/>
    <w:rsid w:val="0075714B"/>
    <w:rsid w:val="00763126"/>
    <w:rsid w:val="00765807"/>
    <w:rsid w:val="00767693"/>
    <w:rsid w:val="0077574D"/>
    <w:rsid w:val="00776E14"/>
    <w:rsid w:val="00781942"/>
    <w:rsid w:val="0078636D"/>
    <w:rsid w:val="007A7E14"/>
    <w:rsid w:val="007C26EB"/>
    <w:rsid w:val="007E4130"/>
    <w:rsid w:val="007F136F"/>
    <w:rsid w:val="00813F76"/>
    <w:rsid w:val="00834DF0"/>
    <w:rsid w:val="00836CBE"/>
    <w:rsid w:val="00844BFA"/>
    <w:rsid w:val="00856B1F"/>
    <w:rsid w:val="00863A27"/>
    <w:rsid w:val="008A5563"/>
    <w:rsid w:val="008B2E09"/>
    <w:rsid w:val="008B2E5A"/>
    <w:rsid w:val="008C1BF1"/>
    <w:rsid w:val="008C5F8F"/>
    <w:rsid w:val="008C7FD0"/>
    <w:rsid w:val="008D0946"/>
    <w:rsid w:val="008E03F4"/>
    <w:rsid w:val="008F364F"/>
    <w:rsid w:val="008F7570"/>
    <w:rsid w:val="008F7878"/>
    <w:rsid w:val="00905043"/>
    <w:rsid w:val="00912455"/>
    <w:rsid w:val="00927E04"/>
    <w:rsid w:val="0093348F"/>
    <w:rsid w:val="009338B9"/>
    <w:rsid w:val="00946186"/>
    <w:rsid w:val="009550D9"/>
    <w:rsid w:val="009922BF"/>
    <w:rsid w:val="009B3B44"/>
    <w:rsid w:val="009D0FEC"/>
    <w:rsid w:val="009E301D"/>
    <w:rsid w:val="009F6B3E"/>
    <w:rsid w:val="00A23DF2"/>
    <w:rsid w:val="00A345A7"/>
    <w:rsid w:val="00A3504F"/>
    <w:rsid w:val="00A3730D"/>
    <w:rsid w:val="00A440B6"/>
    <w:rsid w:val="00A44C0C"/>
    <w:rsid w:val="00A614D5"/>
    <w:rsid w:val="00A81F47"/>
    <w:rsid w:val="00A843C8"/>
    <w:rsid w:val="00A92601"/>
    <w:rsid w:val="00A948E8"/>
    <w:rsid w:val="00AC4D2F"/>
    <w:rsid w:val="00AD6A26"/>
    <w:rsid w:val="00AE027D"/>
    <w:rsid w:val="00AF0223"/>
    <w:rsid w:val="00AF2904"/>
    <w:rsid w:val="00B00C3C"/>
    <w:rsid w:val="00B15AF8"/>
    <w:rsid w:val="00B203E6"/>
    <w:rsid w:val="00B355C4"/>
    <w:rsid w:val="00B861D5"/>
    <w:rsid w:val="00B87C4D"/>
    <w:rsid w:val="00B91E08"/>
    <w:rsid w:val="00B957AD"/>
    <w:rsid w:val="00BB565B"/>
    <w:rsid w:val="00BB7368"/>
    <w:rsid w:val="00BD1544"/>
    <w:rsid w:val="00BD27EF"/>
    <w:rsid w:val="00BE4BA4"/>
    <w:rsid w:val="00BF53CD"/>
    <w:rsid w:val="00BF7EA1"/>
    <w:rsid w:val="00C007C6"/>
    <w:rsid w:val="00C05AF0"/>
    <w:rsid w:val="00C179D0"/>
    <w:rsid w:val="00C36501"/>
    <w:rsid w:val="00C60D66"/>
    <w:rsid w:val="00C71173"/>
    <w:rsid w:val="00C762F5"/>
    <w:rsid w:val="00C87A53"/>
    <w:rsid w:val="00C916D8"/>
    <w:rsid w:val="00CC5451"/>
    <w:rsid w:val="00CD623F"/>
    <w:rsid w:val="00D00826"/>
    <w:rsid w:val="00D02BA8"/>
    <w:rsid w:val="00D05374"/>
    <w:rsid w:val="00D140DA"/>
    <w:rsid w:val="00D15C36"/>
    <w:rsid w:val="00D20066"/>
    <w:rsid w:val="00D3183C"/>
    <w:rsid w:val="00D341D8"/>
    <w:rsid w:val="00D4769A"/>
    <w:rsid w:val="00D55466"/>
    <w:rsid w:val="00D5562F"/>
    <w:rsid w:val="00D90207"/>
    <w:rsid w:val="00D91269"/>
    <w:rsid w:val="00DA4BF8"/>
    <w:rsid w:val="00DB559F"/>
    <w:rsid w:val="00DE2404"/>
    <w:rsid w:val="00DF4FB6"/>
    <w:rsid w:val="00E00792"/>
    <w:rsid w:val="00E064EC"/>
    <w:rsid w:val="00E4445B"/>
    <w:rsid w:val="00E54D84"/>
    <w:rsid w:val="00E667E1"/>
    <w:rsid w:val="00E832E7"/>
    <w:rsid w:val="00EB53B2"/>
    <w:rsid w:val="00EC28F0"/>
    <w:rsid w:val="00ED4F9A"/>
    <w:rsid w:val="00ED77CF"/>
    <w:rsid w:val="00F12B5A"/>
    <w:rsid w:val="00F1791D"/>
    <w:rsid w:val="00F20E35"/>
    <w:rsid w:val="00F2611D"/>
    <w:rsid w:val="00F47C85"/>
    <w:rsid w:val="00F621D8"/>
    <w:rsid w:val="00F76F68"/>
    <w:rsid w:val="00F85394"/>
    <w:rsid w:val="00F913FB"/>
    <w:rsid w:val="00F91C4D"/>
    <w:rsid w:val="00FC36D8"/>
    <w:rsid w:val="00FC6283"/>
    <w:rsid w:val="00FD07B2"/>
    <w:rsid w:val="00FD5A56"/>
    <w:rsid w:val="00FE4C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0DD7F"/>
  <w15:docId w15:val="{34C8AF45-BC66-4920-A926-A644A3B6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6501"/>
    <w:pPr>
      <w:spacing w:before="120" w:after="120" w:line="400" w:lineRule="atLeast"/>
    </w:pPr>
    <w:rPr>
      <w:rFonts w:ascii="Gill Sans MT" w:hAnsi="Gill Sans MT"/>
    </w:rPr>
  </w:style>
  <w:style w:type="paragraph" w:styleId="Heading1">
    <w:name w:val="heading 1"/>
    <w:basedOn w:val="Normal"/>
    <w:next w:val="Normal"/>
    <w:link w:val="Heading1Char"/>
    <w:uiPriority w:val="9"/>
    <w:qFormat/>
    <w:rsid w:val="00BB565B"/>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87A53"/>
    <w:pPr>
      <w:outlineLvl w:val="1"/>
    </w:pPr>
    <w:rPr>
      <w:b/>
      <w:color w:val="0070C0"/>
      <w:sz w:val="24"/>
      <w:szCs w:val="28"/>
    </w:rPr>
  </w:style>
  <w:style w:type="paragraph" w:styleId="Heading3">
    <w:name w:val="heading 3"/>
    <w:basedOn w:val="Normal"/>
    <w:next w:val="Normal"/>
    <w:link w:val="Heading3Char"/>
    <w:uiPriority w:val="9"/>
    <w:unhideWhenUsed/>
    <w:qFormat/>
    <w:rsid w:val="006D23E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93E"/>
    <w:pPr>
      <w:ind w:left="720"/>
      <w:contextualSpacing/>
    </w:pPr>
  </w:style>
  <w:style w:type="character" w:customStyle="1" w:styleId="Heading1Char">
    <w:name w:val="Heading 1 Char"/>
    <w:basedOn w:val="DefaultParagraphFont"/>
    <w:link w:val="Heading1"/>
    <w:uiPriority w:val="9"/>
    <w:rsid w:val="00BB565B"/>
    <w:rPr>
      <w:rFonts w:ascii="Gill Sans MT" w:eastAsiaTheme="majorEastAsia" w:hAnsi="Gill Sans MT" w:cstheme="majorBidi"/>
      <w:b/>
      <w:sz w:val="32"/>
      <w:szCs w:val="32"/>
    </w:rPr>
  </w:style>
  <w:style w:type="table" w:styleId="TableGrid">
    <w:name w:val="Table Grid"/>
    <w:basedOn w:val="TableNormal"/>
    <w:uiPriority w:val="59"/>
    <w:rsid w:val="00A44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5A0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A02"/>
    <w:rPr>
      <w:rFonts w:ascii="Tahoma" w:hAnsi="Tahoma" w:cs="Tahoma"/>
      <w:sz w:val="16"/>
      <w:szCs w:val="16"/>
    </w:rPr>
  </w:style>
  <w:style w:type="character" w:styleId="CommentReference">
    <w:name w:val="annotation reference"/>
    <w:basedOn w:val="DefaultParagraphFont"/>
    <w:uiPriority w:val="99"/>
    <w:semiHidden/>
    <w:unhideWhenUsed/>
    <w:rsid w:val="00191787"/>
    <w:rPr>
      <w:sz w:val="16"/>
      <w:szCs w:val="16"/>
    </w:rPr>
  </w:style>
  <w:style w:type="paragraph" w:styleId="CommentText">
    <w:name w:val="annotation text"/>
    <w:basedOn w:val="Normal"/>
    <w:link w:val="CommentTextChar"/>
    <w:uiPriority w:val="99"/>
    <w:semiHidden/>
    <w:unhideWhenUsed/>
    <w:rsid w:val="00191787"/>
    <w:pPr>
      <w:spacing w:line="240" w:lineRule="auto"/>
    </w:pPr>
    <w:rPr>
      <w:sz w:val="20"/>
      <w:szCs w:val="20"/>
    </w:rPr>
  </w:style>
  <w:style w:type="character" w:customStyle="1" w:styleId="CommentTextChar">
    <w:name w:val="Comment Text Char"/>
    <w:basedOn w:val="DefaultParagraphFont"/>
    <w:link w:val="CommentText"/>
    <w:uiPriority w:val="99"/>
    <w:semiHidden/>
    <w:rsid w:val="00191787"/>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191787"/>
    <w:rPr>
      <w:b/>
      <w:bCs/>
    </w:rPr>
  </w:style>
  <w:style w:type="character" w:customStyle="1" w:styleId="CommentSubjectChar">
    <w:name w:val="Comment Subject Char"/>
    <w:basedOn w:val="CommentTextChar"/>
    <w:link w:val="CommentSubject"/>
    <w:uiPriority w:val="99"/>
    <w:semiHidden/>
    <w:rsid w:val="00191787"/>
    <w:rPr>
      <w:rFonts w:ascii="Gill Sans MT" w:hAnsi="Gill Sans MT"/>
      <w:b/>
      <w:bCs/>
      <w:sz w:val="20"/>
      <w:szCs w:val="20"/>
    </w:rPr>
  </w:style>
  <w:style w:type="paragraph" w:styleId="Revision">
    <w:name w:val="Revision"/>
    <w:hidden/>
    <w:uiPriority w:val="99"/>
    <w:semiHidden/>
    <w:rsid w:val="00191787"/>
    <w:pPr>
      <w:spacing w:after="0" w:line="240" w:lineRule="auto"/>
    </w:pPr>
    <w:rPr>
      <w:rFonts w:ascii="Gill Sans MT" w:hAnsi="Gill Sans MT"/>
    </w:rPr>
  </w:style>
  <w:style w:type="paragraph" w:customStyle="1" w:styleId="Dotpoint1">
    <w:name w:val="Dotpoint 1"/>
    <w:basedOn w:val="ListParagraph"/>
    <w:qFormat/>
    <w:rsid w:val="00C60D66"/>
    <w:pPr>
      <w:numPr>
        <w:numId w:val="4"/>
      </w:numPr>
      <w:spacing w:before="20" w:after="20"/>
      <w:ind w:left="425" w:hanging="425"/>
      <w:contextualSpacing w:val="0"/>
    </w:pPr>
  </w:style>
  <w:style w:type="paragraph" w:styleId="Header">
    <w:name w:val="header"/>
    <w:basedOn w:val="Normal"/>
    <w:link w:val="HeaderChar"/>
    <w:uiPriority w:val="99"/>
    <w:unhideWhenUsed/>
    <w:rsid w:val="0040190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0190A"/>
    <w:rPr>
      <w:rFonts w:ascii="Gill Sans MT" w:hAnsi="Gill Sans MT"/>
    </w:rPr>
  </w:style>
  <w:style w:type="paragraph" w:styleId="Footer">
    <w:name w:val="footer"/>
    <w:basedOn w:val="Normal"/>
    <w:link w:val="FooterChar"/>
    <w:uiPriority w:val="99"/>
    <w:unhideWhenUsed/>
    <w:rsid w:val="0040190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0190A"/>
    <w:rPr>
      <w:rFonts w:ascii="Gill Sans MT" w:hAnsi="Gill Sans MT"/>
    </w:rPr>
  </w:style>
  <w:style w:type="character" w:customStyle="1" w:styleId="Heading2Char">
    <w:name w:val="Heading 2 Char"/>
    <w:basedOn w:val="DefaultParagraphFont"/>
    <w:link w:val="Heading2"/>
    <w:uiPriority w:val="9"/>
    <w:rsid w:val="00C87A53"/>
    <w:rPr>
      <w:rFonts w:ascii="Gill Sans MT" w:hAnsi="Gill Sans MT"/>
      <w:b/>
      <w:color w:val="0070C0"/>
      <w:sz w:val="24"/>
      <w:szCs w:val="28"/>
    </w:rPr>
  </w:style>
  <w:style w:type="paragraph" w:customStyle="1" w:styleId="Sig">
    <w:name w:val="Sig"/>
    <w:basedOn w:val="Normal"/>
    <w:qFormat/>
    <w:rsid w:val="00C179D0"/>
    <w:pPr>
      <w:spacing w:before="0" w:after="0"/>
    </w:pPr>
  </w:style>
  <w:style w:type="character" w:customStyle="1" w:styleId="Heading3Char">
    <w:name w:val="Heading 3 Char"/>
    <w:basedOn w:val="DefaultParagraphFont"/>
    <w:link w:val="Heading3"/>
    <w:uiPriority w:val="9"/>
    <w:rsid w:val="006D23E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01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FA789-65AD-4251-8891-21EC86FBA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Locke, Janet C</dc:creator>
  <cp:lastModifiedBy>Locke, Janet C</cp:lastModifiedBy>
  <cp:revision>10</cp:revision>
  <cp:lastPrinted>2019-06-04T22:30:00Z</cp:lastPrinted>
  <dcterms:created xsi:type="dcterms:W3CDTF">2019-06-25T03:36:00Z</dcterms:created>
  <dcterms:modified xsi:type="dcterms:W3CDTF">2019-06-25T03:46:00Z</dcterms:modified>
</cp:coreProperties>
</file>