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BF71A3" w:rsidRDefault="00383024" w:rsidP="00BF71A3">
      <w:pPr>
        <w:pStyle w:val="Heading-cover"/>
      </w:pPr>
      <w:r w:rsidRPr="00BF71A3">
        <w:t>Fact</w:t>
      </w:r>
      <w:r w:rsidR="00D7535C">
        <w:t>s</w:t>
      </w:r>
      <w:r w:rsidRPr="00BF71A3">
        <w:t>heet</w:t>
      </w:r>
    </w:p>
    <w:p w:rsidR="008B07AE" w:rsidRPr="00BF71A3" w:rsidRDefault="00667F80" w:rsidP="00BF71A3">
      <w:pPr>
        <w:pStyle w:val="Sub-heading-cover"/>
      </w:pPr>
      <w:r>
        <w:t xml:space="preserve">Planning for Change: </w:t>
      </w:r>
      <w:r w:rsidR="00383024" w:rsidRPr="00BF71A3">
        <w:t xml:space="preserve">Top 10 </w:t>
      </w:r>
      <w:r w:rsidR="007C68D0">
        <w:t>T</w:t>
      </w:r>
      <w:r w:rsidR="007C68D0" w:rsidRPr="00BF71A3">
        <w:t xml:space="preserve">hings </w:t>
      </w:r>
      <w:r w:rsidR="007C68D0">
        <w:t>Change M</w:t>
      </w:r>
      <w:r w:rsidR="007C68D0" w:rsidRPr="00BF71A3">
        <w:t xml:space="preserve">anagers </w:t>
      </w:r>
      <w:r w:rsidR="007C68D0">
        <w:t>S</w:t>
      </w:r>
      <w:r w:rsidR="007C68D0" w:rsidRPr="00BF71A3">
        <w:t xml:space="preserve">hould </w:t>
      </w:r>
      <w:r w:rsidR="007C68D0">
        <w:rPr>
          <w:u w:val="single"/>
        </w:rPr>
        <w:t>K</w:t>
      </w:r>
      <w:r w:rsidR="007C68D0" w:rsidRPr="00BF71A3">
        <w:rPr>
          <w:u w:val="single"/>
        </w:rPr>
        <w:t>now</w:t>
      </w:r>
      <w:r w:rsidR="007C68D0" w:rsidRPr="00BF71A3">
        <w:t xml:space="preserve"> </w:t>
      </w:r>
      <w:r w:rsidR="007C68D0">
        <w:t>a</w:t>
      </w:r>
      <w:r w:rsidR="007C68D0" w:rsidRPr="00BF71A3">
        <w:t xml:space="preserve">nd </w:t>
      </w:r>
      <w:r w:rsidR="007C68D0">
        <w:rPr>
          <w:u w:val="single"/>
        </w:rPr>
        <w:t>D</w:t>
      </w:r>
      <w:r w:rsidR="007C68D0" w:rsidRPr="00BF71A3">
        <w:rPr>
          <w:u w:val="single"/>
        </w:rPr>
        <w:t>o</w:t>
      </w:r>
    </w:p>
    <w:p w:rsidR="007045D3" w:rsidRDefault="00383024" w:rsidP="00A22514">
      <w:pPr>
        <w:spacing w:before="120" w:after="120" w:line="276" w:lineRule="auto"/>
        <w:rPr>
          <w:rFonts w:ascii="Gill Sans MT" w:hAnsi="Gill Sans MT" w:cs="Arial"/>
          <w:sz w:val="20"/>
          <w:szCs w:val="20"/>
        </w:rPr>
      </w:pPr>
      <w:r w:rsidRPr="00383024">
        <w:rPr>
          <w:rFonts w:ascii="Gill Sans MT" w:hAnsi="Gill Sans MT" w:cs="Arial"/>
        </w:rPr>
        <w:t>Managing change is a function of two factors: readiness and capability. Readiness is about whether there is adequate motivation and incentive for and benefit in the changes and capability is about whether there are enough supports, enablers, and skills to enact them</w:t>
      </w:r>
      <w:r w:rsidR="002247ED" w:rsidRPr="002247ED">
        <w:rPr>
          <w:rFonts w:ascii="Gill Sans MT" w:hAnsi="Gill Sans MT" w:cs="Arial"/>
          <w:szCs w:val="20"/>
        </w:rPr>
        <w:t>.</w:t>
      </w:r>
      <w:r w:rsidR="00E45F19" w:rsidRPr="00E45F19">
        <w:rPr>
          <w:rFonts w:ascii="Gill Sans MT" w:hAnsi="Gill Sans MT" w:cs="Arial"/>
          <w:sz w:val="20"/>
          <w:szCs w:val="20"/>
        </w:rPr>
        <w:t xml:space="preserve"> </w:t>
      </w:r>
    </w:p>
    <w:p w:rsidR="007045D3" w:rsidRPr="00912275" w:rsidRDefault="007045D3" w:rsidP="00912275">
      <w:pPr>
        <w:pStyle w:val="HeadingThree"/>
      </w:pPr>
      <w:r w:rsidRPr="00912275">
        <w:t>Readiness</w:t>
      </w:r>
      <w:r w:rsidR="00912275" w:rsidRPr="00BC7A45">
        <w:rPr>
          <w:color w:val="FFFFFF" w:themeColor="background1"/>
        </w:rPr>
        <w:t>.</w:t>
      </w:r>
      <w:r w:rsidRPr="00912275">
        <w:t xml:space="preserve"> </w:t>
      </w:r>
    </w:p>
    <w:tbl>
      <w:tblPr>
        <w:tblStyle w:val="TableGrid"/>
        <w:tblW w:w="9781"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680" w:firstRow="0" w:lastRow="0" w:firstColumn="1" w:lastColumn="0" w:noHBand="1" w:noVBand="1"/>
        <w:tblCaption w:val="Readiness"/>
        <w:tblDescription w:val="Readiness"/>
      </w:tblPr>
      <w:tblGrid>
        <w:gridCol w:w="709"/>
        <w:gridCol w:w="2410"/>
        <w:gridCol w:w="6662"/>
      </w:tblGrid>
      <w:tr w:rsidR="00D74391" w:rsidRPr="00D74391" w:rsidTr="00EB0A6F">
        <w:trPr>
          <w:trHeight w:val="20"/>
          <w:tblHeader/>
        </w:trPr>
        <w:tc>
          <w:tcPr>
            <w:tcW w:w="709" w:type="dxa"/>
            <w:tcBorders>
              <w:right w:val="single" w:sz="4" w:space="0" w:color="FFFFFF" w:themeColor="background1"/>
            </w:tcBorders>
            <w:shd w:val="clear" w:color="auto" w:fill="1F497D" w:themeFill="text2"/>
            <w:vAlign w:val="center"/>
          </w:tcPr>
          <w:p w:rsidR="00D74391" w:rsidRPr="00D74391" w:rsidRDefault="00D74391" w:rsidP="00D74391">
            <w:pPr>
              <w:spacing w:before="50" w:after="50" w:line="276" w:lineRule="auto"/>
              <w:jc w:val="center"/>
              <w:rPr>
                <w:rFonts w:ascii="Gill Sans MT" w:hAnsi="Gill Sans MT" w:cs="Arial"/>
                <w:b/>
                <w:color w:val="FFFFFF" w:themeColor="background1"/>
                <w:sz w:val="22"/>
                <w:szCs w:val="22"/>
              </w:rPr>
            </w:pPr>
            <w:r w:rsidRPr="00D74391">
              <w:rPr>
                <w:rFonts w:ascii="Gill Sans MT" w:hAnsi="Gill Sans MT" w:cs="Arial"/>
                <w:b/>
                <w:color w:val="FFFFFF" w:themeColor="background1"/>
                <w:sz w:val="22"/>
                <w:szCs w:val="22"/>
              </w:rPr>
              <w:t>No.</w:t>
            </w:r>
          </w:p>
        </w:tc>
        <w:tc>
          <w:tcPr>
            <w:tcW w:w="2410" w:type="dxa"/>
            <w:tcBorders>
              <w:left w:val="single" w:sz="4" w:space="0" w:color="FFFFFF" w:themeColor="background1"/>
              <w:right w:val="single" w:sz="4" w:space="0" w:color="FFFFFF" w:themeColor="background1"/>
            </w:tcBorders>
            <w:shd w:val="clear" w:color="auto" w:fill="1F497D" w:themeFill="text2"/>
            <w:vAlign w:val="center"/>
          </w:tcPr>
          <w:p w:rsidR="00D74391" w:rsidRPr="00D74391" w:rsidRDefault="00D74391" w:rsidP="00D74391">
            <w:pPr>
              <w:spacing w:before="50" w:after="50" w:line="276" w:lineRule="auto"/>
              <w:ind w:right="-108"/>
              <w:rPr>
                <w:rFonts w:ascii="Gill Sans MT" w:hAnsi="Gill Sans MT" w:cs="Arial"/>
                <w:b/>
                <w:color w:val="FFFFFF" w:themeColor="background1"/>
                <w:sz w:val="22"/>
                <w:szCs w:val="22"/>
              </w:rPr>
            </w:pPr>
            <w:r w:rsidRPr="00D74391">
              <w:rPr>
                <w:rFonts w:ascii="Gill Sans MT" w:hAnsi="Gill Sans MT" w:cs="Arial"/>
                <w:b/>
                <w:color w:val="FFFFFF" w:themeColor="background1"/>
                <w:sz w:val="22"/>
                <w:szCs w:val="22"/>
              </w:rPr>
              <w:t>Action</w:t>
            </w:r>
            <w:r w:rsidRPr="00BC7A45">
              <w:rPr>
                <w:rFonts w:ascii="Gill Sans MT" w:hAnsi="Gill Sans MT" w:cs="Arial"/>
                <w:b/>
                <w:color w:val="1F497D" w:themeColor="text2"/>
                <w:sz w:val="22"/>
                <w:szCs w:val="22"/>
              </w:rPr>
              <w:t>.</w:t>
            </w:r>
          </w:p>
        </w:tc>
        <w:tc>
          <w:tcPr>
            <w:tcW w:w="6662" w:type="dxa"/>
            <w:tcBorders>
              <w:left w:val="single" w:sz="4" w:space="0" w:color="FFFFFF" w:themeColor="background1"/>
            </w:tcBorders>
            <w:shd w:val="clear" w:color="auto" w:fill="1F497D" w:themeFill="text2"/>
            <w:vAlign w:val="center"/>
          </w:tcPr>
          <w:p w:rsidR="00D74391" w:rsidRPr="00D74391" w:rsidRDefault="00D74391" w:rsidP="00D74391">
            <w:pPr>
              <w:spacing w:before="50" w:after="50" w:line="276" w:lineRule="auto"/>
              <w:ind w:right="-108"/>
              <w:rPr>
                <w:rFonts w:ascii="Gill Sans MT" w:hAnsi="Gill Sans MT" w:cs="Arial"/>
                <w:b/>
                <w:color w:val="FFFFFF" w:themeColor="background1"/>
                <w:sz w:val="22"/>
                <w:szCs w:val="22"/>
              </w:rPr>
            </w:pPr>
            <w:r w:rsidRPr="00D74391">
              <w:rPr>
                <w:rFonts w:ascii="Gill Sans MT" w:hAnsi="Gill Sans MT" w:cs="Arial"/>
                <w:b/>
                <w:color w:val="FFFFFF" w:themeColor="background1"/>
                <w:sz w:val="22"/>
                <w:szCs w:val="22"/>
              </w:rPr>
              <w:t>Explanation</w:t>
            </w:r>
            <w:r w:rsidRPr="00BC7A45">
              <w:rPr>
                <w:rFonts w:ascii="Gill Sans MT" w:hAnsi="Gill Sans MT" w:cs="Arial"/>
                <w:b/>
                <w:color w:val="1F497D" w:themeColor="text2"/>
                <w:sz w:val="22"/>
                <w:szCs w:val="22"/>
              </w:rPr>
              <w:t>.</w:t>
            </w:r>
          </w:p>
        </w:tc>
      </w:tr>
      <w:tr w:rsidR="00D74391" w:rsidRPr="00D74391" w:rsidTr="00EB0A6F">
        <w:trPr>
          <w:trHeight w:val="20"/>
        </w:trPr>
        <w:tc>
          <w:tcPr>
            <w:tcW w:w="709" w:type="dxa"/>
            <w:shd w:val="clear" w:color="auto" w:fill="DBE5F1" w:themeFill="accent1" w:themeFillTint="33"/>
            <w:vAlign w:val="center"/>
          </w:tcPr>
          <w:p w:rsidR="000A3129" w:rsidRPr="00D74391" w:rsidRDefault="000A3129"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1</w:t>
            </w:r>
          </w:p>
        </w:tc>
        <w:tc>
          <w:tcPr>
            <w:tcW w:w="2410" w:type="dxa"/>
            <w:shd w:val="clear" w:color="auto" w:fill="DBE5F1" w:themeFill="accent1" w:themeFillTint="33"/>
            <w:vAlign w:val="center"/>
          </w:tcPr>
          <w:p w:rsidR="000A3129" w:rsidRPr="00D74391" w:rsidRDefault="000A3129" w:rsidP="00D74391">
            <w:pPr>
              <w:spacing w:before="50" w:after="50" w:line="276" w:lineRule="auto"/>
              <w:ind w:right="-108"/>
              <w:rPr>
                <w:rFonts w:ascii="Gill Sans MT" w:hAnsi="Gill Sans MT" w:cs="Arial"/>
                <w:sz w:val="22"/>
                <w:szCs w:val="22"/>
              </w:rPr>
            </w:pPr>
            <w:r w:rsidRPr="00D74391">
              <w:rPr>
                <w:rFonts w:ascii="Gill Sans MT" w:hAnsi="Gill Sans MT" w:cs="Arial"/>
                <w:sz w:val="22"/>
                <w:szCs w:val="22"/>
              </w:rPr>
              <w:t>Analyze the organisation and its need for change</w:t>
            </w:r>
            <w:r w:rsidR="00912275" w:rsidRPr="00D74391">
              <w:rPr>
                <w:rFonts w:ascii="Gill Sans MT" w:hAnsi="Gill Sans MT" w:cs="Arial"/>
                <w:sz w:val="22"/>
                <w:szCs w:val="22"/>
              </w:rPr>
              <w:t>.</w:t>
            </w:r>
          </w:p>
        </w:tc>
        <w:tc>
          <w:tcPr>
            <w:tcW w:w="6662" w:type="dxa"/>
            <w:shd w:val="clear" w:color="auto" w:fill="DBE5F1" w:themeFill="accent1" w:themeFillTint="33"/>
            <w:vAlign w:val="center"/>
          </w:tcPr>
          <w:p w:rsidR="000A3129" w:rsidRPr="00D74391" w:rsidRDefault="000A3129" w:rsidP="00D74391">
            <w:pPr>
              <w:spacing w:before="50" w:after="50" w:line="276" w:lineRule="auto"/>
              <w:ind w:right="-108"/>
              <w:rPr>
                <w:rFonts w:ascii="Gill Sans MT" w:hAnsi="Gill Sans MT" w:cs="Arial"/>
                <w:sz w:val="22"/>
                <w:szCs w:val="22"/>
              </w:rPr>
            </w:pPr>
            <w:r w:rsidRPr="00D74391">
              <w:rPr>
                <w:rFonts w:ascii="Gill Sans MT" w:hAnsi="Gill Sans MT" w:cs="Arial"/>
                <w:sz w:val="22"/>
                <w:szCs w:val="22"/>
              </w:rPr>
              <w:t xml:space="preserve">Understand your organisations strengths and weaknesses, its customers and competitors, its structures, systems, how it operates in its environment, problems and opportunities. Out of this analysis, then, </w:t>
            </w:r>
            <w:r w:rsidR="00DB5F72" w:rsidRPr="00D74391">
              <w:rPr>
                <w:rFonts w:ascii="Gill Sans MT" w:hAnsi="Gill Sans MT" w:cs="Arial"/>
                <w:sz w:val="22"/>
                <w:szCs w:val="22"/>
              </w:rPr>
              <w:t xml:space="preserve">will </w:t>
            </w:r>
            <w:r w:rsidRPr="00D74391">
              <w:rPr>
                <w:rFonts w:ascii="Gill Sans MT" w:hAnsi="Gill Sans MT" w:cs="Arial"/>
                <w:sz w:val="22"/>
                <w:szCs w:val="22"/>
              </w:rPr>
              <w:t>emerge a clear understanding of the reasons for change.</w:t>
            </w:r>
          </w:p>
        </w:tc>
      </w:tr>
      <w:tr w:rsidR="00D74391" w:rsidRPr="00D74391" w:rsidTr="00EB0A6F">
        <w:trPr>
          <w:trHeight w:val="20"/>
        </w:trPr>
        <w:tc>
          <w:tcPr>
            <w:tcW w:w="709" w:type="dxa"/>
            <w:shd w:val="clear" w:color="auto" w:fill="auto"/>
            <w:vAlign w:val="center"/>
          </w:tcPr>
          <w:p w:rsidR="000A3129" w:rsidRPr="00D74391" w:rsidRDefault="000A3129"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2</w:t>
            </w:r>
          </w:p>
        </w:tc>
        <w:tc>
          <w:tcPr>
            <w:tcW w:w="2410" w:type="dxa"/>
            <w:shd w:val="clear" w:color="auto" w:fill="auto"/>
            <w:vAlign w:val="center"/>
          </w:tcPr>
          <w:p w:rsidR="000A3129" w:rsidRPr="00D74391" w:rsidRDefault="000A3129" w:rsidP="00D74391">
            <w:pPr>
              <w:spacing w:before="50" w:after="50" w:line="276" w:lineRule="auto"/>
              <w:ind w:right="-108"/>
              <w:rPr>
                <w:rFonts w:ascii="Gill Sans MT" w:hAnsi="Gill Sans MT" w:cs="Arial"/>
                <w:sz w:val="22"/>
                <w:szCs w:val="22"/>
              </w:rPr>
            </w:pPr>
            <w:r w:rsidRPr="00D74391">
              <w:rPr>
                <w:rFonts w:ascii="Gill Sans MT" w:hAnsi="Gill Sans MT" w:cs="Arial"/>
                <w:sz w:val="22"/>
                <w:szCs w:val="22"/>
              </w:rPr>
              <w:t>Create a shared vision and common direction</w:t>
            </w:r>
            <w:r w:rsidR="00912275" w:rsidRPr="00D74391">
              <w:rPr>
                <w:rFonts w:ascii="Gill Sans MT" w:hAnsi="Gill Sans MT" w:cs="Arial"/>
                <w:sz w:val="22"/>
                <w:szCs w:val="22"/>
              </w:rPr>
              <w:t>.</w:t>
            </w:r>
          </w:p>
        </w:tc>
        <w:tc>
          <w:tcPr>
            <w:tcW w:w="6662" w:type="dxa"/>
            <w:shd w:val="clear" w:color="auto" w:fill="auto"/>
            <w:vAlign w:val="center"/>
          </w:tcPr>
          <w:p w:rsidR="000A3129" w:rsidRPr="00D74391" w:rsidRDefault="000A3129" w:rsidP="00D74391">
            <w:pPr>
              <w:spacing w:before="50" w:after="50" w:line="276" w:lineRule="auto"/>
              <w:ind w:right="-108"/>
              <w:rPr>
                <w:rFonts w:ascii="Gill Sans MT" w:hAnsi="Gill Sans MT" w:cs="Arial"/>
                <w:sz w:val="22"/>
                <w:szCs w:val="22"/>
              </w:rPr>
            </w:pPr>
            <w:r w:rsidRPr="00D74391">
              <w:rPr>
                <w:rFonts w:ascii="Gill Sans MT" w:hAnsi="Gill Sans MT" w:cs="Arial"/>
                <w:sz w:val="22"/>
                <w:szCs w:val="22"/>
              </w:rPr>
              <w:t xml:space="preserve">Having identified some share reasons for changing, the next question is, where to exactly? There needs to be some agreement on the desire future state. </w:t>
            </w:r>
          </w:p>
        </w:tc>
      </w:tr>
      <w:tr w:rsidR="00D74391" w:rsidRPr="00D74391" w:rsidTr="00EB0A6F">
        <w:trPr>
          <w:trHeight w:val="20"/>
        </w:trPr>
        <w:tc>
          <w:tcPr>
            <w:tcW w:w="709" w:type="dxa"/>
            <w:shd w:val="clear" w:color="auto" w:fill="DBE5F1" w:themeFill="accent1" w:themeFillTint="33"/>
            <w:vAlign w:val="center"/>
          </w:tcPr>
          <w:p w:rsidR="000A3129" w:rsidRPr="00D74391" w:rsidRDefault="000A3129"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3</w:t>
            </w:r>
          </w:p>
        </w:tc>
        <w:tc>
          <w:tcPr>
            <w:tcW w:w="2410" w:type="dxa"/>
            <w:shd w:val="clear" w:color="auto" w:fill="DBE5F1" w:themeFill="accent1" w:themeFillTint="33"/>
            <w:vAlign w:val="center"/>
          </w:tcPr>
          <w:p w:rsidR="000A3129" w:rsidRPr="00D74391" w:rsidRDefault="000A3129" w:rsidP="00D74391">
            <w:pPr>
              <w:spacing w:before="50" w:after="50" w:line="276" w:lineRule="auto"/>
              <w:ind w:right="-108"/>
              <w:rPr>
                <w:rFonts w:ascii="Gill Sans MT" w:hAnsi="Gill Sans MT" w:cs="Arial"/>
                <w:sz w:val="22"/>
                <w:szCs w:val="22"/>
              </w:rPr>
            </w:pPr>
            <w:r w:rsidRPr="00D74391">
              <w:rPr>
                <w:rFonts w:ascii="Gill Sans MT" w:hAnsi="Gill Sans MT" w:cs="Arial"/>
                <w:sz w:val="22"/>
                <w:szCs w:val="22"/>
              </w:rPr>
              <w:t>Separate from the past</w:t>
            </w:r>
            <w:r w:rsidR="00912275" w:rsidRPr="00D74391">
              <w:rPr>
                <w:rFonts w:ascii="Gill Sans MT" w:hAnsi="Gill Sans MT" w:cs="Arial"/>
                <w:sz w:val="22"/>
                <w:szCs w:val="22"/>
              </w:rPr>
              <w:t>.</w:t>
            </w:r>
          </w:p>
        </w:tc>
        <w:tc>
          <w:tcPr>
            <w:tcW w:w="6662" w:type="dxa"/>
            <w:shd w:val="clear" w:color="auto" w:fill="DBE5F1" w:themeFill="accent1" w:themeFillTint="33"/>
            <w:vAlign w:val="center"/>
          </w:tcPr>
          <w:p w:rsidR="000A3129" w:rsidRPr="00D74391" w:rsidRDefault="000A3129" w:rsidP="00D74391">
            <w:pPr>
              <w:spacing w:before="50" w:after="50" w:line="276" w:lineRule="auto"/>
              <w:ind w:right="-108"/>
              <w:rPr>
                <w:rFonts w:ascii="Gill Sans MT" w:hAnsi="Gill Sans MT" w:cs="Arial"/>
                <w:sz w:val="22"/>
                <w:szCs w:val="22"/>
              </w:rPr>
            </w:pPr>
            <w:r w:rsidRPr="00D74391">
              <w:rPr>
                <w:rFonts w:ascii="Gill Sans MT" w:hAnsi="Gill Sans MT" w:cs="Arial"/>
                <w:sz w:val="22"/>
                <w:szCs w:val="22"/>
              </w:rPr>
              <w:t xml:space="preserve">An organisation </w:t>
            </w:r>
            <w:r w:rsidR="00DB5F72" w:rsidRPr="00D74391">
              <w:rPr>
                <w:rFonts w:ascii="Gill Sans MT" w:hAnsi="Gill Sans MT" w:cs="Arial"/>
                <w:sz w:val="22"/>
                <w:szCs w:val="22"/>
              </w:rPr>
              <w:t xml:space="preserve">needs to </w:t>
            </w:r>
            <w:r w:rsidRPr="00D74391">
              <w:rPr>
                <w:rFonts w:ascii="Gill Sans MT" w:hAnsi="Gill Sans MT" w:cs="Arial"/>
                <w:sz w:val="22"/>
                <w:szCs w:val="22"/>
              </w:rPr>
              <w:t>unfreeze its attitudes, structures and systems so that they can be reconfigured. Help employees understand the continuing need for change.</w:t>
            </w:r>
          </w:p>
        </w:tc>
      </w:tr>
      <w:tr w:rsidR="00D74391" w:rsidRPr="00D74391" w:rsidTr="00EB0A6F">
        <w:trPr>
          <w:trHeight w:val="20"/>
        </w:trPr>
        <w:tc>
          <w:tcPr>
            <w:tcW w:w="709" w:type="dxa"/>
            <w:shd w:val="clear" w:color="auto" w:fill="auto"/>
            <w:vAlign w:val="center"/>
          </w:tcPr>
          <w:p w:rsidR="000A3129" w:rsidRPr="00D74391" w:rsidRDefault="000A3129"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4</w:t>
            </w:r>
          </w:p>
        </w:tc>
        <w:tc>
          <w:tcPr>
            <w:tcW w:w="2410" w:type="dxa"/>
            <w:shd w:val="clear" w:color="auto" w:fill="auto"/>
            <w:vAlign w:val="center"/>
          </w:tcPr>
          <w:p w:rsidR="000A3129" w:rsidRPr="00D74391" w:rsidRDefault="000A3129" w:rsidP="00D74391">
            <w:pPr>
              <w:spacing w:before="50" w:after="50" w:line="276" w:lineRule="auto"/>
              <w:ind w:right="-108"/>
              <w:rPr>
                <w:rFonts w:ascii="Gill Sans MT" w:hAnsi="Gill Sans MT" w:cs="Arial"/>
                <w:sz w:val="22"/>
                <w:szCs w:val="22"/>
              </w:rPr>
            </w:pPr>
            <w:r w:rsidRPr="00D74391">
              <w:rPr>
                <w:rFonts w:ascii="Gill Sans MT" w:hAnsi="Gill Sans MT" w:cs="Arial"/>
                <w:sz w:val="22"/>
                <w:szCs w:val="22"/>
              </w:rPr>
              <w:t>Create a sense of urgency</w:t>
            </w:r>
            <w:r w:rsidR="00912275" w:rsidRPr="00D74391">
              <w:rPr>
                <w:rFonts w:ascii="Gill Sans MT" w:hAnsi="Gill Sans MT" w:cs="Arial"/>
                <w:sz w:val="22"/>
                <w:szCs w:val="22"/>
              </w:rPr>
              <w:t>.</w:t>
            </w:r>
          </w:p>
        </w:tc>
        <w:tc>
          <w:tcPr>
            <w:tcW w:w="6662" w:type="dxa"/>
            <w:shd w:val="clear" w:color="auto" w:fill="auto"/>
            <w:vAlign w:val="center"/>
          </w:tcPr>
          <w:p w:rsidR="000A3129" w:rsidRPr="00D74391" w:rsidRDefault="000A3129" w:rsidP="00D74391">
            <w:pPr>
              <w:spacing w:before="50" w:after="50" w:line="276" w:lineRule="auto"/>
              <w:ind w:right="-108"/>
              <w:rPr>
                <w:rFonts w:ascii="Gill Sans MT" w:hAnsi="Gill Sans MT" w:cs="Arial"/>
                <w:sz w:val="22"/>
                <w:szCs w:val="22"/>
              </w:rPr>
            </w:pPr>
            <w:r w:rsidRPr="00D74391">
              <w:rPr>
                <w:rFonts w:ascii="Gill Sans MT" w:hAnsi="Gill Sans MT" w:cs="Arial"/>
                <w:sz w:val="22"/>
                <w:szCs w:val="22"/>
              </w:rPr>
              <w:t xml:space="preserve">Managers </w:t>
            </w:r>
            <w:r w:rsidR="00DB5F72" w:rsidRPr="00D74391">
              <w:rPr>
                <w:rFonts w:ascii="Gill Sans MT" w:hAnsi="Gill Sans MT" w:cs="Arial"/>
                <w:sz w:val="22"/>
                <w:szCs w:val="22"/>
              </w:rPr>
              <w:t xml:space="preserve">need to </w:t>
            </w:r>
            <w:r w:rsidRPr="00D74391">
              <w:rPr>
                <w:rFonts w:ascii="Gill Sans MT" w:hAnsi="Gill Sans MT" w:cs="Arial"/>
                <w:sz w:val="22"/>
                <w:szCs w:val="22"/>
              </w:rPr>
              <w:t>become masters at creating a sense of urgency and communicate information to employees.</w:t>
            </w:r>
          </w:p>
        </w:tc>
      </w:tr>
    </w:tbl>
    <w:p w:rsidR="007045D3" w:rsidRPr="00003941" w:rsidRDefault="007045D3" w:rsidP="00003941">
      <w:pPr>
        <w:pStyle w:val="HeadingThree"/>
        <w:shd w:val="clear" w:color="auto" w:fill="FFFFFF" w:themeFill="background1"/>
        <w:rPr>
          <w:color w:val="FFFFFF" w:themeColor="background1"/>
        </w:rPr>
      </w:pPr>
      <w:r w:rsidRPr="00A22514">
        <w:t>Capabilities</w:t>
      </w:r>
      <w:r w:rsidR="00912275" w:rsidRPr="00003941">
        <w:rPr>
          <w:color w:val="FFFFFF" w:themeColor="background1"/>
        </w:rPr>
        <w:t>.</w:t>
      </w:r>
    </w:p>
    <w:tbl>
      <w:tblPr>
        <w:tblStyle w:val="TableGrid"/>
        <w:tblW w:w="9781"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680" w:firstRow="0" w:lastRow="0" w:firstColumn="1" w:lastColumn="0" w:noHBand="1" w:noVBand="1"/>
        <w:tblCaption w:val="Readiness"/>
        <w:tblDescription w:val="Readiness"/>
      </w:tblPr>
      <w:tblGrid>
        <w:gridCol w:w="709"/>
        <w:gridCol w:w="2410"/>
        <w:gridCol w:w="6662"/>
      </w:tblGrid>
      <w:tr w:rsidR="00D74391" w:rsidRPr="00D74391" w:rsidTr="00EB0A6F">
        <w:trPr>
          <w:trHeight w:val="20"/>
          <w:tblHeader/>
        </w:trPr>
        <w:tc>
          <w:tcPr>
            <w:tcW w:w="709" w:type="dxa"/>
            <w:tcBorders>
              <w:right w:val="single" w:sz="4" w:space="0" w:color="FFFFFF" w:themeColor="background1"/>
            </w:tcBorders>
            <w:shd w:val="clear" w:color="auto" w:fill="1F497D" w:themeFill="text2"/>
            <w:vAlign w:val="center"/>
          </w:tcPr>
          <w:p w:rsidR="00D74391" w:rsidRPr="00D74391" w:rsidRDefault="00D74391" w:rsidP="00D74391">
            <w:pPr>
              <w:spacing w:before="50" w:after="50" w:line="276" w:lineRule="auto"/>
              <w:jc w:val="center"/>
              <w:rPr>
                <w:rFonts w:ascii="Gill Sans MT" w:hAnsi="Gill Sans MT" w:cs="Arial"/>
                <w:b/>
                <w:color w:val="FFFFFF" w:themeColor="background1"/>
                <w:sz w:val="22"/>
                <w:szCs w:val="22"/>
              </w:rPr>
            </w:pPr>
            <w:bookmarkStart w:id="0" w:name="_GoBack"/>
            <w:bookmarkEnd w:id="0"/>
            <w:r w:rsidRPr="00D74391">
              <w:rPr>
                <w:rFonts w:ascii="Gill Sans MT" w:hAnsi="Gill Sans MT" w:cs="Arial"/>
                <w:b/>
                <w:color w:val="FFFFFF" w:themeColor="background1"/>
                <w:sz w:val="22"/>
                <w:szCs w:val="22"/>
              </w:rPr>
              <w:t>No.</w:t>
            </w:r>
          </w:p>
        </w:tc>
        <w:tc>
          <w:tcPr>
            <w:tcW w:w="2410" w:type="dxa"/>
            <w:tcBorders>
              <w:left w:val="single" w:sz="4" w:space="0" w:color="FFFFFF" w:themeColor="background1"/>
              <w:right w:val="single" w:sz="4" w:space="0" w:color="FFFFFF" w:themeColor="background1"/>
            </w:tcBorders>
            <w:shd w:val="clear" w:color="auto" w:fill="1F497D" w:themeFill="text2"/>
            <w:vAlign w:val="center"/>
          </w:tcPr>
          <w:p w:rsidR="00D74391" w:rsidRPr="00D74391" w:rsidRDefault="00D74391" w:rsidP="00E57B91">
            <w:pPr>
              <w:spacing w:before="50" w:after="50" w:line="276" w:lineRule="auto"/>
              <w:ind w:right="-108"/>
              <w:rPr>
                <w:rFonts w:ascii="Gill Sans MT" w:hAnsi="Gill Sans MT" w:cs="Arial"/>
                <w:b/>
                <w:color w:val="FFFFFF" w:themeColor="background1"/>
                <w:sz w:val="22"/>
                <w:szCs w:val="22"/>
              </w:rPr>
            </w:pPr>
            <w:r w:rsidRPr="00D74391">
              <w:rPr>
                <w:rFonts w:ascii="Gill Sans MT" w:hAnsi="Gill Sans MT" w:cs="Arial"/>
                <w:b/>
                <w:color w:val="FFFFFF" w:themeColor="background1"/>
                <w:sz w:val="22"/>
                <w:szCs w:val="22"/>
              </w:rPr>
              <w:t>Action</w:t>
            </w:r>
            <w:r w:rsidRPr="00BC7A45">
              <w:rPr>
                <w:rFonts w:ascii="Gill Sans MT" w:hAnsi="Gill Sans MT" w:cs="Arial"/>
                <w:b/>
                <w:color w:val="1F497D" w:themeColor="text2"/>
                <w:sz w:val="22"/>
                <w:szCs w:val="22"/>
              </w:rPr>
              <w:t>.</w:t>
            </w:r>
          </w:p>
        </w:tc>
        <w:tc>
          <w:tcPr>
            <w:tcW w:w="6662" w:type="dxa"/>
            <w:tcBorders>
              <w:left w:val="single" w:sz="4" w:space="0" w:color="FFFFFF" w:themeColor="background1"/>
            </w:tcBorders>
            <w:shd w:val="clear" w:color="auto" w:fill="1F497D" w:themeFill="text2"/>
            <w:vAlign w:val="center"/>
          </w:tcPr>
          <w:p w:rsidR="00D74391" w:rsidRPr="00D74391" w:rsidRDefault="00D74391" w:rsidP="00E57B91">
            <w:pPr>
              <w:spacing w:before="50" w:after="50" w:line="276" w:lineRule="auto"/>
              <w:ind w:right="-108"/>
              <w:rPr>
                <w:rFonts w:ascii="Gill Sans MT" w:hAnsi="Gill Sans MT" w:cs="Arial"/>
                <w:b/>
                <w:color w:val="FFFFFF" w:themeColor="background1"/>
                <w:sz w:val="22"/>
                <w:szCs w:val="22"/>
              </w:rPr>
            </w:pPr>
            <w:r w:rsidRPr="00D74391">
              <w:rPr>
                <w:rFonts w:ascii="Gill Sans MT" w:hAnsi="Gill Sans MT" w:cs="Arial"/>
                <w:b/>
                <w:color w:val="FFFFFF" w:themeColor="background1"/>
                <w:sz w:val="22"/>
                <w:szCs w:val="22"/>
              </w:rPr>
              <w:t>Explanation</w:t>
            </w:r>
            <w:r w:rsidRPr="00B07CAC">
              <w:rPr>
                <w:rFonts w:ascii="Gill Sans MT" w:hAnsi="Gill Sans MT" w:cs="Arial"/>
                <w:b/>
                <w:color w:val="1F497D" w:themeColor="text2"/>
                <w:sz w:val="22"/>
                <w:szCs w:val="22"/>
              </w:rPr>
              <w:t>.</w:t>
            </w:r>
          </w:p>
        </w:tc>
      </w:tr>
      <w:tr w:rsidR="00D74391" w:rsidRPr="00D74391" w:rsidTr="00EB0A6F">
        <w:trPr>
          <w:trHeight w:val="20"/>
        </w:trPr>
        <w:tc>
          <w:tcPr>
            <w:tcW w:w="709" w:type="dxa"/>
            <w:shd w:val="clear" w:color="auto" w:fill="DBE5F1" w:themeFill="accent1" w:themeFillTint="33"/>
            <w:vAlign w:val="center"/>
          </w:tcPr>
          <w:p w:rsidR="00D74391" w:rsidRPr="00D74391" w:rsidRDefault="00D74391"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5</w:t>
            </w:r>
          </w:p>
        </w:tc>
        <w:tc>
          <w:tcPr>
            <w:tcW w:w="2410" w:type="dxa"/>
            <w:shd w:val="clear" w:color="auto" w:fill="DBE5F1" w:themeFill="accent1" w:themeFillTint="33"/>
            <w:vAlign w:val="center"/>
          </w:tcPr>
          <w:p w:rsidR="00D74391" w:rsidRPr="00D74391" w:rsidRDefault="00D74391" w:rsidP="00D74391">
            <w:pPr>
              <w:spacing w:before="50" w:after="50" w:line="276" w:lineRule="auto"/>
              <w:rPr>
                <w:rFonts w:ascii="Gill Sans MT" w:hAnsi="Gill Sans MT" w:cs="Arial"/>
                <w:sz w:val="22"/>
                <w:szCs w:val="22"/>
              </w:rPr>
            </w:pPr>
            <w:r w:rsidRPr="00D74391">
              <w:rPr>
                <w:rFonts w:ascii="Gill Sans MT" w:hAnsi="Gill Sans MT" w:cs="Arial"/>
                <w:sz w:val="22"/>
                <w:szCs w:val="22"/>
              </w:rPr>
              <w:t>Develop a strong leader role.</w:t>
            </w:r>
          </w:p>
        </w:tc>
        <w:tc>
          <w:tcPr>
            <w:tcW w:w="6662" w:type="dxa"/>
            <w:shd w:val="clear" w:color="auto" w:fill="DBE5F1" w:themeFill="accent1" w:themeFillTint="33"/>
            <w:vAlign w:val="center"/>
          </w:tcPr>
          <w:p w:rsidR="00D74391" w:rsidRPr="00A22514" w:rsidRDefault="00D74391" w:rsidP="00D74391">
            <w:pPr>
              <w:spacing w:before="50" w:after="50" w:line="276" w:lineRule="auto"/>
              <w:rPr>
                <w:rFonts w:ascii="Gill Sans MT" w:hAnsi="Gill Sans MT" w:cs="Arial"/>
                <w:sz w:val="22"/>
                <w:szCs w:val="22"/>
              </w:rPr>
            </w:pPr>
            <w:r w:rsidRPr="00A22514">
              <w:rPr>
                <w:rFonts w:ascii="Gill Sans MT" w:hAnsi="Gill Sans MT" w:cs="Arial"/>
                <w:sz w:val="22"/>
                <w:szCs w:val="22"/>
              </w:rPr>
              <w:t>Change efforts need a guiding force. Be a role model and communicate why new behaviour is needed; endorse and support new activities. Utilise change leaders at all levels of the organisation.</w:t>
            </w:r>
          </w:p>
        </w:tc>
      </w:tr>
      <w:tr w:rsidR="00D74391" w:rsidRPr="00D74391" w:rsidTr="00EB0A6F">
        <w:trPr>
          <w:trHeight w:val="20"/>
        </w:trPr>
        <w:tc>
          <w:tcPr>
            <w:tcW w:w="709" w:type="dxa"/>
            <w:shd w:val="clear" w:color="auto" w:fill="auto"/>
            <w:vAlign w:val="center"/>
          </w:tcPr>
          <w:p w:rsidR="00D74391" w:rsidRPr="00D74391" w:rsidRDefault="00D74391"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6</w:t>
            </w:r>
          </w:p>
        </w:tc>
        <w:tc>
          <w:tcPr>
            <w:tcW w:w="2410" w:type="dxa"/>
            <w:shd w:val="clear" w:color="auto" w:fill="auto"/>
            <w:vAlign w:val="center"/>
          </w:tcPr>
          <w:p w:rsidR="00D74391" w:rsidRPr="00D74391" w:rsidRDefault="00D74391" w:rsidP="00D74391">
            <w:pPr>
              <w:spacing w:before="50" w:after="50" w:line="276" w:lineRule="auto"/>
              <w:rPr>
                <w:rFonts w:ascii="Gill Sans MT" w:hAnsi="Gill Sans MT" w:cs="Arial"/>
                <w:sz w:val="22"/>
                <w:szCs w:val="22"/>
              </w:rPr>
            </w:pPr>
            <w:r w:rsidRPr="00D74391">
              <w:rPr>
                <w:rFonts w:ascii="Gill Sans MT" w:hAnsi="Gill Sans MT" w:cs="Arial"/>
                <w:sz w:val="22"/>
                <w:szCs w:val="22"/>
              </w:rPr>
              <w:t>Line up political sponsorship.</w:t>
            </w:r>
          </w:p>
        </w:tc>
        <w:tc>
          <w:tcPr>
            <w:tcW w:w="6662" w:type="dxa"/>
            <w:shd w:val="clear" w:color="auto" w:fill="auto"/>
            <w:vAlign w:val="center"/>
          </w:tcPr>
          <w:p w:rsidR="00D74391" w:rsidRPr="00A22514" w:rsidRDefault="00D74391" w:rsidP="00D74391">
            <w:pPr>
              <w:spacing w:before="50" w:after="50" w:line="276" w:lineRule="auto"/>
              <w:rPr>
                <w:rFonts w:ascii="Gill Sans MT" w:hAnsi="Gill Sans MT" w:cs="Arial"/>
                <w:sz w:val="22"/>
                <w:szCs w:val="22"/>
              </w:rPr>
            </w:pPr>
            <w:r w:rsidRPr="00A22514">
              <w:rPr>
                <w:rFonts w:ascii="Gill Sans MT" w:hAnsi="Gill Sans MT" w:cs="Arial"/>
                <w:sz w:val="22"/>
                <w:szCs w:val="22"/>
              </w:rPr>
              <w:t>How easily an organisation accepts change can depend heavily on both how it is presented and on who supports it.</w:t>
            </w:r>
          </w:p>
        </w:tc>
      </w:tr>
      <w:tr w:rsidR="00D74391" w:rsidRPr="00D74391" w:rsidTr="00EB0A6F">
        <w:trPr>
          <w:trHeight w:val="20"/>
        </w:trPr>
        <w:tc>
          <w:tcPr>
            <w:tcW w:w="709" w:type="dxa"/>
            <w:shd w:val="clear" w:color="auto" w:fill="DBE5F1" w:themeFill="accent1" w:themeFillTint="33"/>
            <w:vAlign w:val="center"/>
          </w:tcPr>
          <w:p w:rsidR="00D74391" w:rsidRPr="00D74391" w:rsidRDefault="00D74391"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7</w:t>
            </w:r>
          </w:p>
        </w:tc>
        <w:tc>
          <w:tcPr>
            <w:tcW w:w="2410" w:type="dxa"/>
            <w:shd w:val="clear" w:color="auto" w:fill="DBE5F1" w:themeFill="accent1" w:themeFillTint="33"/>
            <w:vAlign w:val="center"/>
          </w:tcPr>
          <w:p w:rsidR="00D74391" w:rsidRPr="00D74391" w:rsidRDefault="00D74391" w:rsidP="00D74391">
            <w:pPr>
              <w:spacing w:before="50" w:after="50" w:line="276" w:lineRule="auto"/>
              <w:rPr>
                <w:rFonts w:ascii="Gill Sans MT" w:hAnsi="Gill Sans MT" w:cs="Arial"/>
                <w:sz w:val="22"/>
                <w:szCs w:val="22"/>
              </w:rPr>
            </w:pPr>
            <w:r w:rsidRPr="00D74391">
              <w:rPr>
                <w:rFonts w:ascii="Gill Sans MT" w:hAnsi="Gill Sans MT" w:cs="Arial"/>
                <w:sz w:val="22"/>
                <w:szCs w:val="22"/>
              </w:rPr>
              <w:t>Craft an implementation plan.</w:t>
            </w:r>
          </w:p>
        </w:tc>
        <w:tc>
          <w:tcPr>
            <w:tcW w:w="6662" w:type="dxa"/>
            <w:shd w:val="clear" w:color="auto" w:fill="DBE5F1" w:themeFill="accent1" w:themeFillTint="33"/>
            <w:vAlign w:val="center"/>
          </w:tcPr>
          <w:p w:rsidR="00D74391" w:rsidRPr="00A22514" w:rsidRDefault="00D74391" w:rsidP="00D74391">
            <w:pPr>
              <w:spacing w:before="50" w:after="50" w:line="276" w:lineRule="auto"/>
              <w:rPr>
                <w:rFonts w:ascii="Gill Sans MT" w:hAnsi="Gill Sans MT" w:cs="Arial"/>
                <w:sz w:val="22"/>
                <w:szCs w:val="22"/>
              </w:rPr>
            </w:pPr>
            <w:r w:rsidRPr="00A22514">
              <w:rPr>
                <w:rFonts w:ascii="Gill Sans MT" w:hAnsi="Gill Sans MT" w:cs="Arial"/>
                <w:sz w:val="22"/>
                <w:szCs w:val="22"/>
              </w:rPr>
              <w:t>Develop a concise, clearly written implementation plan for the change and distribute it to gain support.</w:t>
            </w:r>
          </w:p>
        </w:tc>
      </w:tr>
      <w:tr w:rsidR="00D74391" w:rsidRPr="00D74391" w:rsidTr="00EB0A6F">
        <w:trPr>
          <w:trHeight w:val="20"/>
        </w:trPr>
        <w:tc>
          <w:tcPr>
            <w:tcW w:w="709" w:type="dxa"/>
            <w:shd w:val="clear" w:color="auto" w:fill="auto"/>
            <w:vAlign w:val="center"/>
          </w:tcPr>
          <w:p w:rsidR="00D74391" w:rsidRPr="00D74391" w:rsidRDefault="00D74391"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8</w:t>
            </w:r>
          </w:p>
        </w:tc>
        <w:tc>
          <w:tcPr>
            <w:tcW w:w="2410" w:type="dxa"/>
            <w:shd w:val="clear" w:color="auto" w:fill="auto"/>
            <w:vAlign w:val="center"/>
          </w:tcPr>
          <w:p w:rsidR="00D74391" w:rsidRPr="00D74391" w:rsidRDefault="00D74391" w:rsidP="00D74391">
            <w:pPr>
              <w:spacing w:before="50" w:after="50" w:line="276" w:lineRule="auto"/>
              <w:rPr>
                <w:rFonts w:ascii="Gill Sans MT" w:hAnsi="Gill Sans MT" w:cs="Arial"/>
                <w:sz w:val="22"/>
                <w:szCs w:val="22"/>
              </w:rPr>
            </w:pPr>
            <w:r w:rsidRPr="00D74391">
              <w:rPr>
                <w:rFonts w:ascii="Gill Sans MT" w:hAnsi="Gill Sans MT" w:cs="Arial"/>
                <w:sz w:val="22"/>
                <w:szCs w:val="22"/>
              </w:rPr>
              <w:t>Develop enabling structures and reinforcements.</w:t>
            </w:r>
          </w:p>
        </w:tc>
        <w:tc>
          <w:tcPr>
            <w:tcW w:w="6662" w:type="dxa"/>
            <w:shd w:val="clear" w:color="auto" w:fill="auto"/>
            <w:vAlign w:val="center"/>
          </w:tcPr>
          <w:p w:rsidR="00D74391" w:rsidRPr="00A22514" w:rsidRDefault="00D74391" w:rsidP="00D74391">
            <w:pPr>
              <w:spacing w:before="50" w:after="50" w:line="276" w:lineRule="auto"/>
              <w:rPr>
                <w:rFonts w:ascii="Gill Sans MT" w:hAnsi="Gill Sans MT" w:cs="Arial"/>
                <w:sz w:val="22"/>
                <w:szCs w:val="22"/>
              </w:rPr>
            </w:pPr>
            <w:r w:rsidRPr="00A22514">
              <w:rPr>
                <w:rFonts w:ascii="Gill Sans MT" w:hAnsi="Gill Sans MT" w:cs="Arial"/>
                <w:sz w:val="22"/>
                <w:szCs w:val="22"/>
              </w:rPr>
              <w:t>An organisation that is serious about change will use a number of enabling structures to accelerate and reinforce change eg weekly team meetings; training.</w:t>
            </w:r>
          </w:p>
        </w:tc>
      </w:tr>
      <w:tr w:rsidR="00D74391" w:rsidRPr="00D74391" w:rsidTr="00EB0A6F">
        <w:trPr>
          <w:trHeight w:val="20"/>
        </w:trPr>
        <w:tc>
          <w:tcPr>
            <w:tcW w:w="709" w:type="dxa"/>
            <w:shd w:val="clear" w:color="auto" w:fill="DBE5F1" w:themeFill="accent1" w:themeFillTint="33"/>
            <w:vAlign w:val="center"/>
          </w:tcPr>
          <w:p w:rsidR="00D74391" w:rsidRPr="00D74391" w:rsidRDefault="00D74391"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9</w:t>
            </w:r>
          </w:p>
        </w:tc>
        <w:tc>
          <w:tcPr>
            <w:tcW w:w="2410" w:type="dxa"/>
            <w:shd w:val="clear" w:color="auto" w:fill="DBE5F1" w:themeFill="accent1" w:themeFillTint="33"/>
            <w:vAlign w:val="center"/>
          </w:tcPr>
          <w:p w:rsidR="00D74391" w:rsidRPr="00D74391" w:rsidRDefault="00D74391" w:rsidP="00D74391">
            <w:pPr>
              <w:spacing w:before="50" w:after="50" w:line="276" w:lineRule="auto"/>
              <w:rPr>
                <w:rFonts w:ascii="Gill Sans MT" w:hAnsi="Gill Sans MT" w:cs="Arial"/>
                <w:sz w:val="22"/>
                <w:szCs w:val="22"/>
              </w:rPr>
            </w:pPr>
            <w:r w:rsidRPr="00D74391">
              <w:rPr>
                <w:rFonts w:ascii="Gill Sans MT" w:hAnsi="Gill Sans MT" w:cs="Arial"/>
                <w:sz w:val="22"/>
                <w:szCs w:val="22"/>
              </w:rPr>
              <w:t>Communicate, involve people, and be honest.</w:t>
            </w:r>
          </w:p>
        </w:tc>
        <w:tc>
          <w:tcPr>
            <w:tcW w:w="6662" w:type="dxa"/>
            <w:shd w:val="clear" w:color="auto" w:fill="DBE5F1" w:themeFill="accent1" w:themeFillTint="33"/>
            <w:vAlign w:val="center"/>
          </w:tcPr>
          <w:p w:rsidR="00D74391" w:rsidRPr="00A22514" w:rsidRDefault="00D74391" w:rsidP="00D74391">
            <w:pPr>
              <w:spacing w:before="50" w:after="50" w:line="276" w:lineRule="auto"/>
              <w:rPr>
                <w:rFonts w:ascii="Gill Sans MT" w:hAnsi="Gill Sans MT" w:cs="Arial"/>
                <w:sz w:val="22"/>
                <w:szCs w:val="22"/>
              </w:rPr>
            </w:pPr>
            <w:r w:rsidRPr="00A22514">
              <w:rPr>
                <w:rFonts w:ascii="Gill Sans MT" w:hAnsi="Gill Sans MT" w:cs="Arial"/>
                <w:sz w:val="22"/>
                <w:szCs w:val="22"/>
              </w:rPr>
              <w:t>Involvement can take a broad variety of forms and can help employees to understand the change. Honesty is a critical part of involvement and good communication is essential.</w:t>
            </w:r>
          </w:p>
        </w:tc>
      </w:tr>
      <w:tr w:rsidR="00D74391" w:rsidRPr="00D74391" w:rsidTr="00EB0A6F">
        <w:trPr>
          <w:trHeight w:val="20"/>
        </w:trPr>
        <w:tc>
          <w:tcPr>
            <w:tcW w:w="709" w:type="dxa"/>
            <w:shd w:val="clear" w:color="auto" w:fill="auto"/>
            <w:vAlign w:val="center"/>
          </w:tcPr>
          <w:p w:rsidR="00D74391" w:rsidRPr="00D74391" w:rsidRDefault="00D74391" w:rsidP="00D74391">
            <w:pPr>
              <w:spacing w:before="50" w:after="50" w:line="276" w:lineRule="auto"/>
              <w:jc w:val="center"/>
              <w:rPr>
                <w:rFonts w:ascii="Gill Sans MT" w:hAnsi="Gill Sans MT" w:cs="Arial"/>
                <w:sz w:val="22"/>
                <w:szCs w:val="22"/>
              </w:rPr>
            </w:pPr>
            <w:r w:rsidRPr="00D74391">
              <w:rPr>
                <w:rFonts w:ascii="Gill Sans MT" w:hAnsi="Gill Sans MT" w:cs="Arial"/>
                <w:sz w:val="22"/>
                <w:szCs w:val="22"/>
              </w:rPr>
              <w:t>10</w:t>
            </w:r>
          </w:p>
        </w:tc>
        <w:tc>
          <w:tcPr>
            <w:tcW w:w="2410" w:type="dxa"/>
            <w:shd w:val="clear" w:color="auto" w:fill="auto"/>
            <w:vAlign w:val="center"/>
          </w:tcPr>
          <w:p w:rsidR="00D74391" w:rsidRPr="00D74391" w:rsidRDefault="00D74391" w:rsidP="00E57B91">
            <w:pPr>
              <w:spacing w:before="50" w:after="50" w:line="276" w:lineRule="auto"/>
              <w:rPr>
                <w:rFonts w:ascii="Gill Sans MT" w:hAnsi="Gill Sans MT" w:cs="Arial"/>
                <w:sz w:val="22"/>
                <w:szCs w:val="22"/>
              </w:rPr>
            </w:pPr>
            <w:r w:rsidRPr="00D74391">
              <w:rPr>
                <w:rFonts w:ascii="Gill Sans MT" w:hAnsi="Gill Sans MT" w:cs="Arial"/>
                <w:sz w:val="22"/>
                <w:szCs w:val="22"/>
              </w:rPr>
              <w:t>Monitor, refine, and institutionalize change.</w:t>
            </w:r>
          </w:p>
        </w:tc>
        <w:tc>
          <w:tcPr>
            <w:tcW w:w="6662" w:type="dxa"/>
            <w:shd w:val="clear" w:color="auto" w:fill="auto"/>
            <w:vAlign w:val="center"/>
          </w:tcPr>
          <w:p w:rsidR="00D74391" w:rsidRPr="00A22514" w:rsidRDefault="00D74391" w:rsidP="00E57B91">
            <w:pPr>
              <w:spacing w:before="50" w:after="50" w:line="276" w:lineRule="auto"/>
              <w:rPr>
                <w:rFonts w:ascii="Gill Sans MT" w:hAnsi="Gill Sans MT" w:cs="Arial"/>
                <w:sz w:val="22"/>
                <w:szCs w:val="22"/>
              </w:rPr>
            </w:pPr>
            <w:r w:rsidRPr="00A22514">
              <w:rPr>
                <w:rFonts w:ascii="Gill Sans MT" w:hAnsi="Gill Sans MT" w:cs="Arial"/>
                <w:sz w:val="22"/>
                <w:szCs w:val="22"/>
              </w:rPr>
              <w:t>All change requires careful monitoring of progress. Midpoint calibrations are essential to get to the finish line.</w:t>
            </w:r>
          </w:p>
        </w:tc>
      </w:tr>
    </w:tbl>
    <w:p w:rsidR="00E05B36" w:rsidRDefault="00E05B36" w:rsidP="004011D1">
      <w:pPr>
        <w:spacing w:before="120" w:line="276" w:lineRule="auto"/>
        <w:rPr>
          <w:rFonts w:ascii="Gill Sans MT" w:hAnsi="Gill Sans MT" w:cs="Arial"/>
          <w:sz w:val="20"/>
        </w:rPr>
      </w:pPr>
      <w:r>
        <w:rPr>
          <w:rFonts w:ascii="Gill Sans MT" w:hAnsi="Gill Sans MT" w:cs="Arial"/>
          <w:b/>
          <w:color w:val="000000" w:themeColor="text1"/>
          <w:sz w:val="20"/>
          <w:szCs w:val="20"/>
        </w:rPr>
        <w:t>Reference</w:t>
      </w:r>
      <w:r w:rsidRPr="009C16EC">
        <w:rPr>
          <w:rFonts w:ascii="Gill Sans MT" w:hAnsi="Gill Sans MT" w:cs="Arial"/>
          <w:b/>
          <w:color w:val="000000" w:themeColor="text1"/>
          <w:sz w:val="20"/>
          <w:szCs w:val="20"/>
        </w:rPr>
        <w:t>:</w:t>
      </w:r>
      <w:r w:rsidRPr="009C16EC">
        <w:rPr>
          <w:rFonts w:ascii="Gill Sans MT" w:hAnsi="Gill Sans MT" w:cs="Arial"/>
          <w:color w:val="000000" w:themeColor="text1"/>
          <w:sz w:val="20"/>
        </w:rPr>
        <w:t xml:space="preserve"> </w:t>
      </w:r>
      <w:r>
        <w:rPr>
          <w:rFonts w:ascii="Gill Sans MT" w:hAnsi="Gill Sans MT" w:cs="Arial"/>
          <w:sz w:val="20"/>
        </w:rPr>
        <w:t xml:space="preserve">Cohen Allan R, (1995), </w:t>
      </w:r>
      <w:proofErr w:type="gramStart"/>
      <w:r w:rsidRPr="00E05B36">
        <w:rPr>
          <w:rFonts w:ascii="Gill Sans MT" w:hAnsi="Gill Sans MT" w:cs="Arial"/>
          <w:i/>
          <w:sz w:val="20"/>
        </w:rPr>
        <w:t>The</w:t>
      </w:r>
      <w:proofErr w:type="gramEnd"/>
      <w:r w:rsidRPr="00E05B36">
        <w:rPr>
          <w:rFonts w:ascii="Gill Sans MT" w:hAnsi="Gill Sans MT" w:cs="Arial"/>
          <w:i/>
          <w:sz w:val="20"/>
        </w:rPr>
        <w:t xml:space="preserve"> Portable MBA in Management</w:t>
      </w:r>
      <w:r>
        <w:rPr>
          <w:rFonts w:ascii="Gill Sans MT" w:hAnsi="Gill Sans MT" w:cs="Arial"/>
          <w:sz w:val="20"/>
        </w:rPr>
        <w:t xml:space="preserve">, John Wiley &amp; Sons, Inc. </w:t>
      </w:r>
    </w:p>
    <w:sectPr w:rsidR="00E05B36" w:rsidSect="00AD1118">
      <w:footerReference w:type="default" r:id="rId9"/>
      <w:footerReference w:type="first" r:id="rId10"/>
      <w:type w:val="continuous"/>
      <w:pgSz w:w="11906" w:h="16838"/>
      <w:pgMar w:top="720" w:right="720" w:bottom="128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3" w:rsidRDefault="00BC68B3" w:rsidP="001E20B5">
      <w:r>
        <w:separator/>
      </w:r>
    </w:p>
  </w:endnote>
  <w:endnote w:type="continuationSeparator" w:id="0">
    <w:p w:rsidR="00BC68B3" w:rsidRDefault="00BC68B3"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20B0702020104020203"/>
    <w:charset w:val="00"/>
    <w:family w:val="swiss"/>
    <w:pitch w:val="variable"/>
    <w:sig w:usb0="8000026F" w:usb1="50000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D8" w:rsidRPr="005D13D8" w:rsidRDefault="00D74391" w:rsidP="005D13D8">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63360" behindDoc="1" locked="0" layoutInCell="1" allowOverlap="1" wp14:anchorId="61F27185" wp14:editId="2CF9D3E2">
          <wp:simplePos x="0" y="0"/>
          <wp:positionH relativeFrom="column">
            <wp:posOffset>-262890</wp:posOffset>
          </wp:positionH>
          <wp:positionV relativeFrom="paragraph">
            <wp:posOffset>-349250</wp:posOffset>
          </wp:positionV>
          <wp:extent cx="6948000" cy="662145"/>
          <wp:effectExtent l="0" t="0" r="0" b="5080"/>
          <wp:wrapNone/>
          <wp:docPr id="1026"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6621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D13D8">
      <w:rPr>
        <w:rFonts w:ascii="Gill Sans MT" w:hAnsi="Gill Sans MT"/>
        <w:sz w:val="20"/>
        <w:szCs w:val="20"/>
      </w:rPr>
      <w:t>State Service Management Office</w:t>
    </w:r>
  </w:p>
  <w:p w:rsidR="001E20B5" w:rsidRPr="008B07AE" w:rsidRDefault="005D13D8" w:rsidP="005D13D8">
    <w:pPr>
      <w:pStyle w:val="Footertext"/>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5" w:rsidRDefault="006E7AD5" w:rsidP="006E7AD5">
    <w:pPr>
      <w:pStyle w:val="Footer"/>
      <w:tabs>
        <w:tab w:val="clear" w:pos="4513"/>
        <w:tab w:val="clear" w:pos="9026"/>
        <w:tab w:val="left" w:pos="24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3" w:rsidRDefault="00BC68B3" w:rsidP="001E20B5">
      <w:r>
        <w:separator/>
      </w:r>
    </w:p>
  </w:footnote>
  <w:footnote w:type="continuationSeparator" w:id="0">
    <w:p w:rsidR="00BC68B3" w:rsidRDefault="00BC68B3" w:rsidP="001E2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28A1E56"/>
    <w:multiLevelType w:val="hybridMultilevel"/>
    <w:tmpl w:val="94089162"/>
    <w:lvl w:ilvl="0" w:tplc="F0823156">
      <w:start w:val="1"/>
      <w:numFmt w:val="decimal"/>
      <w:lvlText w:val="%1."/>
      <w:lvlJc w:val="left"/>
      <w:pPr>
        <w:ind w:left="428"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7">
    <w:nsid w:val="43235445"/>
    <w:multiLevelType w:val="hybridMultilevel"/>
    <w:tmpl w:val="E8849628"/>
    <w:lvl w:ilvl="0" w:tplc="620E3426">
      <w:start w:val="1"/>
      <w:numFmt w:val="decimal"/>
      <w:lvlText w:val="%1."/>
      <w:lvlJc w:val="left"/>
      <w:pPr>
        <w:ind w:left="727" w:hanging="585"/>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nsid w:val="47C5037F"/>
    <w:multiLevelType w:val="hybridMultilevel"/>
    <w:tmpl w:val="829AB68E"/>
    <w:lvl w:ilvl="0" w:tplc="F0823156">
      <w:start w:val="1"/>
      <w:numFmt w:val="decimal"/>
      <w:lvlText w:val="%1."/>
      <w:lvlJc w:val="left"/>
      <w:pPr>
        <w:ind w:left="428"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9">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A07022"/>
    <w:multiLevelType w:val="hybridMultilevel"/>
    <w:tmpl w:val="082AA68E"/>
    <w:lvl w:ilvl="0" w:tplc="886C2148">
      <w:start w:val="1"/>
      <w:numFmt w:val="decimal"/>
      <w:lvlText w:val="%1."/>
      <w:lvlJc w:val="left"/>
      <w:pPr>
        <w:ind w:left="607" w:hanging="465"/>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C73B6"/>
    <w:multiLevelType w:val="hybridMultilevel"/>
    <w:tmpl w:val="06264DE0"/>
    <w:lvl w:ilvl="0" w:tplc="F0823156">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num w:numId="1">
    <w:abstractNumId w:val="4"/>
  </w:num>
  <w:num w:numId="2">
    <w:abstractNumId w:val="11"/>
  </w:num>
  <w:num w:numId="3">
    <w:abstractNumId w:val="3"/>
  </w:num>
  <w:num w:numId="4">
    <w:abstractNumId w:val="5"/>
  </w:num>
  <w:num w:numId="5">
    <w:abstractNumId w:val="0"/>
  </w:num>
  <w:num w:numId="6">
    <w:abstractNumId w:val="1"/>
  </w:num>
  <w:num w:numId="7">
    <w:abstractNumId w:val="2"/>
  </w:num>
  <w:num w:numId="8">
    <w:abstractNumId w:val="9"/>
  </w:num>
  <w:num w:numId="9">
    <w:abstractNumId w:val="12"/>
  </w:num>
  <w:num w:numId="10">
    <w:abstractNumId w:val="6"/>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03941"/>
    <w:rsid w:val="00014A3B"/>
    <w:rsid w:val="00021C39"/>
    <w:rsid w:val="00053288"/>
    <w:rsid w:val="00084CBA"/>
    <w:rsid w:val="000A3129"/>
    <w:rsid w:val="000B756F"/>
    <w:rsid w:val="000D275D"/>
    <w:rsid w:val="000D357A"/>
    <w:rsid w:val="000F0026"/>
    <w:rsid w:val="001352FF"/>
    <w:rsid w:val="0015038A"/>
    <w:rsid w:val="001C562F"/>
    <w:rsid w:val="001E20B5"/>
    <w:rsid w:val="001E608A"/>
    <w:rsid w:val="001F6E6F"/>
    <w:rsid w:val="002247ED"/>
    <w:rsid w:val="002559EF"/>
    <w:rsid w:val="0027037B"/>
    <w:rsid w:val="00281957"/>
    <w:rsid w:val="002866CF"/>
    <w:rsid w:val="00293F03"/>
    <w:rsid w:val="00296BA7"/>
    <w:rsid w:val="002B3937"/>
    <w:rsid w:val="00317549"/>
    <w:rsid w:val="00324B30"/>
    <w:rsid w:val="003339C7"/>
    <w:rsid w:val="00383024"/>
    <w:rsid w:val="004011D1"/>
    <w:rsid w:val="00410CD2"/>
    <w:rsid w:val="00430D69"/>
    <w:rsid w:val="0049608C"/>
    <w:rsid w:val="004E74BC"/>
    <w:rsid w:val="00512C68"/>
    <w:rsid w:val="00527764"/>
    <w:rsid w:val="00536C92"/>
    <w:rsid w:val="00540405"/>
    <w:rsid w:val="00561591"/>
    <w:rsid w:val="005C146D"/>
    <w:rsid w:val="005D13D8"/>
    <w:rsid w:val="006154C6"/>
    <w:rsid w:val="0062162A"/>
    <w:rsid w:val="006240C5"/>
    <w:rsid w:val="00655156"/>
    <w:rsid w:val="00667F80"/>
    <w:rsid w:val="006A030A"/>
    <w:rsid w:val="006C60B0"/>
    <w:rsid w:val="006E7AD5"/>
    <w:rsid w:val="007045D3"/>
    <w:rsid w:val="00715347"/>
    <w:rsid w:val="0074481F"/>
    <w:rsid w:val="007722E8"/>
    <w:rsid w:val="007A22C8"/>
    <w:rsid w:val="007C68D0"/>
    <w:rsid w:val="007E1A9D"/>
    <w:rsid w:val="0085135C"/>
    <w:rsid w:val="00871573"/>
    <w:rsid w:val="008A2E4E"/>
    <w:rsid w:val="008B07AE"/>
    <w:rsid w:val="008E1BC1"/>
    <w:rsid w:val="00912275"/>
    <w:rsid w:val="009510C0"/>
    <w:rsid w:val="009D1EC3"/>
    <w:rsid w:val="009E78CD"/>
    <w:rsid w:val="00A22514"/>
    <w:rsid w:val="00A64471"/>
    <w:rsid w:val="00A80BB8"/>
    <w:rsid w:val="00AB5B71"/>
    <w:rsid w:val="00AD1118"/>
    <w:rsid w:val="00AE1088"/>
    <w:rsid w:val="00B051EE"/>
    <w:rsid w:val="00B07CAC"/>
    <w:rsid w:val="00B212B8"/>
    <w:rsid w:val="00B45E81"/>
    <w:rsid w:val="00B65D0E"/>
    <w:rsid w:val="00BC2DCE"/>
    <w:rsid w:val="00BC68B3"/>
    <w:rsid w:val="00BC7A45"/>
    <w:rsid w:val="00BD0D49"/>
    <w:rsid w:val="00BF71A3"/>
    <w:rsid w:val="00C02934"/>
    <w:rsid w:val="00C2260B"/>
    <w:rsid w:val="00C320EB"/>
    <w:rsid w:val="00C44143"/>
    <w:rsid w:val="00C459C1"/>
    <w:rsid w:val="00C517F5"/>
    <w:rsid w:val="00C97000"/>
    <w:rsid w:val="00CC3181"/>
    <w:rsid w:val="00CC7B11"/>
    <w:rsid w:val="00CE7BFE"/>
    <w:rsid w:val="00CF1C1C"/>
    <w:rsid w:val="00D30A8E"/>
    <w:rsid w:val="00D74391"/>
    <w:rsid w:val="00D7535C"/>
    <w:rsid w:val="00D87C47"/>
    <w:rsid w:val="00D91A46"/>
    <w:rsid w:val="00DB5F72"/>
    <w:rsid w:val="00E05B36"/>
    <w:rsid w:val="00E226EE"/>
    <w:rsid w:val="00E3638C"/>
    <w:rsid w:val="00E45F19"/>
    <w:rsid w:val="00E51265"/>
    <w:rsid w:val="00E97FF8"/>
    <w:rsid w:val="00EA0567"/>
    <w:rsid w:val="00EA5CBA"/>
    <w:rsid w:val="00EA5DA5"/>
    <w:rsid w:val="00EB0A6F"/>
    <w:rsid w:val="00EB1E68"/>
    <w:rsid w:val="00ED0BC9"/>
    <w:rsid w:val="00F31B86"/>
    <w:rsid w:val="00F5203F"/>
    <w:rsid w:val="00F569A2"/>
    <w:rsid w:val="00F8066F"/>
    <w:rsid w:val="00F933EE"/>
    <w:rsid w:val="00FB2C57"/>
    <w:rsid w:val="00FD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BF71A3"/>
    <w:rPr>
      <w:rFonts w:ascii="Gill Sans MT" w:hAnsi="Gill Sans MT"/>
      <w:b/>
      <w:color w:val="1F497D" w:themeColor="text2"/>
      <w:sz w:val="36"/>
      <w:szCs w:val="36"/>
    </w:rPr>
  </w:style>
  <w:style w:type="paragraph" w:customStyle="1" w:styleId="Sub-heading-cover">
    <w:name w:val="Sub-heading - cover"/>
    <w:basedOn w:val="Heading2"/>
    <w:qFormat/>
    <w:rsid w:val="00BF71A3"/>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912275"/>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BF71A3"/>
    <w:rPr>
      <w:rFonts w:ascii="Gill Sans MT" w:hAnsi="Gill Sans MT"/>
      <w:b/>
      <w:color w:val="1F497D" w:themeColor="text2"/>
      <w:sz w:val="36"/>
      <w:szCs w:val="36"/>
    </w:rPr>
  </w:style>
  <w:style w:type="paragraph" w:customStyle="1" w:styleId="Sub-heading-cover">
    <w:name w:val="Sub-heading - cover"/>
    <w:basedOn w:val="Heading2"/>
    <w:qFormat/>
    <w:rsid w:val="00BF71A3"/>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E20B5"/>
    <w:rPr>
      <w:b/>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912275"/>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0AB9-05CD-4CA5-BCE3-5031C709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379</Words>
  <Characters>2071</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Top 10 Things Change Managers Should Know and Do</dc:title>
  <dc:creator>Viv.Burgess</dc:creator>
  <cp:lastModifiedBy>Newton, Cameron</cp:lastModifiedBy>
  <cp:revision>26</cp:revision>
  <cp:lastPrinted>2016-02-16T01:35:00Z</cp:lastPrinted>
  <dcterms:created xsi:type="dcterms:W3CDTF">2016-02-16T04:42:00Z</dcterms:created>
  <dcterms:modified xsi:type="dcterms:W3CDTF">2016-11-08T01:25:00Z</dcterms:modified>
</cp:coreProperties>
</file>