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E" w:rsidRPr="00D45C32" w:rsidRDefault="00442E70" w:rsidP="00D45C32">
      <w:pPr>
        <w:pStyle w:val="Heading-cover"/>
        <w:rPr>
          <w:b/>
          <w:sz w:val="36"/>
          <w:szCs w:val="36"/>
        </w:rPr>
      </w:pPr>
      <w:r w:rsidRPr="00D45C32">
        <w:rPr>
          <w:b/>
          <w:sz w:val="36"/>
          <w:szCs w:val="36"/>
        </w:rPr>
        <w:t>Factsheet</w:t>
      </w:r>
    </w:p>
    <w:p w:rsidR="008B07AE" w:rsidRPr="00D45C32" w:rsidRDefault="0048464B" w:rsidP="00D45C32">
      <w:pPr>
        <w:pStyle w:val="Sub-heading-cov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 xml:space="preserve">Managing </w:t>
      </w:r>
      <w:bookmarkStart w:id="0" w:name="_GoBack"/>
      <w:r w:rsidRPr="00030A4D">
        <w:rPr>
          <w:b w:val="0"/>
          <w:sz w:val="56"/>
          <w:szCs w:val="56"/>
          <w:u w:val="single"/>
        </w:rPr>
        <w:t>I</w:t>
      </w:r>
      <w:r w:rsidR="00CE01C0" w:rsidRPr="00030A4D">
        <w:rPr>
          <w:b w:val="0"/>
          <w:sz w:val="56"/>
          <w:szCs w:val="56"/>
          <w:u w:val="single"/>
        </w:rPr>
        <w:t>ndividual</w:t>
      </w:r>
      <w:r w:rsidR="00CE01C0" w:rsidRPr="00D45C32">
        <w:rPr>
          <w:b w:val="0"/>
          <w:sz w:val="56"/>
          <w:szCs w:val="56"/>
        </w:rPr>
        <w:t xml:space="preserve"> </w:t>
      </w:r>
      <w:bookmarkEnd w:id="0"/>
      <w:r>
        <w:rPr>
          <w:b w:val="0"/>
          <w:sz w:val="56"/>
          <w:szCs w:val="56"/>
        </w:rPr>
        <w:t>R</w:t>
      </w:r>
      <w:r w:rsidR="00CE01C0" w:rsidRPr="00D45C32">
        <w:rPr>
          <w:b w:val="0"/>
          <w:sz w:val="56"/>
          <w:szCs w:val="56"/>
        </w:rPr>
        <w:t xml:space="preserve">eactions to </w:t>
      </w:r>
      <w:r>
        <w:rPr>
          <w:b w:val="0"/>
          <w:sz w:val="56"/>
          <w:szCs w:val="56"/>
        </w:rPr>
        <w:t>C</w:t>
      </w:r>
      <w:r w:rsidR="00CE01C0" w:rsidRPr="00D45C32">
        <w:rPr>
          <w:b w:val="0"/>
          <w:sz w:val="56"/>
          <w:szCs w:val="56"/>
        </w:rPr>
        <w:t>hange</w:t>
      </w:r>
    </w:p>
    <w:p w:rsidR="000C2C05" w:rsidRPr="000C2C05" w:rsidRDefault="000C2C05" w:rsidP="000C2C05">
      <w:pPr>
        <w:pStyle w:val="HeadingOne"/>
      </w:pPr>
      <w:r w:rsidRPr="000C2C05">
        <w:t xml:space="preserve">Change Curve: </w:t>
      </w:r>
      <w:r w:rsidR="00B55673">
        <w:t>An Experiential Model</w:t>
      </w:r>
    </w:p>
    <w:p w:rsidR="002247ED" w:rsidRPr="004D3E84" w:rsidRDefault="00CE01C0" w:rsidP="001D539F">
      <w:pPr>
        <w:keepLines/>
        <w:spacing w:before="120" w:line="276" w:lineRule="auto"/>
        <w:rPr>
          <w:rFonts w:ascii="Gill Sans MT" w:hAnsi="Gill Sans MT" w:cs="Arial"/>
          <w:szCs w:val="20"/>
        </w:rPr>
      </w:pPr>
      <w:r w:rsidRPr="004D3E84">
        <w:rPr>
          <w:rFonts w:ascii="Gill Sans MT" w:hAnsi="Gill Sans MT" w:cs="Arial"/>
          <w:szCs w:val="20"/>
        </w:rPr>
        <w:t>People dealing with personal loss and bereavement often experience a cycle ranging from initial shock, denial, anger and anxiety before moving to acceptance/action (commitment). It’s not unusual for people to experience a similar journey during major change. The speed and duration of the cycle varies depending on the individual, the degree of change and its impact. And it’s not always a one-way journey. People may feel they have come to terms with a change only to have something unexpectedly throw them off course and they find themselves back experiencing worry or anger. This sort of ‘flip-flopping’ is quite common</w:t>
      </w:r>
      <w:r w:rsidR="002247ED" w:rsidRPr="004D3E84">
        <w:rPr>
          <w:rFonts w:ascii="Gill Sans MT" w:hAnsi="Gill Sans MT" w:cs="Arial"/>
          <w:szCs w:val="20"/>
        </w:rPr>
        <w:t>.</w:t>
      </w:r>
    </w:p>
    <w:p w:rsidR="00813590" w:rsidRDefault="00442E70" w:rsidP="001F42CF">
      <w:pPr>
        <w:pStyle w:val="HeadingThree"/>
        <w:spacing w:after="0"/>
        <w:rPr>
          <w:color w:val="1F497D" w:themeColor="text2"/>
        </w:rPr>
      </w:pPr>
      <w:r w:rsidRPr="007A1F37">
        <w:rPr>
          <w:color w:val="1F497D" w:themeColor="text2"/>
        </w:rPr>
        <w:t xml:space="preserve">Figure 1: </w:t>
      </w:r>
      <w:r w:rsidR="00CE01C0" w:rsidRPr="007A1F37">
        <w:rPr>
          <w:color w:val="1F497D" w:themeColor="text2"/>
        </w:rPr>
        <w:t xml:space="preserve">Examples of </w:t>
      </w:r>
      <w:r w:rsidR="00D812B7" w:rsidRPr="007A1F37">
        <w:rPr>
          <w:color w:val="1F497D" w:themeColor="text2"/>
        </w:rPr>
        <w:t>change curves</w:t>
      </w:r>
      <w:r w:rsidR="000C1A85" w:rsidRPr="00D812B7">
        <w:rPr>
          <w:color w:val="FFFFFF" w:themeColor="background1"/>
        </w:rPr>
        <w:t>.</w:t>
      </w:r>
    </w:p>
    <w:p w:rsidR="005E773B" w:rsidRPr="007A1F37" w:rsidRDefault="005E773B" w:rsidP="001F42CF">
      <w:pPr>
        <w:pStyle w:val="HeadingThree"/>
        <w:tabs>
          <w:tab w:val="left" w:pos="5103"/>
        </w:tabs>
        <w:spacing w:before="0"/>
        <w:rPr>
          <w:color w:val="1F497D" w:themeColor="text2"/>
        </w:rPr>
      </w:pPr>
      <w:r w:rsidRPr="00CE01C0">
        <w:rPr>
          <w:rFonts w:cs="Arial"/>
          <w:b w:val="0"/>
          <w:noProof/>
          <w:color w:val="000000" w:themeColor="text1"/>
          <w:szCs w:val="20"/>
          <w:lang w:eastAsia="en-AU"/>
        </w:rPr>
        <w:drawing>
          <wp:inline distT="0" distB="0" distL="0" distR="0" wp14:anchorId="5D877FAC" wp14:editId="3239DB60">
            <wp:extent cx="2826381" cy="1800000"/>
            <wp:effectExtent l="19050" t="19050" r="12700" b="10160"/>
            <wp:docPr id="1" name="Picture 1" descr="Change curves. Shock. Denial. Anger. Depression. Exploration. Commitment." title="Change 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" t="2390" r="1809" b="7625"/>
                    <a:stretch/>
                  </pic:blipFill>
                  <pic:spPr bwMode="auto">
                    <a:xfrm>
                      <a:off x="0" y="0"/>
                      <a:ext cx="2826381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180">
        <w:rPr>
          <w:rFonts w:ascii="Arial Narrow" w:hAnsi="Arial Narrow"/>
          <w:noProof/>
          <w:lang w:eastAsia="en-AU"/>
        </w:rPr>
        <w:tab/>
      </w:r>
      <w:r w:rsidRPr="00CE01C0">
        <w:rPr>
          <w:rFonts w:ascii="Arial Narrow" w:hAnsi="Arial Narrow"/>
          <w:noProof/>
          <w:lang w:eastAsia="en-AU"/>
        </w:rPr>
        <w:drawing>
          <wp:inline distT="0" distB="0" distL="0" distR="0" wp14:anchorId="70A1CF4F" wp14:editId="0A9AF6F3">
            <wp:extent cx="2803403" cy="1800000"/>
            <wp:effectExtent l="19050" t="19050" r="16510" b="10160"/>
            <wp:docPr id="3" name="Picture 3" descr="The Change Curve. Shock. Denial. Anger. Worry. Depression and resistance. Relief. Acceptance. Action." title="The Change Cur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 curve Captur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6" b="3132"/>
                    <a:stretch/>
                  </pic:blipFill>
                  <pic:spPr bwMode="auto">
                    <a:xfrm>
                      <a:off x="0" y="0"/>
                      <a:ext cx="2803403" cy="18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7CE" w:rsidRPr="005E194A" w:rsidRDefault="00CE01C0" w:rsidP="001D539F">
      <w:pPr>
        <w:keepLines/>
        <w:spacing w:before="240" w:after="60" w:line="276" w:lineRule="auto"/>
        <w:rPr>
          <w:rFonts w:ascii="Gill Sans MT" w:hAnsi="Gill Sans MT" w:cs="Arial"/>
        </w:rPr>
      </w:pPr>
      <w:r w:rsidRPr="005E194A">
        <w:rPr>
          <w:rFonts w:ascii="Gill Sans MT" w:hAnsi="Gill Sans MT" w:cs="Arial"/>
        </w:rPr>
        <w:t>There are ways to help people through the change curve:</w:t>
      </w:r>
    </w:p>
    <w:tbl>
      <w:tblPr>
        <w:tblStyle w:val="LightList-Accent1"/>
        <w:tblW w:w="10597" w:type="dxa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620" w:firstRow="1" w:lastRow="0" w:firstColumn="0" w:lastColumn="0" w:noHBand="1" w:noVBand="1"/>
        <w:tblCaption w:val="Helping people through the curve."/>
        <w:tblDescription w:val="Helping people through the curve."/>
      </w:tblPr>
      <w:tblGrid>
        <w:gridCol w:w="3369"/>
        <w:gridCol w:w="2126"/>
        <w:gridCol w:w="2551"/>
        <w:gridCol w:w="2551"/>
      </w:tblGrid>
      <w:tr w:rsidR="00C927DF" w:rsidRPr="00CE01C0" w:rsidTr="00961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  <w:tcBorders>
              <w:top w:val="single" w:sz="4" w:space="0" w:color="1F497D" w:themeColor="text2"/>
              <w:bottom w:val="single" w:sz="6" w:space="0" w:color="1F497D" w:themeColor="text2"/>
              <w:right w:val="single" w:sz="6" w:space="0" w:color="FFFFFF" w:themeColor="background1"/>
            </w:tcBorders>
            <w:shd w:val="clear" w:color="auto" w:fill="1F497D" w:themeFill="text2"/>
            <w:vAlign w:val="center"/>
          </w:tcPr>
          <w:p w:rsidR="00CE01C0" w:rsidRPr="00CE01C0" w:rsidRDefault="00CE01C0" w:rsidP="00616DFC">
            <w:pPr>
              <w:spacing w:before="50" w:after="50" w:line="276" w:lineRule="auto"/>
              <w:rPr>
                <w:rFonts w:ascii="Gill Sans MT" w:hAnsi="Gill Sans MT"/>
                <w:sz w:val="22"/>
                <w:szCs w:val="22"/>
              </w:rPr>
            </w:pPr>
            <w:bookmarkStart w:id="1" w:name="OLE_LINK1"/>
            <w:r w:rsidRPr="00CE01C0">
              <w:rPr>
                <w:rFonts w:ascii="Gill Sans MT" w:hAnsi="Gill Sans MT"/>
                <w:sz w:val="22"/>
                <w:szCs w:val="22"/>
              </w:rPr>
              <w:t>Shock</w:t>
            </w:r>
            <w:r w:rsidR="004D3E84" w:rsidRPr="00D812B7">
              <w:rPr>
                <w:rFonts w:ascii="Gill Sans MT" w:hAnsi="Gill Sans MT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6" w:space="0" w:color="FFFFFF" w:themeColor="background1"/>
              <w:bottom w:val="single" w:sz="6" w:space="0" w:color="1F497D" w:themeColor="text2"/>
              <w:right w:val="single" w:sz="6" w:space="0" w:color="FFFFFF" w:themeColor="background1"/>
            </w:tcBorders>
            <w:shd w:val="clear" w:color="auto" w:fill="1F497D" w:themeFill="text2"/>
            <w:vAlign w:val="center"/>
          </w:tcPr>
          <w:p w:rsidR="00CE01C0" w:rsidRPr="00CE01C0" w:rsidRDefault="00CE01C0" w:rsidP="00616DFC">
            <w:pPr>
              <w:spacing w:before="50" w:after="50" w:line="276" w:lineRule="auto"/>
              <w:rPr>
                <w:rFonts w:ascii="Gill Sans MT" w:hAnsi="Gill Sans MT"/>
                <w:sz w:val="22"/>
                <w:szCs w:val="22"/>
              </w:rPr>
            </w:pPr>
            <w:r w:rsidRPr="00CE01C0">
              <w:rPr>
                <w:rFonts w:ascii="Gill Sans MT" w:hAnsi="Gill Sans MT"/>
                <w:sz w:val="22"/>
                <w:szCs w:val="22"/>
              </w:rPr>
              <w:t>Denial/anger</w:t>
            </w:r>
            <w:r w:rsidR="004D3E84" w:rsidRPr="00D812B7">
              <w:rPr>
                <w:rFonts w:ascii="Gill Sans MT" w:hAnsi="Gill Sans MT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6" w:space="0" w:color="FFFFFF" w:themeColor="background1"/>
              <w:bottom w:val="single" w:sz="6" w:space="0" w:color="1F497D" w:themeColor="text2"/>
              <w:right w:val="single" w:sz="6" w:space="0" w:color="FFFFFF" w:themeColor="background1"/>
            </w:tcBorders>
            <w:shd w:val="clear" w:color="auto" w:fill="1F497D" w:themeFill="text2"/>
            <w:vAlign w:val="center"/>
          </w:tcPr>
          <w:p w:rsidR="00CE01C0" w:rsidRPr="00CE01C0" w:rsidRDefault="00CE01C0" w:rsidP="004D3E84">
            <w:pPr>
              <w:spacing w:before="50" w:after="50" w:line="276" w:lineRule="auto"/>
              <w:rPr>
                <w:rFonts w:ascii="Gill Sans MT" w:hAnsi="Gill Sans MT"/>
                <w:sz w:val="22"/>
                <w:szCs w:val="22"/>
              </w:rPr>
            </w:pPr>
            <w:r w:rsidRPr="00CE01C0">
              <w:rPr>
                <w:rFonts w:ascii="Gill Sans MT" w:hAnsi="Gill Sans MT"/>
                <w:sz w:val="22"/>
                <w:szCs w:val="22"/>
              </w:rPr>
              <w:t>Worry/</w:t>
            </w:r>
            <w:r w:rsidR="004D3E84">
              <w:rPr>
                <w:rFonts w:ascii="Gill Sans MT" w:hAnsi="Gill Sans MT"/>
                <w:sz w:val="22"/>
                <w:szCs w:val="22"/>
              </w:rPr>
              <w:t>c</w:t>
            </w:r>
            <w:r w:rsidRPr="00CE01C0">
              <w:rPr>
                <w:rFonts w:ascii="Gill Sans MT" w:hAnsi="Gill Sans MT"/>
                <w:sz w:val="22"/>
                <w:szCs w:val="22"/>
              </w:rPr>
              <w:t>onfusion</w:t>
            </w:r>
            <w:r w:rsidR="004D3E84" w:rsidRPr="00D812B7">
              <w:rPr>
                <w:rFonts w:ascii="Gill Sans MT" w:hAnsi="Gill Sans MT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6" w:space="0" w:color="FFFFFF" w:themeColor="background1"/>
              <w:bottom w:val="single" w:sz="6" w:space="0" w:color="1F497D" w:themeColor="text2"/>
            </w:tcBorders>
            <w:shd w:val="clear" w:color="auto" w:fill="1F497D" w:themeFill="text2"/>
            <w:vAlign w:val="center"/>
          </w:tcPr>
          <w:p w:rsidR="00CE01C0" w:rsidRPr="00CE01C0" w:rsidRDefault="00CE01C0" w:rsidP="00616DFC">
            <w:pPr>
              <w:spacing w:before="50" w:after="50" w:line="276" w:lineRule="auto"/>
              <w:rPr>
                <w:rFonts w:ascii="Gill Sans MT" w:hAnsi="Gill Sans MT"/>
                <w:sz w:val="22"/>
                <w:szCs w:val="22"/>
              </w:rPr>
            </w:pPr>
            <w:r w:rsidRPr="00CE01C0">
              <w:rPr>
                <w:rFonts w:ascii="Gill Sans MT" w:hAnsi="Gill Sans MT"/>
                <w:sz w:val="22"/>
                <w:szCs w:val="22"/>
              </w:rPr>
              <w:t>Relief and acceptance</w:t>
            </w:r>
            <w:r w:rsidR="004D3E84" w:rsidRPr="00D812B7">
              <w:rPr>
                <w:rFonts w:ascii="Gill Sans MT" w:hAnsi="Gill Sans MT"/>
                <w:color w:val="1F497D" w:themeColor="text2"/>
                <w:sz w:val="22"/>
                <w:szCs w:val="22"/>
              </w:rPr>
              <w:t>.</w:t>
            </w:r>
          </w:p>
        </w:tc>
      </w:tr>
      <w:tr w:rsidR="00AF57CE" w:rsidRPr="005E194A" w:rsidTr="009619E9">
        <w:tc>
          <w:tcPr>
            <w:tcW w:w="3369" w:type="dxa"/>
            <w:tcBorders>
              <w:top w:val="single" w:sz="6" w:space="0" w:color="1F497D" w:themeColor="text2"/>
            </w:tcBorders>
          </w:tcPr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b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Get everything out in the open with as much informa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tion as possible and repeat it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b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 xml:space="preserve">Be realistic with promises even if it means saying 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‘</w:t>
            </w:r>
            <w:r w:rsidRPr="005E194A">
              <w:rPr>
                <w:rFonts w:ascii="Gill Sans MT" w:hAnsi="Gill Sans MT"/>
                <w:sz w:val="22"/>
                <w:szCs w:val="22"/>
              </w:rPr>
              <w:t>I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 </w:t>
            </w:r>
            <w:r w:rsidRPr="005E194A">
              <w:rPr>
                <w:rFonts w:ascii="Gill Sans MT" w:hAnsi="Gill Sans MT"/>
                <w:sz w:val="22"/>
                <w:szCs w:val="22"/>
              </w:rPr>
              <w:t>don’t know. I’ll have to get back to you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’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  <w:r w:rsidRPr="005E194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b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Be alert to how people are reacting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b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Be available, patient and non-d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efensive. Don’t argue too much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b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Accept there will be strong emotions – good and bad feelings – and don’t te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ll people how they should feel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b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Allow time for pe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ople to absorb what’s happening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  <w:r w:rsidRPr="005E194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1F497D" w:themeColor="text2"/>
            </w:tcBorders>
          </w:tcPr>
          <w:p w:rsidR="00CE01C0" w:rsidRPr="005E194A" w:rsidRDefault="00AF57CE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Offer clear instructions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 xml:space="preserve">Check for understanding, challenge assumptions and 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deal with concerns and rumours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Be s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pecific about what is required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AF57CE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Establish shorter time frames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Follow up an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d keep checking in with people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AF57CE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Empathise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1F497D" w:themeColor="text2"/>
            </w:tcBorders>
          </w:tcPr>
          <w:p w:rsidR="00CE01C0" w:rsidRPr="005E194A" w:rsidRDefault="00AF57CE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Accept emotional displays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Provide opportunities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 xml:space="preserve"> to sound off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AF57CE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Listen and be supportive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Keep people involved, motivated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 xml:space="preserve"> and build success experiences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Continue direct c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ontrol with clear expectations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Tolerate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 xml:space="preserve"> mistakes and some inefficiency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  <w:r w:rsidRPr="005E194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CE01C0" w:rsidRPr="005E194A" w:rsidRDefault="00AF57CE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Communicate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1F497D" w:themeColor="text2"/>
            </w:tcBorders>
          </w:tcPr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 xml:space="preserve">Expect some setbacks. People will 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‘</w:t>
            </w:r>
            <w:r w:rsidRPr="005E194A">
              <w:rPr>
                <w:rFonts w:ascii="Gill Sans MT" w:hAnsi="Gill Sans MT"/>
                <w:sz w:val="22"/>
                <w:szCs w:val="22"/>
              </w:rPr>
              <w:t>flip back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’ at times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Allow fo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r differences in recovery time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Reinforce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 xml:space="preserve"> hopefulness and be optimistic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Con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tinue to build the team spirit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Manage closely and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 xml:space="preserve"> provide constructive feedback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Rew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ard and emphasise achievements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E01C0" w:rsidRPr="005E194A" w:rsidRDefault="00CE01C0" w:rsidP="00280E14">
            <w:pPr>
              <w:pStyle w:val="Default"/>
              <w:numPr>
                <w:ilvl w:val="0"/>
                <w:numId w:val="10"/>
              </w:numPr>
              <w:spacing w:before="30" w:after="30" w:line="276" w:lineRule="auto"/>
              <w:ind w:left="284" w:hanging="284"/>
              <w:rPr>
                <w:rFonts w:ascii="Gill Sans MT" w:hAnsi="Gill Sans MT"/>
                <w:sz w:val="22"/>
                <w:szCs w:val="22"/>
              </w:rPr>
            </w:pPr>
            <w:r w:rsidRPr="005E194A">
              <w:rPr>
                <w:rFonts w:ascii="Gill Sans MT" w:hAnsi="Gill Sans MT"/>
                <w:sz w:val="22"/>
                <w:szCs w:val="22"/>
              </w:rPr>
              <w:t>H</w:t>
            </w:r>
            <w:r w:rsidR="00AF57CE" w:rsidRPr="005E194A">
              <w:rPr>
                <w:rFonts w:ascii="Gill Sans MT" w:hAnsi="Gill Sans MT"/>
                <w:sz w:val="22"/>
                <w:szCs w:val="22"/>
              </w:rPr>
              <w:t>ighlight benefits and positive</w:t>
            </w:r>
            <w:r w:rsidR="00520A80" w:rsidRPr="005E194A"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</w:tbl>
    <w:bookmarkEnd w:id="1"/>
    <w:p w:rsidR="00CE01C0" w:rsidRDefault="009619E9" w:rsidP="009619E9">
      <w:pPr>
        <w:spacing w:before="120" w:after="120" w:line="276" w:lineRule="auto"/>
        <w:rPr>
          <w:rFonts w:ascii="Gill Sans MT" w:hAnsi="Gill Sans MT" w:cs="Arial"/>
          <w:sz w:val="22"/>
          <w:szCs w:val="20"/>
        </w:rPr>
      </w:pP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Adapted with permission from material attributed to:</w:t>
      </w:r>
      <w:r w:rsidRPr="009C16EC">
        <w:rPr>
          <w:rFonts w:ascii="Gill Sans MT" w:hAnsi="Gill Sans MT" w:cs="Arial"/>
          <w:color w:val="000000" w:themeColor="text1"/>
          <w:sz w:val="20"/>
        </w:rPr>
        <w:t xml:space="preserve">  </w:t>
      </w:r>
      <w:r w:rsidRPr="003B66C8">
        <w:rPr>
          <w:rFonts w:ascii="Gill Sans MT" w:hAnsi="Gill Sans MT" w:cs="Arial"/>
          <w:sz w:val="20"/>
        </w:rPr>
        <w:t>The Office for the Public Sector, the Government of South Australia, Change Management Resources 2014, Sourced on 3 February 2016, http://publicsector.sa.gov.au/culture/change-management-toolkit/</w:t>
      </w:r>
    </w:p>
    <w:sectPr w:rsidR="00CE01C0" w:rsidSect="00CE01C0">
      <w:footerReference w:type="default" r:id="rId11"/>
      <w:type w:val="continuous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C0" w:rsidRPr="005D13D8" w:rsidRDefault="00F52F5A" w:rsidP="00CE01C0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4B57494C" wp14:editId="6EA3C7EA">
          <wp:simplePos x="0" y="0"/>
          <wp:positionH relativeFrom="column">
            <wp:posOffset>-262890</wp:posOffset>
          </wp:positionH>
          <wp:positionV relativeFrom="paragraph">
            <wp:posOffset>-406400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1C0">
      <w:rPr>
        <w:rFonts w:ascii="Gill Sans MT" w:hAnsi="Gill Sans MT"/>
        <w:sz w:val="20"/>
        <w:szCs w:val="20"/>
      </w:rPr>
      <w:t>State Service Management Office</w:t>
    </w:r>
  </w:p>
  <w:p w:rsidR="00CE01C0" w:rsidRDefault="00CE01C0" w:rsidP="00CE01C0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37A68"/>
    <w:multiLevelType w:val="multilevel"/>
    <w:tmpl w:val="51EEAA8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2B94"/>
    <w:multiLevelType w:val="hybridMultilevel"/>
    <w:tmpl w:val="124429FC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018D"/>
    <w:rsid w:val="00021C39"/>
    <w:rsid w:val="00023180"/>
    <w:rsid w:val="0002563E"/>
    <w:rsid w:val="00030A4D"/>
    <w:rsid w:val="00036D48"/>
    <w:rsid w:val="00037729"/>
    <w:rsid w:val="00091A24"/>
    <w:rsid w:val="000A1775"/>
    <w:rsid w:val="000B756F"/>
    <w:rsid w:val="000C1A85"/>
    <w:rsid w:val="000C2C05"/>
    <w:rsid w:val="000D0F39"/>
    <w:rsid w:val="000D275D"/>
    <w:rsid w:val="000D357A"/>
    <w:rsid w:val="00112547"/>
    <w:rsid w:val="00125943"/>
    <w:rsid w:val="0015038A"/>
    <w:rsid w:val="001A2B4D"/>
    <w:rsid w:val="001D539F"/>
    <w:rsid w:val="001E20B5"/>
    <w:rsid w:val="001F42CF"/>
    <w:rsid w:val="002247ED"/>
    <w:rsid w:val="002559EF"/>
    <w:rsid w:val="0027037B"/>
    <w:rsid w:val="00280E14"/>
    <w:rsid w:val="00281957"/>
    <w:rsid w:val="00292DB1"/>
    <w:rsid w:val="002B0E00"/>
    <w:rsid w:val="002B3937"/>
    <w:rsid w:val="002C3698"/>
    <w:rsid w:val="00317549"/>
    <w:rsid w:val="00324B30"/>
    <w:rsid w:val="003339C7"/>
    <w:rsid w:val="00333D63"/>
    <w:rsid w:val="00410CD2"/>
    <w:rsid w:val="00430D69"/>
    <w:rsid w:val="00442E70"/>
    <w:rsid w:val="00466F80"/>
    <w:rsid w:val="0048464B"/>
    <w:rsid w:val="004860E0"/>
    <w:rsid w:val="0049608C"/>
    <w:rsid w:val="004D3E84"/>
    <w:rsid w:val="00520A80"/>
    <w:rsid w:val="00527764"/>
    <w:rsid w:val="00536C92"/>
    <w:rsid w:val="00540405"/>
    <w:rsid w:val="00561591"/>
    <w:rsid w:val="005C146D"/>
    <w:rsid w:val="005D13D8"/>
    <w:rsid w:val="005E194A"/>
    <w:rsid w:val="005E4C99"/>
    <w:rsid w:val="005E773B"/>
    <w:rsid w:val="00616DFC"/>
    <w:rsid w:val="0062162A"/>
    <w:rsid w:val="006240C5"/>
    <w:rsid w:val="00644B3A"/>
    <w:rsid w:val="00644F07"/>
    <w:rsid w:val="0064770D"/>
    <w:rsid w:val="00655156"/>
    <w:rsid w:val="00686724"/>
    <w:rsid w:val="006A030A"/>
    <w:rsid w:val="006C60B0"/>
    <w:rsid w:val="006E7AD5"/>
    <w:rsid w:val="0074481F"/>
    <w:rsid w:val="007722E8"/>
    <w:rsid w:val="007A1F37"/>
    <w:rsid w:val="00813590"/>
    <w:rsid w:val="0085135C"/>
    <w:rsid w:val="008A2E4E"/>
    <w:rsid w:val="008B07AE"/>
    <w:rsid w:val="008E1BC1"/>
    <w:rsid w:val="009510C0"/>
    <w:rsid w:val="009619E9"/>
    <w:rsid w:val="0098630D"/>
    <w:rsid w:val="009D0B2E"/>
    <w:rsid w:val="009D1EC3"/>
    <w:rsid w:val="009E78CD"/>
    <w:rsid w:val="00A64471"/>
    <w:rsid w:val="00A73C92"/>
    <w:rsid w:val="00A80BB8"/>
    <w:rsid w:val="00A95491"/>
    <w:rsid w:val="00AA6D34"/>
    <w:rsid w:val="00AB5B71"/>
    <w:rsid w:val="00AD1118"/>
    <w:rsid w:val="00AE1088"/>
    <w:rsid w:val="00AF57CE"/>
    <w:rsid w:val="00B051EE"/>
    <w:rsid w:val="00B32754"/>
    <w:rsid w:val="00B410F6"/>
    <w:rsid w:val="00B55673"/>
    <w:rsid w:val="00B65D0E"/>
    <w:rsid w:val="00BC68B3"/>
    <w:rsid w:val="00C05BC3"/>
    <w:rsid w:val="00C320EB"/>
    <w:rsid w:val="00C44143"/>
    <w:rsid w:val="00C459C1"/>
    <w:rsid w:val="00C517F5"/>
    <w:rsid w:val="00C927DF"/>
    <w:rsid w:val="00CC3181"/>
    <w:rsid w:val="00CC7B11"/>
    <w:rsid w:val="00CE01C0"/>
    <w:rsid w:val="00CE0964"/>
    <w:rsid w:val="00CE7BFE"/>
    <w:rsid w:val="00CF1C1C"/>
    <w:rsid w:val="00CF2C6E"/>
    <w:rsid w:val="00D30A8E"/>
    <w:rsid w:val="00D3193B"/>
    <w:rsid w:val="00D45C32"/>
    <w:rsid w:val="00D60D98"/>
    <w:rsid w:val="00D812B7"/>
    <w:rsid w:val="00DB234F"/>
    <w:rsid w:val="00E51265"/>
    <w:rsid w:val="00E62986"/>
    <w:rsid w:val="00E97FF8"/>
    <w:rsid w:val="00EA0567"/>
    <w:rsid w:val="00EA5CBA"/>
    <w:rsid w:val="00EB37CC"/>
    <w:rsid w:val="00F115CE"/>
    <w:rsid w:val="00F23EBE"/>
    <w:rsid w:val="00F5203F"/>
    <w:rsid w:val="00F52F5A"/>
    <w:rsid w:val="00F77833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4770D"/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4770D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0C2C05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4D3E84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CE0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4770D"/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4770D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0C2C05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4D3E84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CE0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06E9-0A0A-4C62-998B-33D6EED1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Managing Individual Reactions to Change</vt:lpstr>
    </vt:vector>
  </TitlesOfParts>
  <Company>Department of Premier and Cabinet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Managing Individual Reactions to Change</dc:title>
  <dc:creator>amy.breen</dc:creator>
  <cp:lastModifiedBy>Molhuysen, Jodi</cp:lastModifiedBy>
  <cp:revision>29</cp:revision>
  <cp:lastPrinted>2016-02-16T02:17:00Z</cp:lastPrinted>
  <dcterms:created xsi:type="dcterms:W3CDTF">2016-02-17T03:04:00Z</dcterms:created>
  <dcterms:modified xsi:type="dcterms:W3CDTF">2016-03-24T00:22:00Z</dcterms:modified>
</cp:coreProperties>
</file>