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1D115C" w:rsidRDefault="008B07AE" w:rsidP="001D115C">
      <w:pPr>
        <w:pStyle w:val="Heading-cover"/>
      </w:pPr>
      <w:r w:rsidRPr="001D115C">
        <w:t>Checklist</w:t>
      </w:r>
    </w:p>
    <w:p w:rsidR="008B07AE" w:rsidRPr="001D115C" w:rsidRDefault="00813590" w:rsidP="001D115C">
      <w:pPr>
        <w:pStyle w:val="Sub-heading-cover"/>
      </w:pPr>
      <w:r w:rsidRPr="001D115C">
        <w:t>Four stages of consultation</w:t>
      </w:r>
    </w:p>
    <w:p w:rsidR="001D115C" w:rsidRPr="001D115C" w:rsidRDefault="001D115C" w:rsidP="001D115C">
      <w:pPr>
        <w:pStyle w:val="HeadingOne"/>
        <w:rPr>
          <w:color w:val="auto"/>
        </w:rPr>
      </w:pPr>
      <w:r w:rsidRPr="001D115C">
        <w:t>Change: &lt;Insert change title&gt;</w:t>
      </w:r>
      <w:r w:rsidRPr="001D115C">
        <w:tab/>
      </w:r>
      <w:r w:rsidRPr="00231BEC">
        <w:t>Date: &lt;Insert date&gt;</w:t>
      </w:r>
    </w:p>
    <w:p w:rsidR="002247ED" w:rsidRPr="0077689B" w:rsidRDefault="00826DD1" w:rsidP="008C1677">
      <w:pPr>
        <w:spacing w:before="50" w:after="50" w:line="276" w:lineRule="auto"/>
        <w:rPr>
          <w:rFonts w:ascii="Gill Sans MT" w:hAnsi="Gill Sans MT" w:cs="Arial"/>
          <w:szCs w:val="20"/>
        </w:rPr>
      </w:pPr>
      <w:r>
        <w:rPr>
          <w:rFonts w:ascii="Gill Sans MT" w:hAnsi="Gill Sans MT" w:cs="Arial"/>
          <w:sz w:val="22"/>
          <w:szCs w:val="20"/>
        </w:rPr>
        <w:t xml:space="preserve">This checklist provides suggestions as to what managers can do in each consultation stage. </w:t>
      </w:r>
      <w:bookmarkStart w:id="0" w:name="_GoBack"/>
      <w:bookmarkEnd w:id="0"/>
      <w:r w:rsidR="00813590" w:rsidRPr="00D02BCD">
        <w:rPr>
          <w:rFonts w:ascii="Gill Sans MT" w:hAnsi="Gill Sans MT" w:cs="Arial"/>
          <w:sz w:val="22"/>
          <w:szCs w:val="20"/>
        </w:rPr>
        <w:t xml:space="preserve">Where an Agency proposes changes in work arrangements and practices that are likely to impact employees, the Agency is to consult with the relevant employees who may be affected by the proposed changes and the relevant union/s prior to a final decision being made to implement that change. The </w:t>
      </w:r>
      <w:r w:rsidR="00813590" w:rsidRPr="00D02BCD">
        <w:rPr>
          <w:rFonts w:ascii="Gill Sans MT" w:hAnsi="Gill Sans MT" w:cs="Arial"/>
          <w:i/>
          <w:sz w:val="22"/>
          <w:szCs w:val="20"/>
        </w:rPr>
        <w:t>Tasmanian State Service Award</w:t>
      </w:r>
      <w:r w:rsidR="00813590" w:rsidRPr="00D02BCD">
        <w:rPr>
          <w:rFonts w:ascii="Gill Sans MT" w:hAnsi="Gill Sans MT" w:cs="Arial"/>
          <w:sz w:val="22"/>
          <w:szCs w:val="20"/>
        </w:rPr>
        <w:t xml:space="preserve"> (or other relevant award) should be your principle reference point</w:t>
      </w:r>
      <w:r w:rsidR="002247ED" w:rsidRPr="00D02BCD">
        <w:rPr>
          <w:rFonts w:ascii="Gill Sans MT" w:hAnsi="Gill Sans MT" w:cs="Arial"/>
          <w:sz w:val="22"/>
          <w:szCs w:val="20"/>
        </w:rPr>
        <w:t>.</w:t>
      </w:r>
    </w:p>
    <w:p w:rsidR="00813590" w:rsidRPr="0077689B" w:rsidRDefault="00813590" w:rsidP="00357049">
      <w:pPr>
        <w:pStyle w:val="HeadingThree"/>
        <w:spacing w:before="120"/>
      </w:pPr>
      <w:r w:rsidRPr="0077689B">
        <w:t>Stage 1: Formulation of ideas</w:t>
      </w:r>
      <w:r w:rsidR="00824E31" w:rsidRPr="00F637AB">
        <w:rPr>
          <w:color w:val="FFFFFF" w:themeColor="background1"/>
        </w:rPr>
        <w:t>.</w:t>
      </w:r>
    </w:p>
    <w:tbl>
      <w:tblPr>
        <w:tblStyle w:val="LightList-Accent1"/>
        <w:tblW w:w="10065"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00" w:firstRow="0" w:lastRow="0" w:firstColumn="0" w:lastColumn="0" w:noHBand="1" w:noVBand="1"/>
        <w:tblCaption w:val="Stage 1: Formulation of ideas"/>
        <w:tblDescription w:val="Stage 1: Formulation of ideas"/>
      </w:tblPr>
      <w:tblGrid>
        <w:gridCol w:w="9432"/>
        <w:gridCol w:w="633"/>
      </w:tblGrid>
      <w:tr w:rsidR="00575CFD" w:rsidRPr="009E3744" w:rsidTr="00357049">
        <w:trPr>
          <w:tblHeader/>
        </w:trPr>
        <w:tc>
          <w:tcPr>
            <w:tcW w:w="9468" w:type="dxa"/>
            <w:tcBorders>
              <w:right w:val="single" w:sz="4" w:space="0" w:color="FFFFFF" w:themeColor="background1"/>
            </w:tcBorders>
            <w:shd w:val="clear" w:color="auto" w:fill="1F497D" w:themeFill="text2"/>
            <w:vAlign w:val="center"/>
          </w:tcPr>
          <w:p w:rsidR="00575CFD" w:rsidRPr="009E3744" w:rsidRDefault="00575CFD" w:rsidP="00815BF7">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Suggestions</w:t>
            </w:r>
            <w:r w:rsidRPr="00F637AB">
              <w:rPr>
                <w:rFonts w:ascii="Gill Sans MT" w:hAnsi="Gill Sans MT" w:cs="Arial"/>
                <w:b/>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133CD4">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603814" w:rsidTr="00357049">
        <w:tc>
          <w:tcPr>
            <w:tcW w:w="9468"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Inform Unions of budget impacts and identify structural changes under consideration.</w:t>
            </w:r>
          </w:p>
        </w:tc>
        <w:tc>
          <w:tcPr>
            <w:tcW w:w="597"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shd w:val="clear" w:color="auto" w:fill="FFFFFF" w:themeFill="background1"/>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Advise employees of the budget impact.</w:t>
            </w:r>
          </w:p>
        </w:tc>
        <w:tc>
          <w:tcPr>
            <w:tcW w:w="597" w:type="dxa"/>
            <w:shd w:val="clear" w:color="auto" w:fill="FFFFFF" w:themeFill="background1"/>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 xml:space="preserve">Develop a </w:t>
            </w:r>
            <w:r w:rsidRPr="00603814">
              <w:rPr>
                <w:rFonts w:ascii="Gill Sans MT" w:hAnsi="Gill Sans MT" w:cs="Arial"/>
                <w:sz w:val="22"/>
                <w:u w:val="single"/>
              </w:rPr>
              <w:t>Communication Plan</w:t>
            </w:r>
            <w:r w:rsidRPr="00603814">
              <w:rPr>
                <w:rFonts w:ascii="Gill Sans MT" w:hAnsi="Gill Sans MT" w:cs="Arial"/>
                <w:sz w:val="22"/>
              </w:rPr>
              <w:t xml:space="preserve"> and </w:t>
            </w:r>
            <w:r w:rsidRPr="00603814">
              <w:rPr>
                <w:rFonts w:ascii="Gill Sans MT" w:hAnsi="Gill Sans MT" w:cs="Arial"/>
                <w:sz w:val="22"/>
                <w:u w:val="single"/>
              </w:rPr>
              <w:t>Employee Consultation Plan</w:t>
            </w:r>
            <w:r w:rsidRPr="00603814">
              <w:rPr>
                <w:rFonts w:ascii="Gill Sans MT" w:hAnsi="Gill Sans MT" w:cs="Arial"/>
                <w:sz w:val="22"/>
              </w:rPr>
              <w:t xml:space="preserve"> for Stage 2.</w:t>
            </w:r>
          </w:p>
        </w:tc>
        <w:tc>
          <w:tcPr>
            <w:tcW w:w="597"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Determine whether consultation is to occur at this stage.</w:t>
            </w:r>
          </w:p>
        </w:tc>
        <w:tc>
          <w:tcPr>
            <w:tcW w:w="597"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Continue flow of available information to employees al an agency level and particularly targeting impacted employees.</w:t>
            </w:r>
          </w:p>
        </w:tc>
        <w:tc>
          <w:tcPr>
            <w:tcW w:w="597"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vAlign w:val="center"/>
          </w:tcPr>
          <w:p w:rsidR="00575CFD" w:rsidRPr="00603814" w:rsidRDefault="00575CFD" w:rsidP="00496977">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 xml:space="preserve">Individual managers (may be supported by HR representative) meet with their </w:t>
            </w:r>
            <w:r w:rsidR="00496977">
              <w:rPr>
                <w:rFonts w:ascii="Gill Sans MT" w:hAnsi="Gill Sans MT" w:cs="Arial"/>
                <w:sz w:val="22"/>
              </w:rPr>
              <w:t xml:space="preserve">employees </w:t>
            </w:r>
            <w:r w:rsidRPr="00603814">
              <w:rPr>
                <w:rFonts w:ascii="Gill Sans MT" w:hAnsi="Gill Sans MT" w:cs="Arial"/>
                <w:sz w:val="22"/>
              </w:rPr>
              <w:t>regularly to provide up-to-date information.</w:t>
            </w:r>
          </w:p>
        </w:tc>
        <w:tc>
          <w:tcPr>
            <w:tcW w:w="597"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tcBorders>
              <w:bottom w:val="single" w:sz="4" w:space="0" w:color="1F497D" w:themeColor="text2"/>
            </w:tcBorders>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Develop a draft organisational chart with positions and levels.</w:t>
            </w:r>
          </w:p>
        </w:tc>
        <w:tc>
          <w:tcPr>
            <w:tcW w:w="597" w:type="dxa"/>
            <w:tcBorders>
              <w:bottom w:val="single" w:sz="4" w:space="0" w:color="1F497D" w:themeColor="text2"/>
            </w:tcBorders>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9E3744" w:rsidTr="00357049">
        <w:tc>
          <w:tcPr>
            <w:tcW w:w="9468" w:type="dxa"/>
            <w:tcBorders>
              <w:right w:val="single" w:sz="4" w:space="0" w:color="FFFFFF" w:themeColor="background1"/>
            </w:tcBorders>
            <w:shd w:val="clear" w:color="auto" w:fill="1F497D" w:themeFill="text2"/>
            <w:vAlign w:val="center"/>
          </w:tcPr>
          <w:p w:rsidR="00575CFD" w:rsidRPr="009E3744" w:rsidRDefault="00575CFD" w:rsidP="00815BF7">
            <w:pPr>
              <w:tabs>
                <w:tab w:val="left" w:pos="-142"/>
              </w:tabs>
              <w:spacing w:before="50" w:after="50" w:line="276" w:lineRule="auto"/>
              <w:ind w:right="-23"/>
              <w:rPr>
                <w:rFonts w:ascii="Gill Sans MT" w:hAnsi="Gill Sans MT" w:cs="Arial"/>
                <w:color w:val="FFFFFF" w:themeColor="background1"/>
              </w:rPr>
            </w:pPr>
            <w:r w:rsidRPr="009E3744">
              <w:rPr>
                <w:rFonts w:ascii="Gill Sans MT" w:hAnsi="Gill Sans MT" w:cs="Arial"/>
                <w:b/>
                <w:color w:val="FFFFFF" w:themeColor="background1"/>
              </w:rPr>
              <w:t>Further options</w:t>
            </w:r>
            <w:r w:rsidRPr="00F637AB">
              <w:rPr>
                <w:rFonts w:ascii="Gill Sans MT" w:hAnsi="Gill Sans MT" w:cs="Arial"/>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603814" w:rsidTr="00357049">
        <w:tc>
          <w:tcPr>
            <w:tcW w:w="9468"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Utilise existing agency or employee consultation groups for flow of information and develop an agreed change management framework.</w:t>
            </w:r>
          </w:p>
        </w:tc>
        <w:tc>
          <w:tcPr>
            <w:tcW w:w="597"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r w:rsidR="00575CFD" w:rsidRPr="00603814" w:rsidTr="00357049">
        <w:tc>
          <w:tcPr>
            <w:tcW w:w="9468"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r w:rsidRPr="00603814">
              <w:rPr>
                <w:rFonts w:ascii="Gill Sans MT" w:hAnsi="Gill Sans MT" w:cs="Arial"/>
                <w:sz w:val="22"/>
              </w:rPr>
              <w:t>Meeting with Unions to give an overall outline of the proposed changes if many areas are impacted.</w:t>
            </w:r>
          </w:p>
        </w:tc>
        <w:tc>
          <w:tcPr>
            <w:tcW w:w="597" w:type="dxa"/>
            <w:shd w:val="clear" w:color="auto" w:fill="DBE5F1" w:themeFill="accent1" w:themeFillTint="33"/>
            <w:vAlign w:val="center"/>
          </w:tcPr>
          <w:p w:rsidR="00575CFD" w:rsidRPr="00603814" w:rsidRDefault="00575CFD" w:rsidP="00231BEC">
            <w:pPr>
              <w:tabs>
                <w:tab w:val="left" w:pos="-142"/>
              </w:tabs>
              <w:spacing w:before="40" w:after="40" w:line="276" w:lineRule="auto"/>
              <w:ind w:right="-23"/>
              <w:rPr>
                <w:rFonts w:ascii="Gill Sans MT" w:hAnsi="Gill Sans MT" w:cs="Arial"/>
                <w:sz w:val="22"/>
              </w:rPr>
            </w:pPr>
          </w:p>
        </w:tc>
      </w:tr>
    </w:tbl>
    <w:p w:rsidR="00125943" w:rsidRPr="0077689B" w:rsidRDefault="00813590" w:rsidP="0077689B">
      <w:pPr>
        <w:pStyle w:val="HeadingThree"/>
      </w:pPr>
      <w:r w:rsidRPr="0077689B">
        <w:t>Stage 2: Consultation on the proposal</w:t>
      </w:r>
      <w:r w:rsidR="00824E31" w:rsidRPr="00F637AB">
        <w:rPr>
          <w:color w:val="FFFFFF" w:themeColor="background1"/>
        </w:rPr>
        <w:t>.</w:t>
      </w:r>
      <w:r w:rsidRPr="00F637AB">
        <w:rPr>
          <w:color w:val="FFFFFF" w:themeColor="background1"/>
        </w:rPr>
        <w:t xml:space="preserve"> </w:t>
      </w:r>
    </w:p>
    <w:tbl>
      <w:tblPr>
        <w:tblStyle w:val="LightList-Accent1"/>
        <w:tblW w:w="10065"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600" w:firstRow="0" w:lastRow="0" w:firstColumn="0" w:lastColumn="0" w:noHBand="1" w:noVBand="1"/>
        <w:tblCaption w:val="Stage 1: Formulation of ideas"/>
        <w:tblDescription w:val="Stage 1: Formulation of ideas"/>
      </w:tblPr>
      <w:tblGrid>
        <w:gridCol w:w="9356"/>
        <w:gridCol w:w="709"/>
      </w:tblGrid>
      <w:tr w:rsidR="00357049" w:rsidRPr="009E3744" w:rsidTr="00357049">
        <w:trPr>
          <w:tblHeader/>
        </w:trPr>
        <w:tc>
          <w:tcPr>
            <w:tcW w:w="9356" w:type="dxa"/>
            <w:tcBorders>
              <w:right w:val="single" w:sz="4" w:space="0" w:color="FFFFFF" w:themeColor="background1"/>
            </w:tcBorders>
            <w:shd w:val="clear" w:color="auto" w:fill="1F497D" w:themeFill="text2"/>
            <w:vAlign w:val="center"/>
          </w:tcPr>
          <w:p w:rsidR="00357049" w:rsidRPr="009E3744" w:rsidRDefault="00357049" w:rsidP="00E57B91">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Suggestions</w:t>
            </w:r>
            <w:r w:rsidRPr="00F637AB">
              <w:rPr>
                <w:rFonts w:ascii="Gill Sans MT" w:hAnsi="Gill Sans MT" w:cs="Arial"/>
                <w:b/>
                <w:color w:val="1F497D" w:themeColor="text2"/>
              </w:rPr>
              <w:t>.</w:t>
            </w:r>
          </w:p>
        </w:tc>
        <w:tc>
          <w:tcPr>
            <w:tcW w:w="709" w:type="dxa"/>
            <w:tcBorders>
              <w:left w:val="single" w:sz="4" w:space="0" w:color="FFFFFF" w:themeColor="background1"/>
            </w:tcBorders>
            <w:shd w:val="clear" w:color="auto" w:fill="1F497D" w:themeFill="text2"/>
            <w:vAlign w:val="center"/>
          </w:tcPr>
          <w:p w:rsidR="00357049" w:rsidRPr="009E3744" w:rsidRDefault="00357049" w:rsidP="00E57B91">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56"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r w:rsidRPr="00815BF7">
              <w:rPr>
                <w:rFonts w:ascii="Gill Sans MT" w:hAnsi="Gill Sans MT" w:cs="Arial"/>
                <w:sz w:val="22"/>
                <w:szCs w:val="22"/>
                <w:u w:val="single"/>
              </w:rPr>
              <w:t xml:space="preserve">Communication Plan </w:t>
            </w:r>
            <w:r w:rsidRPr="00815BF7">
              <w:rPr>
                <w:rFonts w:ascii="Gill Sans MT" w:hAnsi="Gill Sans MT" w:cs="Arial"/>
                <w:sz w:val="22"/>
                <w:szCs w:val="22"/>
              </w:rPr>
              <w:t xml:space="preserve">and an </w:t>
            </w:r>
            <w:r w:rsidRPr="00815BF7">
              <w:rPr>
                <w:rFonts w:ascii="Gill Sans MT" w:hAnsi="Gill Sans MT" w:cs="Arial"/>
                <w:sz w:val="22"/>
                <w:szCs w:val="22"/>
                <w:u w:val="single"/>
              </w:rPr>
              <w:t>Employee Consultation Plan</w:t>
            </w:r>
            <w:r w:rsidRPr="00815BF7">
              <w:rPr>
                <w:rFonts w:ascii="Gill Sans MT" w:hAnsi="Gill Sans MT" w:cs="Arial"/>
                <w:sz w:val="22"/>
                <w:szCs w:val="22"/>
              </w:rPr>
              <w:t xml:space="preserve"> developed and implemented.</w:t>
            </w:r>
          </w:p>
        </w:tc>
        <w:tc>
          <w:tcPr>
            <w:tcW w:w="709"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p>
        </w:tc>
      </w:tr>
      <w:tr w:rsidR="00575CFD" w:rsidRPr="00815BF7" w:rsidTr="00357049">
        <w:tc>
          <w:tcPr>
            <w:tcW w:w="9356" w:type="dxa"/>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r w:rsidRPr="00815BF7">
              <w:rPr>
                <w:rFonts w:ascii="Gill Sans MT" w:hAnsi="Gill Sans MT" w:cs="Arial"/>
                <w:sz w:val="22"/>
                <w:szCs w:val="22"/>
              </w:rPr>
              <w:t>A draft organisational chart is circulated to employees with an explanation of the change.</w:t>
            </w:r>
          </w:p>
        </w:tc>
        <w:tc>
          <w:tcPr>
            <w:tcW w:w="709" w:type="dxa"/>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p>
        </w:tc>
      </w:tr>
      <w:tr w:rsidR="00575CFD" w:rsidRPr="00815BF7" w:rsidTr="00357049">
        <w:tc>
          <w:tcPr>
            <w:tcW w:w="9356"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r w:rsidRPr="00815BF7">
              <w:rPr>
                <w:rFonts w:ascii="Gill Sans MT" w:hAnsi="Gill Sans MT" w:cs="Arial"/>
                <w:sz w:val="22"/>
                <w:szCs w:val="22"/>
              </w:rPr>
              <w:t>The draft organisational chart is circulated to Unions with clearance by employees.</w:t>
            </w:r>
          </w:p>
        </w:tc>
        <w:tc>
          <w:tcPr>
            <w:tcW w:w="709"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p>
        </w:tc>
      </w:tr>
      <w:tr w:rsidR="00575CFD" w:rsidRPr="00815BF7" w:rsidTr="00357049">
        <w:tc>
          <w:tcPr>
            <w:tcW w:w="9356" w:type="dxa"/>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r w:rsidRPr="00815BF7">
              <w:rPr>
                <w:rFonts w:ascii="Gill Sans MT" w:hAnsi="Gill Sans MT" w:cs="Arial"/>
                <w:sz w:val="22"/>
                <w:szCs w:val="22"/>
              </w:rPr>
              <w:t>Employees directly or indirectly impacted are given opportunity to ask questions and to provide input.</w:t>
            </w:r>
          </w:p>
        </w:tc>
        <w:tc>
          <w:tcPr>
            <w:tcW w:w="709" w:type="dxa"/>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p>
        </w:tc>
      </w:tr>
      <w:tr w:rsidR="00575CFD" w:rsidRPr="00815BF7" w:rsidTr="00357049">
        <w:tc>
          <w:tcPr>
            <w:tcW w:w="9356" w:type="dxa"/>
            <w:shd w:val="clear" w:color="auto" w:fill="DBE5F1" w:themeFill="accent1" w:themeFillTint="33"/>
            <w:vAlign w:val="center"/>
          </w:tcPr>
          <w:p w:rsidR="00575CFD" w:rsidRPr="00815BF7" w:rsidRDefault="00575CFD" w:rsidP="00496977">
            <w:pPr>
              <w:tabs>
                <w:tab w:val="left" w:pos="-142"/>
              </w:tabs>
              <w:spacing w:before="40" w:after="40" w:line="276" w:lineRule="auto"/>
              <w:ind w:right="-23"/>
              <w:rPr>
                <w:rFonts w:ascii="Gill Sans MT" w:hAnsi="Gill Sans MT" w:cs="Arial"/>
                <w:sz w:val="22"/>
                <w:szCs w:val="22"/>
              </w:rPr>
            </w:pPr>
            <w:r w:rsidRPr="00815BF7">
              <w:rPr>
                <w:rFonts w:ascii="Gill Sans MT" w:hAnsi="Gill Sans MT" w:cs="Arial"/>
                <w:sz w:val="22"/>
                <w:szCs w:val="22"/>
              </w:rPr>
              <w:t xml:space="preserve">There is adequate time for </w:t>
            </w:r>
            <w:r w:rsidR="00496977">
              <w:rPr>
                <w:rFonts w:ascii="Gill Sans MT" w:hAnsi="Gill Sans MT" w:cs="Arial"/>
                <w:sz w:val="22"/>
                <w:szCs w:val="22"/>
              </w:rPr>
              <w:t>employees</w:t>
            </w:r>
            <w:r w:rsidRPr="00815BF7">
              <w:rPr>
                <w:rFonts w:ascii="Gill Sans MT" w:hAnsi="Gill Sans MT" w:cs="Arial"/>
                <w:sz w:val="22"/>
                <w:szCs w:val="22"/>
              </w:rPr>
              <w:t>, directly and indirectly impacted by the change, to ask questions and to provide feedback and input.</w:t>
            </w:r>
          </w:p>
        </w:tc>
        <w:tc>
          <w:tcPr>
            <w:tcW w:w="709"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sz w:val="22"/>
                <w:szCs w:val="22"/>
              </w:rPr>
            </w:pPr>
          </w:p>
        </w:tc>
      </w:tr>
      <w:tr w:rsidR="00575CFD" w:rsidRPr="00603814" w:rsidTr="00357049">
        <w:tc>
          <w:tcPr>
            <w:tcW w:w="9356"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szCs w:val="22"/>
              </w:rPr>
            </w:pPr>
            <w:r w:rsidRPr="00603814">
              <w:rPr>
                <w:rFonts w:ascii="Gill Sans MT" w:hAnsi="Gill Sans MT" w:cs="Arial"/>
                <w:sz w:val="22"/>
                <w:szCs w:val="22"/>
              </w:rPr>
              <w:t>Provide information to employees and representatives on the scope of the consultation; non-negotiables; how and when decisions will be made; and process for implementation.</w:t>
            </w:r>
          </w:p>
        </w:tc>
        <w:tc>
          <w:tcPr>
            <w:tcW w:w="709" w:type="dxa"/>
            <w:vAlign w:val="center"/>
          </w:tcPr>
          <w:p w:rsidR="00575CFD" w:rsidRPr="00603814" w:rsidRDefault="00575CFD" w:rsidP="00231BEC">
            <w:pPr>
              <w:tabs>
                <w:tab w:val="left" w:pos="-142"/>
              </w:tabs>
              <w:spacing w:before="40" w:after="40" w:line="276" w:lineRule="auto"/>
              <w:ind w:right="-23"/>
              <w:rPr>
                <w:rFonts w:ascii="Gill Sans MT" w:hAnsi="Gill Sans MT" w:cs="Arial"/>
                <w:sz w:val="22"/>
                <w:szCs w:val="22"/>
              </w:rPr>
            </w:pPr>
          </w:p>
        </w:tc>
      </w:tr>
      <w:tr w:rsidR="00575CFD" w:rsidRPr="00603814" w:rsidTr="00357049">
        <w:tc>
          <w:tcPr>
            <w:tcW w:w="9356" w:type="dxa"/>
            <w:shd w:val="clear" w:color="auto" w:fill="DBE5F1" w:themeFill="accent1" w:themeFillTint="33"/>
          </w:tcPr>
          <w:p w:rsidR="00575CFD" w:rsidRPr="00603814" w:rsidRDefault="00575CFD" w:rsidP="00231BEC">
            <w:pPr>
              <w:tabs>
                <w:tab w:val="left" w:pos="-142"/>
              </w:tabs>
              <w:spacing w:before="40" w:after="40" w:line="276" w:lineRule="auto"/>
              <w:ind w:right="-23"/>
              <w:rPr>
                <w:rFonts w:ascii="Gill Sans MT" w:hAnsi="Gill Sans MT" w:cs="Arial"/>
                <w:sz w:val="22"/>
                <w:szCs w:val="22"/>
              </w:rPr>
            </w:pPr>
            <w:r w:rsidRPr="00603814">
              <w:rPr>
                <w:rFonts w:ascii="Gill Sans MT" w:hAnsi="Gill Sans MT" w:cs="Arial"/>
                <w:sz w:val="22"/>
                <w:szCs w:val="22"/>
              </w:rPr>
              <w:t>Details are provided on the process to implement the change.</w:t>
            </w:r>
          </w:p>
        </w:tc>
        <w:tc>
          <w:tcPr>
            <w:tcW w:w="709" w:type="dxa"/>
            <w:shd w:val="clear" w:color="auto" w:fill="DBE5F1" w:themeFill="accent1" w:themeFillTint="33"/>
          </w:tcPr>
          <w:p w:rsidR="00575CFD" w:rsidRPr="00603814" w:rsidRDefault="00575CFD" w:rsidP="00231BEC">
            <w:pPr>
              <w:tabs>
                <w:tab w:val="left" w:pos="-142"/>
              </w:tabs>
              <w:spacing w:before="40" w:after="40" w:line="276" w:lineRule="auto"/>
              <w:ind w:right="-23"/>
              <w:rPr>
                <w:rFonts w:ascii="Gill Sans MT" w:hAnsi="Gill Sans MT" w:cs="Arial"/>
                <w:sz w:val="22"/>
                <w:szCs w:val="22"/>
              </w:rPr>
            </w:pPr>
          </w:p>
        </w:tc>
      </w:tr>
      <w:tr w:rsidR="00575CFD" w:rsidRPr="00603814" w:rsidTr="00357049">
        <w:tc>
          <w:tcPr>
            <w:tcW w:w="9356" w:type="dxa"/>
          </w:tcPr>
          <w:p w:rsidR="00575CFD" w:rsidRPr="00603814" w:rsidRDefault="00575CFD" w:rsidP="00231BEC">
            <w:pPr>
              <w:tabs>
                <w:tab w:val="left" w:pos="-142"/>
              </w:tabs>
              <w:spacing w:before="40" w:after="40" w:line="276" w:lineRule="auto"/>
              <w:ind w:right="-23"/>
              <w:rPr>
                <w:rFonts w:ascii="Gill Sans MT" w:hAnsi="Gill Sans MT" w:cs="Arial"/>
                <w:sz w:val="22"/>
                <w:szCs w:val="22"/>
              </w:rPr>
            </w:pPr>
            <w:r w:rsidRPr="00603814">
              <w:rPr>
                <w:rFonts w:ascii="Gill Sans MT" w:hAnsi="Gill Sans MT" w:cs="Arial"/>
                <w:sz w:val="22"/>
                <w:szCs w:val="22"/>
              </w:rPr>
              <w:t>The scope of the consultation/timeframes are identified, meetings scheduled with employees and representatives.</w:t>
            </w:r>
          </w:p>
        </w:tc>
        <w:tc>
          <w:tcPr>
            <w:tcW w:w="709" w:type="dxa"/>
          </w:tcPr>
          <w:p w:rsidR="00575CFD" w:rsidRPr="00603814" w:rsidRDefault="00575CFD" w:rsidP="00231BEC">
            <w:pPr>
              <w:tabs>
                <w:tab w:val="left" w:pos="-142"/>
              </w:tabs>
              <w:spacing w:before="40" w:after="40" w:line="276" w:lineRule="auto"/>
              <w:ind w:right="-23"/>
              <w:rPr>
                <w:rFonts w:ascii="Gill Sans MT" w:hAnsi="Gill Sans MT" w:cs="Arial"/>
                <w:sz w:val="22"/>
                <w:szCs w:val="22"/>
              </w:rPr>
            </w:pPr>
          </w:p>
        </w:tc>
      </w:tr>
      <w:tr w:rsidR="00575CFD" w:rsidRPr="00603814" w:rsidTr="00357049">
        <w:tc>
          <w:tcPr>
            <w:tcW w:w="9356" w:type="dxa"/>
            <w:shd w:val="clear" w:color="auto" w:fill="DBE5F1" w:themeFill="accent1" w:themeFillTint="33"/>
          </w:tcPr>
          <w:p w:rsidR="00575CFD" w:rsidRPr="00603814" w:rsidRDefault="00575CFD" w:rsidP="00231BEC">
            <w:pPr>
              <w:tabs>
                <w:tab w:val="left" w:pos="-142"/>
              </w:tabs>
              <w:spacing w:before="40" w:after="40" w:line="276" w:lineRule="auto"/>
              <w:ind w:right="-23"/>
              <w:rPr>
                <w:rFonts w:ascii="Gill Sans MT" w:hAnsi="Gill Sans MT" w:cs="Arial"/>
                <w:sz w:val="22"/>
                <w:szCs w:val="22"/>
              </w:rPr>
            </w:pPr>
            <w:r w:rsidRPr="00603814">
              <w:rPr>
                <w:rFonts w:ascii="Gill Sans MT" w:hAnsi="Gill Sans MT" w:cs="Arial"/>
                <w:sz w:val="22"/>
                <w:szCs w:val="22"/>
              </w:rPr>
              <w:t>Employees are advised of support available to them and other relevant documentation.</w:t>
            </w:r>
          </w:p>
        </w:tc>
        <w:tc>
          <w:tcPr>
            <w:tcW w:w="709" w:type="dxa"/>
            <w:shd w:val="clear" w:color="auto" w:fill="DBE5F1" w:themeFill="accent1" w:themeFillTint="33"/>
          </w:tcPr>
          <w:p w:rsidR="00575CFD" w:rsidRPr="00603814" w:rsidRDefault="00575CFD" w:rsidP="00231BEC">
            <w:pPr>
              <w:tabs>
                <w:tab w:val="left" w:pos="-142"/>
              </w:tabs>
              <w:spacing w:before="40" w:after="40" w:line="276" w:lineRule="auto"/>
              <w:ind w:right="-23"/>
              <w:rPr>
                <w:rFonts w:ascii="Gill Sans MT" w:hAnsi="Gill Sans MT" w:cs="Arial"/>
                <w:sz w:val="22"/>
                <w:szCs w:val="22"/>
              </w:rPr>
            </w:pPr>
          </w:p>
        </w:tc>
      </w:tr>
    </w:tbl>
    <w:p w:rsidR="00815BF7" w:rsidRDefault="00815BF7">
      <w:pPr>
        <w:sectPr w:rsidR="00815BF7" w:rsidSect="00357049">
          <w:footerReference w:type="default" r:id="rId9"/>
          <w:footerReference w:type="first" r:id="rId10"/>
          <w:type w:val="continuous"/>
          <w:pgSz w:w="11906" w:h="16838"/>
          <w:pgMar w:top="720" w:right="720" w:bottom="1287" w:left="1134" w:header="340" w:footer="539" w:gutter="0"/>
          <w:cols w:space="709"/>
          <w:docGrid w:linePitch="360"/>
        </w:sectPr>
      </w:pPr>
    </w:p>
    <w:p w:rsidR="00815BF7" w:rsidRDefault="00815BF7" w:rsidP="00815BF7">
      <w:pPr>
        <w:pStyle w:val="HeadingThree"/>
      </w:pPr>
      <w:r w:rsidRPr="0077689B">
        <w:lastRenderedPageBreak/>
        <w:t xml:space="preserve">Stage 2: Consultation on the </w:t>
      </w:r>
      <w:r w:rsidR="00F637AB" w:rsidRPr="0077689B">
        <w:t xml:space="preserve">proposal </w:t>
      </w:r>
      <w:r w:rsidR="00F637AB">
        <w:t>(</w:t>
      </w:r>
      <w:r>
        <w:t>continued)</w:t>
      </w:r>
      <w:r w:rsidRPr="00F637AB">
        <w:rPr>
          <w:color w:val="FFFFFF" w:themeColor="background1"/>
        </w:rPr>
        <w:t>.</w:t>
      </w:r>
    </w:p>
    <w:tbl>
      <w:tblPr>
        <w:tblStyle w:val="LightList-Accent1"/>
        <w:tblW w:w="992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00" w:firstRow="0" w:lastRow="0" w:firstColumn="0" w:lastColumn="0" w:noHBand="1" w:noVBand="1"/>
        <w:tblCaption w:val="Stage 2: Consultation on the proposal continued"/>
        <w:tblDescription w:val="Stage 2: Consultation on the proposal continued"/>
      </w:tblPr>
      <w:tblGrid>
        <w:gridCol w:w="9290"/>
        <w:gridCol w:w="633"/>
      </w:tblGrid>
      <w:tr w:rsidR="00575CFD" w:rsidRPr="009E3744" w:rsidTr="00357049">
        <w:trPr>
          <w:tblHeader/>
        </w:trPr>
        <w:tc>
          <w:tcPr>
            <w:tcW w:w="9356" w:type="dxa"/>
            <w:tcBorders>
              <w:right w:val="single" w:sz="4" w:space="0" w:color="FFFFFF" w:themeColor="background1"/>
            </w:tcBorders>
            <w:shd w:val="clear" w:color="auto" w:fill="1F497D" w:themeFill="text2"/>
            <w:vAlign w:val="center"/>
          </w:tcPr>
          <w:p w:rsidR="00575CFD" w:rsidRPr="009E3744" w:rsidRDefault="00575CFD" w:rsidP="0077689B">
            <w:pPr>
              <w:tabs>
                <w:tab w:val="left" w:pos="-142"/>
              </w:tabs>
              <w:spacing w:before="50" w:after="50" w:line="276" w:lineRule="auto"/>
              <w:ind w:right="-23"/>
              <w:rPr>
                <w:rFonts w:ascii="Gill Sans MT" w:hAnsi="Gill Sans MT" w:cs="Arial"/>
                <w:color w:val="FFFFFF" w:themeColor="background1"/>
              </w:rPr>
            </w:pPr>
            <w:r w:rsidRPr="00815BF7">
              <w:rPr>
                <w:rFonts w:ascii="Gill Sans MT" w:hAnsi="Gill Sans MT" w:cs="Arial"/>
                <w:b/>
                <w:color w:val="FFFFFF" w:themeColor="background1"/>
              </w:rPr>
              <w:t>Further options</w:t>
            </w:r>
            <w:r w:rsidRPr="00F637AB">
              <w:rPr>
                <w:rFonts w:ascii="Gill Sans MT" w:hAnsi="Gill Sans MT" w:cs="Arial"/>
                <w:color w:val="1F497D" w:themeColor="text2"/>
              </w:rPr>
              <w:t>.</w:t>
            </w:r>
          </w:p>
        </w:tc>
        <w:tc>
          <w:tcPr>
            <w:tcW w:w="56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56"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rPr>
            </w:pPr>
            <w:r w:rsidRPr="00815BF7">
              <w:rPr>
                <w:rFonts w:ascii="Gill Sans MT" w:hAnsi="Gill Sans MT" w:cs="Arial"/>
              </w:rPr>
              <w:t>Develop a Question &amp; Answer sheet.</w:t>
            </w:r>
          </w:p>
        </w:tc>
        <w:tc>
          <w:tcPr>
            <w:tcW w:w="567" w:type="dxa"/>
            <w:shd w:val="clear" w:color="auto" w:fill="DBE5F1" w:themeFill="accent1" w:themeFillTint="33"/>
            <w:vAlign w:val="center"/>
          </w:tcPr>
          <w:p w:rsidR="00575CFD" w:rsidRPr="00815BF7" w:rsidRDefault="00575CFD" w:rsidP="00231BEC">
            <w:pPr>
              <w:spacing w:before="40" w:after="40"/>
              <w:rPr>
                <w:rFonts w:ascii="Gill Sans MT" w:hAnsi="Gill Sans MT" w:cs="Arial"/>
              </w:rPr>
            </w:pPr>
          </w:p>
        </w:tc>
      </w:tr>
      <w:tr w:rsidR="00575CFD" w:rsidRPr="00815BF7" w:rsidTr="00357049">
        <w:tc>
          <w:tcPr>
            <w:tcW w:w="9356" w:type="dxa"/>
            <w:vAlign w:val="center"/>
          </w:tcPr>
          <w:p w:rsidR="00575CFD" w:rsidRPr="00815BF7" w:rsidRDefault="00575CFD" w:rsidP="00496977">
            <w:pPr>
              <w:tabs>
                <w:tab w:val="left" w:pos="-142"/>
              </w:tabs>
              <w:spacing w:before="40" w:after="40" w:line="276" w:lineRule="auto"/>
              <w:ind w:right="-23"/>
              <w:rPr>
                <w:rFonts w:ascii="Gill Sans MT" w:hAnsi="Gill Sans MT" w:cs="Arial"/>
              </w:rPr>
            </w:pPr>
            <w:r w:rsidRPr="00815BF7">
              <w:rPr>
                <w:rFonts w:ascii="Gill Sans MT" w:hAnsi="Gill Sans MT" w:cs="Arial"/>
              </w:rPr>
              <w:t xml:space="preserve">Form a reference group of the key </w:t>
            </w:r>
            <w:r w:rsidR="00496977">
              <w:rPr>
                <w:rFonts w:ascii="Gill Sans MT" w:hAnsi="Gill Sans MT" w:cs="Arial"/>
              </w:rPr>
              <w:t>employees</w:t>
            </w:r>
            <w:r w:rsidRPr="00815BF7">
              <w:rPr>
                <w:rFonts w:ascii="Gill Sans MT" w:hAnsi="Gill Sans MT" w:cs="Arial"/>
              </w:rPr>
              <w:t>/experts which may involve union representation.</w:t>
            </w:r>
          </w:p>
        </w:tc>
        <w:tc>
          <w:tcPr>
            <w:tcW w:w="567" w:type="dxa"/>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56"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rPr>
            </w:pPr>
            <w:r w:rsidRPr="00815BF7">
              <w:rPr>
                <w:rFonts w:ascii="Gill Sans MT" w:hAnsi="Gill Sans MT" w:cs="Arial"/>
              </w:rPr>
              <w:t>Provide forums for feedback.</w:t>
            </w:r>
          </w:p>
        </w:tc>
        <w:tc>
          <w:tcPr>
            <w:tcW w:w="567"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bl>
    <w:p w:rsidR="00125943" w:rsidRPr="0077689B" w:rsidRDefault="00813590" w:rsidP="0077689B">
      <w:pPr>
        <w:pStyle w:val="HeadingThree"/>
      </w:pPr>
      <w:r w:rsidRPr="0077689B">
        <w:t>Stage 3: Considering responses and providing feedback</w:t>
      </w:r>
      <w:r w:rsidR="00824E31" w:rsidRPr="00F637AB">
        <w:rPr>
          <w:color w:val="FFFFFF" w:themeColor="background1"/>
        </w:rPr>
        <w:t>.</w:t>
      </w:r>
      <w:r w:rsidRPr="0077689B">
        <w:t xml:space="preserve"> </w:t>
      </w:r>
    </w:p>
    <w:tbl>
      <w:tblPr>
        <w:tblStyle w:val="LightList-Accent1"/>
        <w:tblW w:w="992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00" w:firstRow="0" w:lastRow="0" w:firstColumn="0" w:lastColumn="0" w:noHBand="1" w:noVBand="1"/>
        <w:tblCaption w:val="Stage 3: Considering responses and providing feedback"/>
        <w:tblDescription w:val="Stage 3: Considering responses and providing feedback"/>
      </w:tblPr>
      <w:tblGrid>
        <w:gridCol w:w="9290"/>
        <w:gridCol w:w="633"/>
      </w:tblGrid>
      <w:tr w:rsidR="00575CFD" w:rsidRPr="009E3744" w:rsidTr="00357049">
        <w:trPr>
          <w:tblHeader/>
        </w:trPr>
        <w:tc>
          <w:tcPr>
            <w:tcW w:w="9326" w:type="dxa"/>
            <w:tcBorders>
              <w:righ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Suggestions</w:t>
            </w:r>
            <w:r w:rsidRPr="00F637AB">
              <w:rPr>
                <w:rFonts w:ascii="Gill Sans MT" w:hAnsi="Gill Sans MT" w:cs="Arial"/>
                <w:b/>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Feedback is collated in a format for easy consideration.</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Feedback is properly considered against business, budget and Government requirements and clarification is obtained as necessary.</w:t>
            </w:r>
          </w:p>
        </w:tc>
        <w:tc>
          <w:tcPr>
            <w:tcW w:w="597" w:type="dxa"/>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The proposal may be amended after due consideration is given to the feedback.</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tcBorders>
              <w:bottom w:val="single" w:sz="4" w:space="0" w:color="1F497D" w:themeColor="text2"/>
            </w:tcBorders>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The response to the feedback and any amendments are made available to everyone who was involved in the consultation process.</w:t>
            </w:r>
          </w:p>
        </w:tc>
        <w:tc>
          <w:tcPr>
            <w:tcW w:w="597" w:type="dxa"/>
            <w:tcBorders>
              <w:bottom w:val="single" w:sz="4" w:space="0" w:color="1F497D" w:themeColor="text2"/>
            </w:tcBorders>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9E3744" w:rsidTr="00357049">
        <w:tc>
          <w:tcPr>
            <w:tcW w:w="9326" w:type="dxa"/>
            <w:tcBorders>
              <w:right w:val="single" w:sz="4" w:space="0" w:color="FFFFFF" w:themeColor="background1"/>
            </w:tcBorders>
            <w:shd w:val="clear" w:color="auto" w:fill="1F497D" w:themeFill="text2"/>
            <w:vAlign w:val="center"/>
          </w:tcPr>
          <w:p w:rsidR="00575CFD" w:rsidRPr="009E3744" w:rsidRDefault="00575CFD" w:rsidP="0077689B">
            <w:pPr>
              <w:tabs>
                <w:tab w:val="left" w:pos="-142"/>
              </w:tabs>
              <w:spacing w:before="50" w:after="50" w:line="276" w:lineRule="auto"/>
              <w:ind w:right="-23"/>
              <w:rPr>
                <w:rFonts w:ascii="Gill Sans MT" w:hAnsi="Gill Sans MT" w:cs="Arial"/>
                <w:color w:val="FFFFFF" w:themeColor="background1"/>
              </w:rPr>
            </w:pPr>
            <w:r w:rsidRPr="00815BF7">
              <w:rPr>
                <w:rFonts w:ascii="Gill Sans MT" w:hAnsi="Gill Sans MT" w:cs="Arial"/>
                <w:b/>
                <w:color w:val="FFFFFF" w:themeColor="background1"/>
              </w:rPr>
              <w:t>Further options</w:t>
            </w:r>
            <w:r w:rsidRPr="00F637AB">
              <w:rPr>
                <w:rFonts w:ascii="Gill Sans MT" w:hAnsi="Gill Sans MT" w:cs="Arial"/>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rPr>
            </w:pPr>
            <w:r w:rsidRPr="00815BF7">
              <w:rPr>
                <w:rFonts w:ascii="Gill Sans MT" w:hAnsi="Gill Sans MT" w:cs="Arial"/>
              </w:rPr>
              <w:t>Prepare a Response Paper summarising the feedback received and the Agency’s response to the feedback.</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vAlign w:val="center"/>
          </w:tcPr>
          <w:p w:rsidR="00575CFD" w:rsidRPr="00815BF7" w:rsidRDefault="00575CFD" w:rsidP="00496977">
            <w:pPr>
              <w:tabs>
                <w:tab w:val="num" w:pos="426"/>
              </w:tabs>
              <w:spacing w:before="40" w:after="40" w:line="276" w:lineRule="auto"/>
              <w:ind w:right="-23"/>
              <w:rPr>
                <w:rFonts w:ascii="Gill Sans MT" w:hAnsi="Gill Sans MT" w:cs="Arial"/>
              </w:rPr>
            </w:pPr>
            <w:r w:rsidRPr="00815BF7">
              <w:rPr>
                <w:rFonts w:ascii="Gill Sans MT" w:hAnsi="Gill Sans MT" w:cs="Arial"/>
              </w:rPr>
              <w:t xml:space="preserve">Hold information sessions for </w:t>
            </w:r>
            <w:r w:rsidR="00496977">
              <w:rPr>
                <w:rFonts w:ascii="Gill Sans MT" w:hAnsi="Gill Sans MT" w:cs="Arial"/>
              </w:rPr>
              <w:t>employees</w:t>
            </w:r>
            <w:r w:rsidRPr="00815BF7">
              <w:rPr>
                <w:rFonts w:ascii="Gill Sans MT" w:hAnsi="Gill Sans MT" w:cs="Arial"/>
              </w:rPr>
              <w:t xml:space="preserve"> to present the feedback and discuss how the feedback is being considered.</w:t>
            </w:r>
          </w:p>
        </w:tc>
        <w:tc>
          <w:tcPr>
            <w:tcW w:w="597" w:type="dxa"/>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shd w:val="clear" w:color="auto" w:fill="DBE5F1" w:themeFill="accent1" w:themeFillTint="33"/>
            <w:vAlign w:val="center"/>
          </w:tcPr>
          <w:p w:rsidR="00575CFD" w:rsidRPr="00815BF7" w:rsidRDefault="00575CFD" w:rsidP="00231BEC">
            <w:pPr>
              <w:spacing w:before="40" w:after="40" w:line="276" w:lineRule="auto"/>
              <w:ind w:right="-23"/>
              <w:rPr>
                <w:rFonts w:ascii="Gill Sans MT" w:hAnsi="Gill Sans MT"/>
              </w:rPr>
            </w:pPr>
            <w:r w:rsidRPr="00815BF7">
              <w:rPr>
                <w:rFonts w:ascii="Gill Sans MT" w:hAnsi="Gill Sans MT" w:cs="Arial"/>
              </w:rPr>
              <w:t>Involve the reference group in assessing the feedback.</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bl>
    <w:p w:rsidR="00125943" w:rsidRPr="0077689B" w:rsidRDefault="00813590" w:rsidP="0077689B">
      <w:pPr>
        <w:pStyle w:val="HeadingThree"/>
      </w:pPr>
      <w:r w:rsidRPr="0077689B">
        <w:t>Stage 4: Making a decision and implementing it</w:t>
      </w:r>
      <w:r w:rsidR="00824E31" w:rsidRPr="00F637AB">
        <w:rPr>
          <w:color w:val="FFFFFF" w:themeColor="background1"/>
        </w:rPr>
        <w:t>.</w:t>
      </w:r>
      <w:r w:rsidRPr="00F637AB">
        <w:rPr>
          <w:color w:val="FFFFFF" w:themeColor="background1"/>
        </w:rPr>
        <w:t xml:space="preserve"> </w:t>
      </w:r>
    </w:p>
    <w:tbl>
      <w:tblPr>
        <w:tblStyle w:val="LightList-Accent1"/>
        <w:tblW w:w="9923"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00" w:firstRow="0" w:lastRow="0" w:firstColumn="0" w:lastColumn="0" w:noHBand="1" w:noVBand="1"/>
        <w:tblCaption w:val="Stage 4: ConsiMaking a decision and implementing it."/>
        <w:tblDescription w:val="Stage 4: ConsiMaking a decision and implementing it."/>
      </w:tblPr>
      <w:tblGrid>
        <w:gridCol w:w="9290"/>
        <w:gridCol w:w="633"/>
      </w:tblGrid>
      <w:tr w:rsidR="00575CFD" w:rsidRPr="009E3744" w:rsidTr="00357049">
        <w:trPr>
          <w:tblHeader/>
        </w:trPr>
        <w:tc>
          <w:tcPr>
            <w:tcW w:w="9326" w:type="dxa"/>
            <w:tcBorders>
              <w:righ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Suggestions</w:t>
            </w:r>
            <w:r w:rsidRPr="00F637AB">
              <w:rPr>
                <w:rFonts w:ascii="Gill Sans MT" w:hAnsi="Gill Sans MT" w:cs="Arial"/>
                <w:b/>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Make a decision and circulate to employees and unions.</w:t>
            </w:r>
          </w:p>
        </w:tc>
        <w:tc>
          <w:tcPr>
            <w:tcW w:w="597"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Resources (financial and human) are available for successful implementation.</w:t>
            </w:r>
          </w:p>
        </w:tc>
        <w:tc>
          <w:tcPr>
            <w:tcW w:w="597" w:type="dxa"/>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Dates and process established for evaluation and review.</w:t>
            </w:r>
          </w:p>
        </w:tc>
        <w:tc>
          <w:tcPr>
            <w:tcW w:w="597" w:type="dxa"/>
            <w:shd w:val="clear" w:color="auto" w:fill="DBE5F1" w:themeFill="accent1" w:themeFillTint="33"/>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tcBorders>
              <w:bottom w:val="single" w:sz="4" w:space="0" w:color="1F497D" w:themeColor="text2"/>
            </w:tcBorders>
            <w:vAlign w:val="center"/>
          </w:tcPr>
          <w:p w:rsidR="00575CFD" w:rsidRPr="00815BF7" w:rsidRDefault="00575CFD" w:rsidP="00231BEC">
            <w:pPr>
              <w:tabs>
                <w:tab w:val="num" w:pos="426"/>
              </w:tabs>
              <w:spacing w:before="40" w:after="40" w:line="276" w:lineRule="auto"/>
              <w:ind w:right="-23"/>
              <w:rPr>
                <w:rFonts w:ascii="Gill Sans MT" w:hAnsi="Gill Sans MT" w:cs="Arial"/>
                <w:color w:val="000000"/>
              </w:rPr>
            </w:pPr>
            <w:r w:rsidRPr="00815BF7">
              <w:rPr>
                <w:rFonts w:ascii="Gill Sans MT" w:hAnsi="Gill Sans MT" w:cs="Arial"/>
                <w:color w:val="000000"/>
              </w:rPr>
              <w:t>Identify employee support mechanisms.</w:t>
            </w:r>
          </w:p>
        </w:tc>
        <w:tc>
          <w:tcPr>
            <w:tcW w:w="597" w:type="dxa"/>
            <w:tcBorders>
              <w:bottom w:val="single" w:sz="4" w:space="0" w:color="1F497D" w:themeColor="text2"/>
            </w:tcBorders>
            <w:vAlign w:val="center"/>
          </w:tcPr>
          <w:p w:rsidR="00575CFD" w:rsidRPr="00815BF7" w:rsidRDefault="00575CFD" w:rsidP="00231BEC">
            <w:pPr>
              <w:tabs>
                <w:tab w:val="left" w:pos="-142"/>
              </w:tabs>
              <w:spacing w:before="40" w:after="40" w:line="276" w:lineRule="auto"/>
              <w:ind w:right="-23"/>
              <w:rPr>
                <w:rFonts w:ascii="Gill Sans MT" w:hAnsi="Gill Sans MT" w:cs="Arial"/>
              </w:rPr>
            </w:pPr>
          </w:p>
        </w:tc>
      </w:tr>
      <w:tr w:rsidR="00575CFD" w:rsidRPr="009E3744" w:rsidTr="00357049">
        <w:tc>
          <w:tcPr>
            <w:tcW w:w="9326" w:type="dxa"/>
            <w:tcBorders>
              <w:right w:val="single" w:sz="4" w:space="0" w:color="FFFFFF" w:themeColor="background1"/>
            </w:tcBorders>
            <w:shd w:val="clear" w:color="auto" w:fill="1F497D" w:themeFill="text2"/>
            <w:vAlign w:val="center"/>
          </w:tcPr>
          <w:p w:rsidR="00575CFD" w:rsidRPr="009E3744" w:rsidRDefault="00575CFD" w:rsidP="0077689B">
            <w:pPr>
              <w:tabs>
                <w:tab w:val="left" w:pos="-142"/>
              </w:tabs>
              <w:spacing w:before="50" w:after="50" w:line="276" w:lineRule="auto"/>
              <w:ind w:right="-23"/>
              <w:rPr>
                <w:rFonts w:ascii="Gill Sans MT" w:hAnsi="Gill Sans MT" w:cs="Arial"/>
                <w:color w:val="FFFFFF" w:themeColor="background1"/>
              </w:rPr>
            </w:pPr>
            <w:r w:rsidRPr="00815BF7">
              <w:rPr>
                <w:rFonts w:ascii="Gill Sans MT" w:hAnsi="Gill Sans MT" w:cs="Arial"/>
                <w:b/>
                <w:color w:val="FFFFFF" w:themeColor="background1"/>
              </w:rPr>
              <w:t>Further options</w:t>
            </w:r>
            <w:r w:rsidRPr="00F637AB">
              <w:rPr>
                <w:rFonts w:ascii="Gill Sans MT" w:hAnsi="Gill Sans MT" w:cs="Arial"/>
                <w:color w:val="1F497D" w:themeColor="text2"/>
              </w:rPr>
              <w:t>.</w:t>
            </w:r>
          </w:p>
        </w:tc>
        <w:tc>
          <w:tcPr>
            <w:tcW w:w="597" w:type="dxa"/>
            <w:tcBorders>
              <w:left w:val="single" w:sz="4" w:space="0" w:color="FFFFFF" w:themeColor="background1"/>
            </w:tcBorders>
            <w:shd w:val="clear" w:color="auto" w:fill="1F497D" w:themeFill="text2"/>
            <w:vAlign w:val="center"/>
          </w:tcPr>
          <w:p w:rsidR="00575CFD" w:rsidRPr="009E3744" w:rsidRDefault="00575CFD" w:rsidP="008541FC">
            <w:pPr>
              <w:tabs>
                <w:tab w:val="left" w:pos="-142"/>
              </w:tabs>
              <w:spacing w:before="50" w:after="50" w:line="276" w:lineRule="auto"/>
              <w:ind w:right="-23"/>
              <w:rPr>
                <w:rFonts w:ascii="Gill Sans MT" w:hAnsi="Gill Sans MT" w:cs="Arial"/>
                <w:b/>
                <w:color w:val="FFFFFF" w:themeColor="background1"/>
              </w:rPr>
            </w:pPr>
            <w:r w:rsidRPr="009E3744">
              <w:rPr>
                <w:rFonts w:ascii="Gill Sans MT" w:hAnsi="Gill Sans MT" w:cs="Arial"/>
                <w:b/>
                <w:color w:val="FFFFFF" w:themeColor="background1"/>
              </w:rPr>
              <w:t>Y/N</w:t>
            </w: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rPr>
            </w:pPr>
            <w:r w:rsidRPr="00815BF7">
              <w:rPr>
                <w:rFonts w:ascii="Gill Sans MT" w:hAnsi="Gill Sans MT" w:cs="Arial"/>
              </w:rPr>
              <w:t>Establish a committee, or use existing internal approval arrangements, to oversee progress implementation.</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vAlign w:val="center"/>
          </w:tcPr>
          <w:p w:rsidR="00575CFD" w:rsidRPr="00815BF7" w:rsidRDefault="00575CFD" w:rsidP="00231BEC">
            <w:pPr>
              <w:tabs>
                <w:tab w:val="num" w:pos="426"/>
              </w:tabs>
              <w:spacing w:before="40" w:after="40" w:line="276" w:lineRule="auto"/>
              <w:ind w:right="-23"/>
              <w:rPr>
                <w:rFonts w:ascii="Gill Sans MT" w:hAnsi="Gill Sans MT" w:cs="Arial"/>
              </w:rPr>
            </w:pPr>
            <w:r w:rsidRPr="00815BF7">
              <w:rPr>
                <w:rFonts w:ascii="Gill Sans MT" w:hAnsi="Gill Sans MT" w:cs="Arial"/>
              </w:rPr>
              <w:t>Have regular intranet or circular updates on progress.</w:t>
            </w:r>
          </w:p>
        </w:tc>
        <w:tc>
          <w:tcPr>
            <w:tcW w:w="597" w:type="dxa"/>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shd w:val="clear" w:color="auto" w:fill="DBE5F1" w:themeFill="accent1" w:themeFillTint="33"/>
            <w:vAlign w:val="center"/>
          </w:tcPr>
          <w:p w:rsidR="00575CFD" w:rsidRPr="00815BF7" w:rsidRDefault="00575CFD" w:rsidP="00231BEC">
            <w:pPr>
              <w:tabs>
                <w:tab w:val="num" w:pos="426"/>
              </w:tabs>
              <w:spacing w:before="40" w:after="40" w:line="276" w:lineRule="auto"/>
              <w:ind w:right="-23"/>
              <w:rPr>
                <w:rFonts w:ascii="Gill Sans MT" w:hAnsi="Gill Sans MT" w:cs="Arial"/>
              </w:rPr>
            </w:pPr>
            <w:r w:rsidRPr="00815BF7">
              <w:rPr>
                <w:rFonts w:ascii="Gill Sans MT" w:hAnsi="Gill Sans MT" w:cs="Arial"/>
              </w:rPr>
              <w:t>Incorporate face-to-face sessions as required.</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vAlign w:val="center"/>
          </w:tcPr>
          <w:p w:rsidR="00575CFD" w:rsidRPr="00815BF7" w:rsidRDefault="00575CFD" w:rsidP="00231BEC">
            <w:pPr>
              <w:tabs>
                <w:tab w:val="num" w:pos="426"/>
              </w:tabs>
              <w:spacing w:before="40" w:after="40" w:line="276" w:lineRule="auto"/>
              <w:ind w:right="-23"/>
              <w:rPr>
                <w:rFonts w:ascii="Gill Sans MT" w:hAnsi="Gill Sans MT" w:cs="Arial"/>
              </w:rPr>
            </w:pPr>
            <w:r w:rsidRPr="00815BF7">
              <w:rPr>
                <w:rFonts w:ascii="Gill Sans MT" w:hAnsi="Gill Sans MT" w:cs="Arial"/>
              </w:rPr>
              <w:t>Set clear milestones and evaluate progress at each one.</w:t>
            </w:r>
          </w:p>
        </w:tc>
        <w:tc>
          <w:tcPr>
            <w:tcW w:w="597" w:type="dxa"/>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r w:rsidR="00575CFD" w:rsidRPr="00815BF7" w:rsidTr="00357049">
        <w:tc>
          <w:tcPr>
            <w:tcW w:w="9326" w:type="dxa"/>
            <w:shd w:val="clear" w:color="auto" w:fill="DBE5F1" w:themeFill="accent1" w:themeFillTint="33"/>
            <w:vAlign w:val="center"/>
          </w:tcPr>
          <w:p w:rsidR="00575CFD" w:rsidRPr="00815BF7" w:rsidRDefault="00575CFD" w:rsidP="00231BEC">
            <w:pPr>
              <w:spacing w:before="40" w:after="40" w:line="276" w:lineRule="auto"/>
              <w:ind w:right="-23"/>
              <w:rPr>
                <w:rFonts w:ascii="Gill Sans MT" w:hAnsi="Gill Sans MT"/>
              </w:rPr>
            </w:pPr>
            <w:r w:rsidRPr="00815BF7">
              <w:rPr>
                <w:rFonts w:ascii="Gill Sans MT" w:hAnsi="Gill Sans MT" w:cs="Arial"/>
              </w:rPr>
              <w:t>Incorporate employee feedback in the evaluation process.</w:t>
            </w:r>
          </w:p>
        </w:tc>
        <w:tc>
          <w:tcPr>
            <w:tcW w:w="597" w:type="dxa"/>
            <w:shd w:val="clear" w:color="auto" w:fill="DBE5F1" w:themeFill="accent1" w:themeFillTint="33"/>
            <w:vAlign w:val="center"/>
          </w:tcPr>
          <w:p w:rsidR="00575CFD" w:rsidRPr="000370A0" w:rsidRDefault="00575CFD" w:rsidP="00231BEC">
            <w:pPr>
              <w:tabs>
                <w:tab w:val="left" w:pos="-142"/>
              </w:tabs>
              <w:spacing w:before="40" w:after="40" w:line="276" w:lineRule="auto"/>
              <w:ind w:right="-23"/>
              <w:rPr>
                <w:rFonts w:ascii="Gill Sans MT" w:hAnsi="Gill Sans MT" w:cs="Arial"/>
              </w:rPr>
            </w:pPr>
          </w:p>
        </w:tc>
      </w:tr>
    </w:tbl>
    <w:p w:rsidR="000D357A" w:rsidRPr="000370A0" w:rsidRDefault="000D357A" w:rsidP="000370A0">
      <w:pPr>
        <w:spacing w:before="120" w:after="120" w:line="276" w:lineRule="auto"/>
        <w:rPr>
          <w:rFonts w:ascii="Gill Sans MT" w:hAnsi="Gill Sans MT" w:cs="Arial"/>
          <w:sz w:val="2"/>
        </w:rPr>
      </w:pPr>
    </w:p>
    <w:sectPr w:rsidR="000D357A" w:rsidRPr="000370A0" w:rsidSect="00D02BCD">
      <w:headerReference w:type="default" r:id="rId11"/>
      <w:footerReference w:type="default" r:id="rId12"/>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8B3" w:rsidRDefault="00BC68B3" w:rsidP="001E20B5">
      <w:r>
        <w:separator/>
      </w:r>
    </w:p>
  </w:endnote>
  <w:endnote w:type="continuationSeparator" w:id="0">
    <w:p w:rsidR="00BC68B3" w:rsidRDefault="00BC68B3"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357049"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2BA3AE9F" wp14:editId="416EDA29">
          <wp:simplePos x="0" y="0"/>
          <wp:positionH relativeFrom="column">
            <wp:posOffset>-262890</wp:posOffset>
          </wp:positionH>
          <wp:positionV relativeFrom="paragraph">
            <wp:posOffset>-413276</wp:posOffset>
          </wp:positionV>
          <wp:extent cx="6947535" cy="661670"/>
          <wp:effectExtent l="0" t="0" r="5715"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6616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Pr="00815BF7" w:rsidRDefault="00815BF7" w:rsidP="0081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8B3" w:rsidRDefault="00BC68B3" w:rsidP="001E20B5">
      <w:r>
        <w:separator/>
      </w:r>
    </w:p>
  </w:footnote>
  <w:footnote w:type="continuationSeparator" w:id="0">
    <w:p w:rsidR="00BC68B3" w:rsidRDefault="00BC68B3"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BF7" w:rsidRDefault="0072047A" w:rsidP="0072047A">
    <w:pPr>
      <w:pStyle w:val="Header"/>
      <w:tabs>
        <w:tab w:val="clear" w:pos="4513"/>
        <w:tab w:val="clear" w:pos="9026"/>
        <w:tab w:val="right" w:pos="10065"/>
      </w:tabs>
      <w:spacing w:before="120" w:after="240" w:line="276" w:lineRule="auto"/>
      <w:rPr>
        <w:rFonts w:ascii="Gill Sans MT" w:hAnsi="Gill Sans MT"/>
      </w:rPr>
    </w:pPr>
    <w:r>
      <w:rPr>
        <w:rFonts w:ascii="Gill Sans MT" w:hAnsi="Gill Sans MT"/>
      </w:rPr>
      <w:t>2</w:t>
    </w:r>
    <w:r>
      <w:rPr>
        <w:rFonts w:ascii="Gill Sans MT" w:hAnsi="Gill Sans MT"/>
      </w:rPr>
      <w:tab/>
    </w:r>
    <w:r w:rsidR="00815BF7" w:rsidRPr="00815BF7">
      <w:rPr>
        <w:rFonts w:ascii="Gill Sans MT" w:hAnsi="Gill Sans MT"/>
      </w:rPr>
      <w:t>Four stages of consultation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A137A68"/>
    <w:multiLevelType w:val="multilevel"/>
    <w:tmpl w:val="51EEAA84"/>
    <w:lvl w:ilvl="0">
      <w:start w:val="1"/>
      <w:numFmt w:val="bullet"/>
      <w:lvlText w:val="q"/>
      <w:lvlJc w:val="left"/>
      <w:pPr>
        <w:tabs>
          <w:tab w:val="num" w:pos="720"/>
        </w:tabs>
        <w:ind w:left="720" w:hanging="360"/>
      </w:pPr>
      <w:rPr>
        <w:rFonts w:ascii="Wingdings" w:hAnsi="Wingdings" w:hint="default"/>
        <w:color w:val="1F497D" w:themeColor="text2"/>
        <w:sz w:val="30"/>
        <w:szCs w:val="3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2414A"/>
    <w:rsid w:val="0002563E"/>
    <w:rsid w:val="00036D48"/>
    <w:rsid w:val="000370A0"/>
    <w:rsid w:val="00091A24"/>
    <w:rsid w:val="000A1775"/>
    <w:rsid w:val="000B756F"/>
    <w:rsid w:val="000D275D"/>
    <w:rsid w:val="000D357A"/>
    <w:rsid w:val="00105370"/>
    <w:rsid w:val="00125943"/>
    <w:rsid w:val="0015038A"/>
    <w:rsid w:val="001D115C"/>
    <w:rsid w:val="001E20B5"/>
    <w:rsid w:val="002247ED"/>
    <w:rsid w:val="00231BEC"/>
    <w:rsid w:val="002559EF"/>
    <w:rsid w:val="0027037B"/>
    <w:rsid w:val="00281957"/>
    <w:rsid w:val="00292DB1"/>
    <w:rsid w:val="002B3937"/>
    <w:rsid w:val="002C3698"/>
    <w:rsid w:val="00317549"/>
    <w:rsid w:val="00324B30"/>
    <w:rsid w:val="003339C7"/>
    <w:rsid w:val="00333D63"/>
    <w:rsid w:val="00357049"/>
    <w:rsid w:val="00410CD2"/>
    <w:rsid w:val="00421503"/>
    <w:rsid w:val="00430D69"/>
    <w:rsid w:val="00466F80"/>
    <w:rsid w:val="004860E0"/>
    <w:rsid w:val="0049608C"/>
    <w:rsid w:val="00496977"/>
    <w:rsid w:val="00527764"/>
    <w:rsid w:val="00536C92"/>
    <w:rsid w:val="00540405"/>
    <w:rsid w:val="00561591"/>
    <w:rsid w:val="00575CFD"/>
    <w:rsid w:val="005C146D"/>
    <w:rsid w:val="005D13D8"/>
    <w:rsid w:val="005E4C99"/>
    <w:rsid w:val="00603814"/>
    <w:rsid w:val="0062162A"/>
    <w:rsid w:val="006240C5"/>
    <w:rsid w:val="00644B3A"/>
    <w:rsid w:val="00644F07"/>
    <w:rsid w:val="00655156"/>
    <w:rsid w:val="00686724"/>
    <w:rsid w:val="006A030A"/>
    <w:rsid w:val="006C60B0"/>
    <w:rsid w:val="006E7AD5"/>
    <w:rsid w:val="0072047A"/>
    <w:rsid w:val="0074481F"/>
    <w:rsid w:val="007722E8"/>
    <w:rsid w:val="0077689B"/>
    <w:rsid w:val="00813590"/>
    <w:rsid w:val="00815BF7"/>
    <w:rsid w:val="00824E31"/>
    <w:rsid w:val="00826DD1"/>
    <w:rsid w:val="0085135C"/>
    <w:rsid w:val="008A2E4E"/>
    <w:rsid w:val="008B07AE"/>
    <w:rsid w:val="008C1677"/>
    <w:rsid w:val="008E1BC1"/>
    <w:rsid w:val="00924E0E"/>
    <w:rsid w:val="009510C0"/>
    <w:rsid w:val="0098630D"/>
    <w:rsid w:val="009D0B2E"/>
    <w:rsid w:val="009D1EC3"/>
    <w:rsid w:val="009E3744"/>
    <w:rsid w:val="009E78CD"/>
    <w:rsid w:val="00A64471"/>
    <w:rsid w:val="00A73C92"/>
    <w:rsid w:val="00A80BB8"/>
    <w:rsid w:val="00A95491"/>
    <w:rsid w:val="00AB5B71"/>
    <w:rsid w:val="00AD1118"/>
    <w:rsid w:val="00AE1088"/>
    <w:rsid w:val="00B051EE"/>
    <w:rsid w:val="00B32754"/>
    <w:rsid w:val="00B65D0E"/>
    <w:rsid w:val="00B85ABB"/>
    <w:rsid w:val="00B87BEB"/>
    <w:rsid w:val="00BC68B3"/>
    <w:rsid w:val="00C05BC3"/>
    <w:rsid w:val="00C320EB"/>
    <w:rsid w:val="00C44143"/>
    <w:rsid w:val="00C459C1"/>
    <w:rsid w:val="00C517F5"/>
    <w:rsid w:val="00C97FE8"/>
    <w:rsid w:val="00CC3181"/>
    <w:rsid w:val="00CC7B11"/>
    <w:rsid w:val="00CE7BFE"/>
    <w:rsid w:val="00CF1C1C"/>
    <w:rsid w:val="00D02BCD"/>
    <w:rsid w:val="00D30A8E"/>
    <w:rsid w:val="00D3193B"/>
    <w:rsid w:val="00D60D98"/>
    <w:rsid w:val="00E052B3"/>
    <w:rsid w:val="00E51265"/>
    <w:rsid w:val="00E97FF8"/>
    <w:rsid w:val="00EA0567"/>
    <w:rsid w:val="00EA5CBA"/>
    <w:rsid w:val="00EB37CC"/>
    <w:rsid w:val="00F5203F"/>
    <w:rsid w:val="00F637AB"/>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1D115C"/>
    <w:rPr>
      <w:rFonts w:ascii="Gill Sans MT" w:hAnsi="Gill Sans MT"/>
      <w:b/>
      <w:color w:val="1F497D" w:themeColor="text2"/>
      <w:sz w:val="36"/>
      <w:szCs w:val="36"/>
    </w:rPr>
  </w:style>
  <w:style w:type="paragraph" w:customStyle="1" w:styleId="Sub-heading-cover">
    <w:name w:val="Sub-heading - cover"/>
    <w:basedOn w:val="Heading2"/>
    <w:qFormat/>
    <w:rsid w:val="001D115C"/>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D115C"/>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77689B"/>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1D115C"/>
    <w:rPr>
      <w:rFonts w:ascii="Gill Sans MT" w:hAnsi="Gill Sans MT"/>
      <w:b/>
      <w:color w:val="1F497D" w:themeColor="text2"/>
      <w:sz w:val="36"/>
      <w:szCs w:val="36"/>
    </w:rPr>
  </w:style>
  <w:style w:type="paragraph" w:customStyle="1" w:styleId="Sub-heading-cover">
    <w:name w:val="Sub-heading - cover"/>
    <w:basedOn w:val="Heading2"/>
    <w:qFormat/>
    <w:rsid w:val="001D115C"/>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1D115C"/>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77689B"/>
    <w:pPr>
      <w:spacing w:line="276" w:lineRule="auto"/>
    </w:pPr>
    <w:rPr>
      <w:rFonts w:ascii="Gill Sans MT" w:hAnsi="Gill Sans MT"/>
      <w:sz w:val="24"/>
      <w:szCs w:val="24"/>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C3181"/>
    <w:rPr>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7BC3-6107-485D-A7BC-952DF238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stages of consultation</dc:title>
  <dc:creator>amy.breen</dc:creator>
  <cp:lastModifiedBy>Molhuysen, Jodi</cp:lastModifiedBy>
  <cp:revision>32</cp:revision>
  <cp:lastPrinted>2016-02-18T22:58:00Z</cp:lastPrinted>
  <dcterms:created xsi:type="dcterms:W3CDTF">2016-02-16T22:26:00Z</dcterms:created>
  <dcterms:modified xsi:type="dcterms:W3CDTF">2016-03-22T03:13:00Z</dcterms:modified>
</cp:coreProperties>
</file>