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CE" w:rsidRPr="004E5DF8" w:rsidRDefault="00EE64E5" w:rsidP="00A441CE">
      <w:pPr>
        <w:pStyle w:val="Title"/>
        <w:pBdr>
          <w:top w:val="none" w:sz="0" w:space="0" w:color="auto"/>
        </w:pBdr>
        <w:spacing w:before="960" w:after="0"/>
        <w:outlineLvl w:val="9"/>
        <w:rPr>
          <w:rFonts w:eastAsiaTheme="majorEastAsia" w:cstheme="majorBidi"/>
          <w:b w:val="0"/>
          <w:bCs w:val="0"/>
          <w:spacing w:val="5"/>
          <w:sz w:val="60"/>
          <w:szCs w:val="60"/>
          <w:lang w:val="en-US" w:eastAsia="en-US"/>
        </w:rPr>
      </w:pPr>
      <w:bookmarkStart w:id="0" w:name="_Ref473558513"/>
      <w:bookmarkStart w:id="1" w:name="_GoBack"/>
      <w:bookmarkEnd w:id="1"/>
      <w:r w:rsidRPr="004E5DF8">
        <w:rPr>
          <w:rFonts w:eastAsiaTheme="majorEastAsia" w:cstheme="majorBidi"/>
          <w:b w:val="0"/>
          <w:bCs w:val="0"/>
          <w:spacing w:val="5"/>
          <w:sz w:val="60"/>
          <w:szCs w:val="60"/>
          <w:lang w:val="en-US" w:eastAsia="en-US"/>
        </w:rPr>
        <w:t>Disab</w:t>
      </w:r>
      <w:r w:rsidR="003C08AA" w:rsidRPr="004E5DF8">
        <w:rPr>
          <w:rFonts w:eastAsiaTheme="majorEastAsia" w:cstheme="majorBidi"/>
          <w:b w:val="0"/>
          <w:bCs w:val="0"/>
          <w:spacing w:val="5"/>
          <w:sz w:val="60"/>
          <w:szCs w:val="60"/>
          <w:lang w:val="en-US" w:eastAsia="en-US"/>
        </w:rPr>
        <w:t>ility Justice Plan</w:t>
      </w:r>
      <w:r w:rsidR="00185C8B">
        <w:rPr>
          <w:rFonts w:eastAsiaTheme="majorEastAsia" w:cstheme="majorBidi"/>
          <w:b w:val="0"/>
          <w:bCs w:val="0"/>
          <w:spacing w:val="5"/>
          <w:sz w:val="60"/>
          <w:szCs w:val="60"/>
          <w:lang w:val="en-US" w:eastAsia="en-US"/>
        </w:rPr>
        <w:br/>
      </w:r>
      <w:r w:rsidR="003C08AA" w:rsidRPr="004E5DF8">
        <w:rPr>
          <w:rFonts w:eastAsiaTheme="majorEastAsia" w:cstheme="majorBidi"/>
          <w:b w:val="0"/>
          <w:bCs w:val="0"/>
          <w:spacing w:val="5"/>
          <w:sz w:val="60"/>
          <w:szCs w:val="60"/>
          <w:lang w:val="en-US" w:eastAsia="en-US"/>
        </w:rPr>
        <w:t>for</w:t>
      </w:r>
      <w:r w:rsidR="00185C8B">
        <w:rPr>
          <w:rFonts w:eastAsiaTheme="majorEastAsia" w:cstheme="majorBidi"/>
          <w:b w:val="0"/>
          <w:bCs w:val="0"/>
          <w:spacing w:val="5"/>
          <w:sz w:val="60"/>
          <w:szCs w:val="60"/>
          <w:lang w:val="en-US" w:eastAsia="en-US"/>
        </w:rPr>
        <w:t xml:space="preserve"> </w:t>
      </w:r>
      <w:r w:rsidR="003C08AA" w:rsidRPr="004E5DF8">
        <w:rPr>
          <w:rFonts w:eastAsiaTheme="majorEastAsia" w:cstheme="majorBidi"/>
          <w:b w:val="0"/>
          <w:bCs w:val="0"/>
          <w:spacing w:val="5"/>
          <w:sz w:val="60"/>
          <w:szCs w:val="60"/>
          <w:lang w:val="en-US" w:eastAsia="en-US"/>
        </w:rPr>
        <w:t>Tasmania</w:t>
      </w:r>
      <w:r w:rsidR="00A441CE" w:rsidRPr="004E5DF8">
        <w:rPr>
          <w:rFonts w:eastAsiaTheme="majorEastAsia" w:cstheme="majorBidi"/>
          <w:b w:val="0"/>
          <w:bCs w:val="0"/>
          <w:spacing w:val="5"/>
          <w:sz w:val="60"/>
          <w:szCs w:val="60"/>
          <w:lang w:val="en-US" w:eastAsia="en-US"/>
        </w:rPr>
        <w:t xml:space="preserve"> </w:t>
      </w:r>
      <w:r w:rsidRPr="004E5DF8">
        <w:rPr>
          <w:rFonts w:eastAsiaTheme="majorEastAsia" w:cstheme="majorBidi"/>
          <w:b w:val="0"/>
          <w:bCs w:val="0"/>
          <w:spacing w:val="5"/>
          <w:sz w:val="60"/>
          <w:szCs w:val="60"/>
          <w:lang w:val="en-US" w:eastAsia="en-US"/>
        </w:rPr>
        <w:t>2017-2020</w:t>
      </w:r>
    </w:p>
    <w:p w:rsidR="00FB0C22" w:rsidRPr="00A441CE" w:rsidRDefault="00EE64E5" w:rsidP="004E5DF8">
      <w:pPr>
        <w:pStyle w:val="Title"/>
        <w:pBdr>
          <w:top w:val="none" w:sz="0" w:space="0" w:color="auto"/>
        </w:pBdr>
        <w:spacing w:before="600" w:after="0"/>
        <w:outlineLvl w:val="9"/>
        <w:rPr>
          <w:rFonts w:eastAsiaTheme="majorEastAsia"/>
          <w:color w:val="0D4644"/>
          <w:sz w:val="40"/>
        </w:rPr>
        <w:sectPr w:rsidR="00FB0C22" w:rsidRPr="00A441CE" w:rsidSect="003C08AA">
          <w:headerReference w:type="default" r:id="rId8"/>
          <w:footerReference w:type="default" r:id="rId9"/>
          <w:pgSz w:w="11906" w:h="16838" w:code="9"/>
          <w:pgMar w:top="1440" w:right="1440" w:bottom="1440" w:left="1440" w:header="709" w:footer="510" w:gutter="0"/>
          <w:cols w:space="708"/>
          <w:docGrid w:linePitch="360"/>
        </w:sectPr>
      </w:pPr>
      <w:r w:rsidRPr="00A441CE">
        <w:rPr>
          <w:rFonts w:eastAsiaTheme="majorEastAsia" w:cstheme="majorBidi"/>
          <w:b w:val="0"/>
          <w:bCs w:val="0"/>
          <w:color w:val="0D4644"/>
          <w:spacing w:val="5"/>
          <w:sz w:val="32"/>
          <w:szCs w:val="60"/>
          <w:lang w:val="en-US" w:eastAsia="en-US"/>
        </w:rPr>
        <w:t>December 201</w:t>
      </w:r>
      <w:r w:rsidR="00FB0C22" w:rsidRPr="00A441CE">
        <w:rPr>
          <w:rFonts w:eastAsiaTheme="majorEastAsia" w:cstheme="majorBidi"/>
          <w:b w:val="0"/>
          <w:bCs w:val="0"/>
          <w:color w:val="0D4644"/>
          <w:spacing w:val="5"/>
          <w:sz w:val="32"/>
          <w:szCs w:val="60"/>
          <w:lang w:val="en-US" w:eastAsia="en-US"/>
        </w:rPr>
        <w:t>7</w:t>
      </w:r>
    </w:p>
    <w:sdt>
      <w:sdtPr>
        <w:rPr>
          <w:rFonts w:eastAsia="Arial" w:cs="Times New Roman"/>
          <w:noProof/>
          <w:color w:val="000000" w:themeColor="text1"/>
          <w:sz w:val="22"/>
          <w:szCs w:val="20"/>
        </w:rPr>
        <w:id w:val="1415969312"/>
        <w:docPartObj>
          <w:docPartGallery w:val="Table of Contents"/>
          <w:docPartUnique/>
        </w:docPartObj>
      </w:sdtPr>
      <w:sdtEndPr>
        <w:rPr>
          <w:b/>
          <w:bCs/>
        </w:rPr>
      </w:sdtEndPr>
      <w:sdtContent>
        <w:p w:rsidR="002A6B3E" w:rsidRDefault="00445794" w:rsidP="00445794">
          <w:pPr>
            <w:pStyle w:val="Heading1"/>
          </w:pPr>
          <w:r>
            <w:t>Contents</w:t>
          </w:r>
        </w:p>
        <w:p w:rsidR="002A6B3E" w:rsidRDefault="002A6B3E">
          <w:pPr>
            <w:pStyle w:val="TOC1"/>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500835608" w:history="1">
            <w:r w:rsidRPr="00A5463F">
              <w:rPr>
                <w:rStyle w:val="Hyperlink"/>
              </w:rPr>
              <w:t>Minister’s Foreword</w:t>
            </w:r>
            <w:r>
              <w:rPr>
                <w:webHidden/>
              </w:rPr>
              <w:tab/>
            </w:r>
            <w:r>
              <w:rPr>
                <w:webHidden/>
              </w:rPr>
              <w:fldChar w:fldCharType="begin"/>
            </w:r>
            <w:r>
              <w:rPr>
                <w:webHidden/>
              </w:rPr>
              <w:instrText xml:space="preserve"> PAGEREF _Toc500835608 \h </w:instrText>
            </w:r>
            <w:r>
              <w:rPr>
                <w:webHidden/>
              </w:rPr>
            </w:r>
            <w:r>
              <w:rPr>
                <w:webHidden/>
              </w:rPr>
              <w:fldChar w:fldCharType="separate"/>
            </w:r>
            <w:r w:rsidR="00D81B5F">
              <w:rPr>
                <w:webHidden/>
              </w:rPr>
              <w:t>3</w:t>
            </w:r>
            <w:r>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09" w:history="1">
            <w:r w:rsidR="002A6B3E" w:rsidRPr="00A5463F">
              <w:rPr>
                <w:rStyle w:val="Hyperlink"/>
              </w:rPr>
              <w:t>Introduction</w:t>
            </w:r>
            <w:r w:rsidR="002A6B3E">
              <w:rPr>
                <w:webHidden/>
              </w:rPr>
              <w:tab/>
            </w:r>
            <w:r w:rsidR="002A6B3E">
              <w:rPr>
                <w:webHidden/>
              </w:rPr>
              <w:fldChar w:fldCharType="begin"/>
            </w:r>
            <w:r w:rsidR="002A6B3E">
              <w:rPr>
                <w:webHidden/>
              </w:rPr>
              <w:instrText xml:space="preserve"> PAGEREF _Toc500835609 \h </w:instrText>
            </w:r>
            <w:r w:rsidR="002A6B3E">
              <w:rPr>
                <w:webHidden/>
              </w:rPr>
            </w:r>
            <w:r w:rsidR="002A6B3E">
              <w:rPr>
                <w:webHidden/>
              </w:rPr>
              <w:fldChar w:fldCharType="separate"/>
            </w:r>
            <w:r w:rsidR="00D81B5F">
              <w:rPr>
                <w:webHidden/>
              </w:rPr>
              <w:t>4</w:t>
            </w:r>
            <w:r w:rsidR="002A6B3E">
              <w:rPr>
                <w:webHidden/>
              </w:rPr>
              <w:fldChar w:fldCharType="end"/>
            </w:r>
          </w:hyperlink>
        </w:p>
        <w:p w:rsidR="002A6B3E" w:rsidRPr="002A6B3E" w:rsidRDefault="00D12061" w:rsidP="002A6B3E">
          <w:pPr>
            <w:pStyle w:val="TOC1"/>
            <w:rPr>
              <w:rFonts w:asciiTheme="minorHAnsi" w:eastAsiaTheme="minorEastAsia" w:hAnsiTheme="minorHAnsi" w:cstheme="minorBidi"/>
              <w:color w:val="auto"/>
              <w:szCs w:val="22"/>
            </w:rPr>
          </w:pPr>
          <w:hyperlink w:anchor="_Toc500835610" w:history="1">
            <w:r w:rsidR="002A6B3E" w:rsidRPr="00A5463F">
              <w:rPr>
                <w:rStyle w:val="Hyperlink"/>
              </w:rPr>
              <w:t>Context</w:t>
            </w:r>
            <w:r w:rsidR="002A6B3E">
              <w:rPr>
                <w:webHidden/>
              </w:rPr>
              <w:tab/>
            </w:r>
            <w:r w:rsidR="002A6B3E">
              <w:rPr>
                <w:webHidden/>
              </w:rPr>
              <w:tab/>
            </w:r>
            <w:r w:rsidR="002A6B3E">
              <w:rPr>
                <w:webHidden/>
              </w:rPr>
              <w:fldChar w:fldCharType="begin"/>
            </w:r>
            <w:r w:rsidR="002A6B3E">
              <w:rPr>
                <w:webHidden/>
              </w:rPr>
              <w:instrText xml:space="preserve"> PAGEREF _Toc500835610 \h </w:instrText>
            </w:r>
            <w:r w:rsidR="002A6B3E">
              <w:rPr>
                <w:webHidden/>
              </w:rPr>
            </w:r>
            <w:r w:rsidR="002A6B3E">
              <w:rPr>
                <w:webHidden/>
              </w:rPr>
              <w:fldChar w:fldCharType="separate"/>
            </w:r>
            <w:r w:rsidR="00D81B5F">
              <w:rPr>
                <w:webHidden/>
              </w:rPr>
              <w:t>5</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13" w:history="1">
            <w:r w:rsidR="002A6B3E" w:rsidRPr="00A5463F">
              <w:rPr>
                <w:rStyle w:val="Hyperlink"/>
              </w:rPr>
              <w:t>Legal and Policy Framework</w:t>
            </w:r>
            <w:r w:rsidR="002A6B3E">
              <w:rPr>
                <w:webHidden/>
              </w:rPr>
              <w:tab/>
            </w:r>
            <w:r w:rsidR="002A6B3E">
              <w:rPr>
                <w:webHidden/>
              </w:rPr>
              <w:fldChar w:fldCharType="begin"/>
            </w:r>
            <w:r w:rsidR="002A6B3E">
              <w:rPr>
                <w:webHidden/>
              </w:rPr>
              <w:instrText xml:space="preserve"> PAGEREF _Toc500835613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12061" w:rsidP="00CC04F3">
          <w:pPr>
            <w:pStyle w:val="TOC2"/>
            <w:spacing w:before="100" w:after="160"/>
            <w:ind w:right="0"/>
            <w:rPr>
              <w:rFonts w:asciiTheme="minorHAnsi" w:eastAsiaTheme="minorEastAsia" w:hAnsiTheme="minorHAnsi" w:cstheme="minorBidi"/>
              <w:bCs w:val="0"/>
              <w:color w:val="auto"/>
            </w:rPr>
          </w:pPr>
          <w:hyperlink w:anchor="_Toc500835614" w:history="1">
            <w:r w:rsidR="002A6B3E" w:rsidRPr="00A5463F">
              <w:rPr>
                <w:rStyle w:val="Hyperlink"/>
              </w:rPr>
              <w:t>International Human Rights Law</w:t>
            </w:r>
            <w:r w:rsidR="002A6B3E">
              <w:rPr>
                <w:webHidden/>
              </w:rPr>
              <w:tab/>
            </w:r>
            <w:r w:rsidR="002A6B3E">
              <w:rPr>
                <w:webHidden/>
              </w:rPr>
              <w:fldChar w:fldCharType="begin"/>
            </w:r>
            <w:r w:rsidR="002A6B3E">
              <w:rPr>
                <w:webHidden/>
              </w:rPr>
              <w:instrText xml:space="preserve"> PAGEREF _Toc500835614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12061" w:rsidP="00CC04F3">
          <w:pPr>
            <w:pStyle w:val="TOC2"/>
            <w:spacing w:before="100" w:after="160"/>
            <w:ind w:right="0"/>
            <w:rPr>
              <w:rFonts w:asciiTheme="minorHAnsi" w:eastAsiaTheme="minorEastAsia" w:hAnsiTheme="minorHAnsi" w:cstheme="minorBidi"/>
              <w:bCs w:val="0"/>
              <w:color w:val="auto"/>
            </w:rPr>
          </w:pPr>
          <w:hyperlink w:anchor="_Toc500835615" w:history="1">
            <w:r w:rsidR="002A6B3E" w:rsidRPr="00A5463F">
              <w:rPr>
                <w:rStyle w:val="Hyperlink"/>
              </w:rPr>
              <w:t>Discrimination Law</w:t>
            </w:r>
            <w:r w:rsidR="002A6B3E">
              <w:rPr>
                <w:webHidden/>
              </w:rPr>
              <w:tab/>
            </w:r>
            <w:r w:rsidR="002A6B3E">
              <w:rPr>
                <w:webHidden/>
              </w:rPr>
              <w:fldChar w:fldCharType="begin"/>
            </w:r>
            <w:r w:rsidR="002A6B3E">
              <w:rPr>
                <w:webHidden/>
              </w:rPr>
              <w:instrText xml:space="preserve"> PAGEREF _Toc500835615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12061" w:rsidP="00CC04F3">
          <w:pPr>
            <w:pStyle w:val="TOC2"/>
            <w:spacing w:before="100" w:after="160"/>
            <w:ind w:right="0"/>
            <w:rPr>
              <w:rFonts w:asciiTheme="minorHAnsi" w:eastAsiaTheme="minorEastAsia" w:hAnsiTheme="minorHAnsi" w:cstheme="minorBidi"/>
              <w:bCs w:val="0"/>
              <w:color w:val="auto"/>
            </w:rPr>
          </w:pPr>
          <w:hyperlink w:anchor="_Toc500835616" w:history="1">
            <w:r w:rsidR="002A6B3E" w:rsidRPr="00A5463F">
              <w:rPr>
                <w:rStyle w:val="Hyperlink"/>
              </w:rPr>
              <w:t>National Disability Strategy</w:t>
            </w:r>
            <w:r w:rsidR="002A6B3E">
              <w:rPr>
                <w:webHidden/>
              </w:rPr>
              <w:tab/>
            </w:r>
            <w:r w:rsidR="002A6B3E">
              <w:rPr>
                <w:webHidden/>
              </w:rPr>
              <w:fldChar w:fldCharType="begin"/>
            </w:r>
            <w:r w:rsidR="002A6B3E">
              <w:rPr>
                <w:webHidden/>
              </w:rPr>
              <w:instrText xml:space="preserve"> PAGEREF _Toc500835616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12061" w:rsidP="00CC04F3">
          <w:pPr>
            <w:pStyle w:val="TOC2"/>
            <w:spacing w:before="100" w:after="160"/>
            <w:ind w:right="0"/>
            <w:rPr>
              <w:rFonts w:asciiTheme="minorHAnsi" w:eastAsiaTheme="minorEastAsia" w:hAnsiTheme="minorHAnsi" w:cstheme="minorBidi"/>
              <w:bCs w:val="0"/>
              <w:color w:val="auto"/>
            </w:rPr>
          </w:pPr>
          <w:hyperlink w:anchor="_Toc500835617" w:history="1">
            <w:r w:rsidR="002A6B3E" w:rsidRPr="00A5463F">
              <w:rPr>
                <w:rStyle w:val="Hyperlink"/>
              </w:rPr>
              <w:t>Tasmanian Disability Framework for Action</w:t>
            </w:r>
            <w:r w:rsidR="002A6B3E">
              <w:rPr>
                <w:webHidden/>
              </w:rPr>
              <w:tab/>
            </w:r>
            <w:r w:rsidR="002A6B3E">
              <w:rPr>
                <w:webHidden/>
              </w:rPr>
              <w:fldChar w:fldCharType="begin"/>
            </w:r>
            <w:r w:rsidR="002A6B3E">
              <w:rPr>
                <w:webHidden/>
              </w:rPr>
              <w:instrText xml:space="preserve"> PAGEREF _Toc500835617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18" w:history="1">
            <w:r w:rsidR="002A6B3E" w:rsidRPr="00A5463F">
              <w:rPr>
                <w:rStyle w:val="Hyperlink"/>
              </w:rPr>
              <w:t>Ensuring that services are disability ready and responsive</w:t>
            </w:r>
            <w:r w:rsidR="002A6B3E">
              <w:rPr>
                <w:webHidden/>
              </w:rPr>
              <w:tab/>
            </w:r>
            <w:r w:rsidR="002A6B3E">
              <w:rPr>
                <w:webHidden/>
              </w:rPr>
              <w:fldChar w:fldCharType="begin"/>
            </w:r>
            <w:r w:rsidR="002A6B3E">
              <w:rPr>
                <w:webHidden/>
              </w:rPr>
              <w:instrText xml:space="preserve"> PAGEREF _Toc500835618 \h </w:instrText>
            </w:r>
            <w:r w:rsidR="002A6B3E">
              <w:rPr>
                <w:webHidden/>
              </w:rPr>
            </w:r>
            <w:r w:rsidR="002A6B3E">
              <w:rPr>
                <w:webHidden/>
              </w:rPr>
              <w:fldChar w:fldCharType="separate"/>
            </w:r>
            <w:r w:rsidR="00D81B5F">
              <w:rPr>
                <w:webHidden/>
              </w:rPr>
              <w:t>7</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19" w:history="1">
            <w:r w:rsidR="002A6B3E" w:rsidRPr="00A5463F">
              <w:rPr>
                <w:rStyle w:val="Hyperlink"/>
              </w:rPr>
              <w:t>Preventing and responding to violence, abuse and neglect</w:t>
            </w:r>
            <w:r w:rsidR="002A6B3E">
              <w:rPr>
                <w:webHidden/>
              </w:rPr>
              <w:tab/>
            </w:r>
            <w:r w:rsidR="002A6B3E">
              <w:rPr>
                <w:webHidden/>
              </w:rPr>
              <w:fldChar w:fldCharType="begin"/>
            </w:r>
            <w:r w:rsidR="002A6B3E">
              <w:rPr>
                <w:webHidden/>
              </w:rPr>
              <w:instrText xml:space="preserve"> PAGEREF _Toc500835619 \h </w:instrText>
            </w:r>
            <w:r w:rsidR="002A6B3E">
              <w:rPr>
                <w:webHidden/>
              </w:rPr>
            </w:r>
            <w:r w:rsidR="002A6B3E">
              <w:rPr>
                <w:webHidden/>
              </w:rPr>
              <w:fldChar w:fldCharType="separate"/>
            </w:r>
            <w:r w:rsidR="00D81B5F">
              <w:rPr>
                <w:webHidden/>
              </w:rPr>
              <w:t>8</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0" w:history="1">
            <w:r w:rsidR="002A6B3E" w:rsidRPr="00A5463F">
              <w:rPr>
                <w:rStyle w:val="Hyperlink"/>
              </w:rPr>
              <w:t>Responding to the needs of people with disability who are at risk of experiencing family violence</w:t>
            </w:r>
            <w:r w:rsidR="002A6B3E">
              <w:rPr>
                <w:webHidden/>
              </w:rPr>
              <w:tab/>
            </w:r>
            <w:r w:rsidR="002A6B3E">
              <w:rPr>
                <w:webHidden/>
              </w:rPr>
              <w:fldChar w:fldCharType="begin"/>
            </w:r>
            <w:r w:rsidR="002A6B3E">
              <w:rPr>
                <w:webHidden/>
              </w:rPr>
              <w:instrText xml:space="preserve"> PAGEREF _Toc500835620 \h </w:instrText>
            </w:r>
            <w:r w:rsidR="002A6B3E">
              <w:rPr>
                <w:webHidden/>
              </w:rPr>
            </w:r>
            <w:r w:rsidR="002A6B3E">
              <w:rPr>
                <w:webHidden/>
              </w:rPr>
              <w:fldChar w:fldCharType="separate"/>
            </w:r>
            <w:r w:rsidR="00D81B5F">
              <w:rPr>
                <w:webHidden/>
              </w:rPr>
              <w:t>9</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1" w:history="1">
            <w:r w:rsidR="002A6B3E" w:rsidRPr="00A5463F">
              <w:rPr>
                <w:rStyle w:val="Hyperlink"/>
              </w:rPr>
              <w:t>Safeguarding the rights of people with disability to make decisions that affect their lives</w:t>
            </w:r>
            <w:r w:rsidR="002A6B3E">
              <w:rPr>
                <w:webHidden/>
              </w:rPr>
              <w:tab/>
            </w:r>
            <w:r w:rsidR="002A6B3E">
              <w:rPr>
                <w:webHidden/>
              </w:rPr>
              <w:fldChar w:fldCharType="begin"/>
            </w:r>
            <w:r w:rsidR="002A6B3E">
              <w:rPr>
                <w:webHidden/>
              </w:rPr>
              <w:instrText xml:space="preserve"> PAGEREF _Toc500835621 \h </w:instrText>
            </w:r>
            <w:r w:rsidR="002A6B3E">
              <w:rPr>
                <w:webHidden/>
              </w:rPr>
            </w:r>
            <w:r w:rsidR="002A6B3E">
              <w:rPr>
                <w:webHidden/>
              </w:rPr>
              <w:fldChar w:fldCharType="separate"/>
            </w:r>
            <w:r w:rsidR="00D81B5F">
              <w:rPr>
                <w:webHidden/>
              </w:rPr>
              <w:t>10</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2" w:history="1">
            <w:r w:rsidR="002A6B3E" w:rsidRPr="00A5463F">
              <w:rPr>
                <w:rStyle w:val="Hyperlink"/>
              </w:rPr>
              <w:t>Providing access to advocacy and communication support</w:t>
            </w:r>
            <w:r w:rsidR="002A6B3E">
              <w:rPr>
                <w:webHidden/>
              </w:rPr>
              <w:tab/>
            </w:r>
            <w:r w:rsidR="002A6B3E">
              <w:rPr>
                <w:webHidden/>
              </w:rPr>
              <w:fldChar w:fldCharType="begin"/>
            </w:r>
            <w:r w:rsidR="002A6B3E">
              <w:rPr>
                <w:webHidden/>
              </w:rPr>
              <w:instrText xml:space="preserve"> PAGEREF _Toc500835622 \h </w:instrText>
            </w:r>
            <w:r w:rsidR="002A6B3E">
              <w:rPr>
                <w:webHidden/>
              </w:rPr>
            </w:r>
            <w:r w:rsidR="002A6B3E">
              <w:rPr>
                <w:webHidden/>
              </w:rPr>
              <w:fldChar w:fldCharType="separate"/>
            </w:r>
            <w:r w:rsidR="00D81B5F">
              <w:rPr>
                <w:webHidden/>
              </w:rPr>
              <w:t>11</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3" w:history="1">
            <w:r w:rsidR="002A6B3E" w:rsidRPr="00A5463F">
              <w:rPr>
                <w:rStyle w:val="Hyperlink"/>
              </w:rPr>
              <w:t>Developing disability responsive legal services</w:t>
            </w:r>
            <w:r w:rsidR="002A6B3E">
              <w:rPr>
                <w:webHidden/>
              </w:rPr>
              <w:tab/>
            </w:r>
            <w:r w:rsidR="002A6B3E">
              <w:rPr>
                <w:webHidden/>
              </w:rPr>
              <w:fldChar w:fldCharType="begin"/>
            </w:r>
            <w:r w:rsidR="002A6B3E">
              <w:rPr>
                <w:webHidden/>
              </w:rPr>
              <w:instrText xml:space="preserve"> PAGEREF _Toc500835623 \h </w:instrText>
            </w:r>
            <w:r w:rsidR="002A6B3E">
              <w:rPr>
                <w:webHidden/>
              </w:rPr>
            </w:r>
            <w:r w:rsidR="002A6B3E">
              <w:rPr>
                <w:webHidden/>
              </w:rPr>
              <w:fldChar w:fldCharType="separate"/>
            </w:r>
            <w:r w:rsidR="00D81B5F">
              <w:rPr>
                <w:webHidden/>
              </w:rPr>
              <w:t>12</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4" w:history="1">
            <w:r w:rsidR="002A6B3E" w:rsidRPr="00A5463F">
              <w:rPr>
                <w:rStyle w:val="Hyperlink"/>
              </w:rPr>
              <w:t>Promoting disability responsive police practices</w:t>
            </w:r>
            <w:r w:rsidR="002A6B3E">
              <w:rPr>
                <w:webHidden/>
              </w:rPr>
              <w:tab/>
            </w:r>
            <w:r w:rsidR="002A6B3E">
              <w:rPr>
                <w:webHidden/>
              </w:rPr>
              <w:fldChar w:fldCharType="begin"/>
            </w:r>
            <w:r w:rsidR="002A6B3E">
              <w:rPr>
                <w:webHidden/>
              </w:rPr>
              <w:instrText xml:space="preserve"> PAGEREF _Toc500835624 \h </w:instrText>
            </w:r>
            <w:r w:rsidR="002A6B3E">
              <w:rPr>
                <w:webHidden/>
              </w:rPr>
            </w:r>
            <w:r w:rsidR="002A6B3E">
              <w:rPr>
                <w:webHidden/>
              </w:rPr>
              <w:fldChar w:fldCharType="separate"/>
            </w:r>
            <w:r w:rsidR="00D81B5F">
              <w:rPr>
                <w:webHidden/>
              </w:rPr>
              <w:t>13</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5" w:history="1">
            <w:r w:rsidR="002A6B3E" w:rsidRPr="00A5463F">
              <w:rPr>
                <w:rStyle w:val="Hyperlink"/>
              </w:rPr>
              <w:t>Implementing disability responsive prosecution services</w:t>
            </w:r>
            <w:r w:rsidR="002A6B3E">
              <w:rPr>
                <w:webHidden/>
              </w:rPr>
              <w:tab/>
            </w:r>
            <w:r w:rsidR="002A6B3E">
              <w:rPr>
                <w:webHidden/>
              </w:rPr>
              <w:fldChar w:fldCharType="begin"/>
            </w:r>
            <w:r w:rsidR="002A6B3E">
              <w:rPr>
                <w:webHidden/>
              </w:rPr>
              <w:instrText xml:space="preserve"> PAGEREF _Toc500835625 \h </w:instrText>
            </w:r>
            <w:r w:rsidR="002A6B3E">
              <w:rPr>
                <w:webHidden/>
              </w:rPr>
            </w:r>
            <w:r w:rsidR="002A6B3E">
              <w:rPr>
                <w:webHidden/>
              </w:rPr>
              <w:fldChar w:fldCharType="separate"/>
            </w:r>
            <w:r w:rsidR="00D81B5F">
              <w:rPr>
                <w:webHidden/>
              </w:rPr>
              <w:t>14</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6" w:history="1">
            <w:r w:rsidR="002A6B3E" w:rsidRPr="00A5463F">
              <w:rPr>
                <w:rStyle w:val="Hyperlink"/>
              </w:rPr>
              <w:t>Adopting disability responsive court processes</w:t>
            </w:r>
            <w:r w:rsidR="002A6B3E">
              <w:rPr>
                <w:webHidden/>
              </w:rPr>
              <w:tab/>
            </w:r>
            <w:r w:rsidR="002A6B3E">
              <w:rPr>
                <w:webHidden/>
              </w:rPr>
              <w:fldChar w:fldCharType="begin"/>
            </w:r>
            <w:r w:rsidR="002A6B3E">
              <w:rPr>
                <w:webHidden/>
              </w:rPr>
              <w:instrText xml:space="preserve"> PAGEREF _Toc500835626 \h </w:instrText>
            </w:r>
            <w:r w:rsidR="002A6B3E">
              <w:rPr>
                <w:webHidden/>
              </w:rPr>
            </w:r>
            <w:r w:rsidR="002A6B3E">
              <w:rPr>
                <w:webHidden/>
              </w:rPr>
              <w:fldChar w:fldCharType="separate"/>
            </w:r>
            <w:r w:rsidR="00D81B5F">
              <w:rPr>
                <w:webHidden/>
              </w:rPr>
              <w:t>15</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7" w:history="1">
            <w:r w:rsidR="002A6B3E" w:rsidRPr="00A5463F">
              <w:rPr>
                <w:rStyle w:val="Hyperlink"/>
              </w:rPr>
              <w:t>Implementing disability responsive youth justice services</w:t>
            </w:r>
            <w:r w:rsidR="002A6B3E">
              <w:rPr>
                <w:webHidden/>
              </w:rPr>
              <w:tab/>
            </w:r>
            <w:r w:rsidR="002A6B3E">
              <w:rPr>
                <w:webHidden/>
              </w:rPr>
              <w:fldChar w:fldCharType="begin"/>
            </w:r>
            <w:r w:rsidR="002A6B3E">
              <w:rPr>
                <w:webHidden/>
              </w:rPr>
              <w:instrText xml:space="preserve"> PAGEREF _Toc500835627 \h </w:instrText>
            </w:r>
            <w:r w:rsidR="002A6B3E">
              <w:rPr>
                <w:webHidden/>
              </w:rPr>
            </w:r>
            <w:r w:rsidR="002A6B3E">
              <w:rPr>
                <w:webHidden/>
              </w:rPr>
              <w:fldChar w:fldCharType="separate"/>
            </w:r>
            <w:r w:rsidR="00D81B5F">
              <w:rPr>
                <w:webHidden/>
              </w:rPr>
              <w:t>16</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8" w:history="1">
            <w:r w:rsidR="002A6B3E" w:rsidRPr="00A5463F">
              <w:rPr>
                <w:rStyle w:val="Hyperlink"/>
              </w:rPr>
              <w:t>Promoting the rehabilitation and reintegration of offenders with disability</w:t>
            </w:r>
            <w:r w:rsidR="002A6B3E">
              <w:rPr>
                <w:webHidden/>
              </w:rPr>
              <w:tab/>
            </w:r>
            <w:r w:rsidR="002A6B3E">
              <w:rPr>
                <w:webHidden/>
              </w:rPr>
              <w:fldChar w:fldCharType="begin"/>
            </w:r>
            <w:r w:rsidR="002A6B3E">
              <w:rPr>
                <w:webHidden/>
              </w:rPr>
              <w:instrText xml:space="preserve"> PAGEREF _Toc500835628 \h </w:instrText>
            </w:r>
            <w:r w:rsidR="002A6B3E">
              <w:rPr>
                <w:webHidden/>
              </w:rPr>
            </w:r>
            <w:r w:rsidR="002A6B3E">
              <w:rPr>
                <w:webHidden/>
              </w:rPr>
              <w:fldChar w:fldCharType="separate"/>
            </w:r>
            <w:r w:rsidR="00D81B5F">
              <w:rPr>
                <w:webHidden/>
              </w:rPr>
              <w:t>17</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29" w:history="1">
            <w:r w:rsidR="002A6B3E" w:rsidRPr="00A5463F">
              <w:rPr>
                <w:rStyle w:val="Hyperlink"/>
              </w:rPr>
              <w:t>Providing disability ready and responsive prison services</w:t>
            </w:r>
            <w:r w:rsidR="002A6B3E">
              <w:rPr>
                <w:webHidden/>
              </w:rPr>
              <w:tab/>
            </w:r>
            <w:r w:rsidR="002A6B3E">
              <w:rPr>
                <w:webHidden/>
              </w:rPr>
              <w:fldChar w:fldCharType="begin"/>
            </w:r>
            <w:r w:rsidR="002A6B3E">
              <w:rPr>
                <w:webHidden/>
              </w:rPr>
              <w:instrText xml:space="preserve"> PAGEREF _Toc500835629 \h </w:instrText>
            </w:r>
            <w:r w:rsidR="002A6B3E">
              <w:rPr>
                <w:webHidden/>
              </w:rPr>
            </w:r>
            <w:r w:rsidR="002A6B3E">
              <w:rPr>
                <w:webHidden/>
              </w:rPr>
              <w:fldChar w:fldCharType="separate"/>
            </w:r>
            <w:r w:rsidR="00D81B5F">
              <w:rPr>
                <w:webHidden/>
              </w:rPr>
              <w:t>18</w:t>
            </w:r>
            <w:r w:rsidR="002A6B3E">
              <w:rPr>
                <w:webHidden/>
              </w:rPr>
              <w:fldChar w:fldCharType="end"/>
            </w:r>
          </w:hyperlink>
        </w:p>
        <w:p w:rsidR="002A6B3E" w:rsidRDefault="00D12061">
          <w:pPr>
            <w:pStyle w:val="TOC1"/>
            <w:rPr>
              <w:rFonts w:asciiTheme="minorHAnsi" w:eastAsiaTheme="minorEastAsia" w:hAnsiTheme="minorHAnsi" w:cstheme="minorBidi"/>
              <w:color w:val="auto"/>
              <w:szCs w:val="22"/>
            </w:rPr>
          </w:pPr>
          <w:hyperlink w:anchor="_Toc500835630" w:history="1">
            <w:r w:rsidR="002A6B3E" w:rsidRPr="00A5463F">
              <w:rPr>
                <w:rStyle w:val="Hyperlink"/>
              </w:rPr>
              <w:t>Safeguarding the rights of forensic mental health patients</w:t>
            </w:r>
            <w:r w:rsidR="002A6B3E">
              <w:rPr>
                <w:webHidden/>
              </w:rPr>
              <w:tab/>
            </w:r>
            <w:r w:rsidR="002A6B3E">
              <w:rPr>
                <w:webHidden/>
              </w:rPr>
              <w:fldChar w:fldCharType="begin"/>
            </w:r>
            <w:r w:rsidR="002A6B3E">
              <w:rPr>
                <w:webHidden/>
              </w:rPr>
              <w:instrText xml:space="preserve"> PAGEREF _Toc500835630 \h </w:instrText>
            </w:r>
            <w:r w:rsidR="002A6B3E">
              <w:rPr>
                <w:webHidden/>
              </w:rPr>
            </w:r>
            <w:r w:rsidR="002A6B3E">
              <w:rPr>
                <w:webHidden/>
              </w:rPr>
              <w:fldChar w:fldCharType="separate"/>
            </w:r>
            <w:r w:rsidR="00D81B5F">
              <w:rPr>
                <w:webHidden/>
              </w:rPr>
              <w:t>19</w:t>
            </w:r>
            <w:r w:rsidR="002A6B3E">
              <w:rPr>
                <w:webHidden/>
              </w:rPr>
              <w:fldChar w:fldCharType="end"/>
            </w:r>
          </w:hyperlink>
        </w:p>
        <w:p w:rsidR="002A6B3E" w:rsidRDefault="00D12061" w:rsidP="002A6B3E">
          <w:pPr>
            <w:pStyle w:val="TOC1"/>
          </w:pPr>
          <w:hyperlink w:anchor="_Toc500835631" w:history="1">
            <w:r w:rsidR="002A6B3E" w:rsidRPr="00A5463F">
              <w:rPr>
                <w:rStyle w:val="Hyperlink"/>
              </w:rPr>
              <w:t>Continuously monitor and improve performance</w:t>
            </w:r>
            <w:r w:rsidR="002A6B3E">
              <w:rPr>
                <w:webHidden/>
              </w:rPr>
              <w:tab/>
            </w:r>
            <w:r w:rsidR="002A6B3E">
              <w:rPr>
                <w:webHidden/>
              </w:rPr>
              <w:fldChar w:fldCharType="begin"/>
            </w:r>
            <w:r w:rsidR="002A6B3E">
              <w:rPr>
                <w:webHidden/>
              </w:rPr>
              <w:instrText xml:space="preserve"> PAGEREF _Toc500835631 \h </w:instrText>
            </w:r>
            <w:r w:rsidR="002A6B3E">
              <w:rPr>
                <w:webHidden/>
              </w:rPr>
            </w:r>
            <w:r w:rsidR="002A6B3E">
              <w:rPr>
                <w:webHidden/>
              </w:rPr>
              <w:fldChar w:fldCharType="separate"/>
            </w:r>
            <w:r w:rsidR="00D81B5F">
              <w:rPr>
                <w:webHidden/>
              </w:rPr>
              <w:t>20</w:t>
            </w:r>
            <w:r w:rsidR="002A6B3E">
              <w:rPr>
                <w:webHidden/>
              </w:rPr>
              <w:fldChar w:fldCharType="end"/>
            </w:r>
          </w:hyperlink>
          <w:r w:rsidR="002A6B3E">
            <w:rPr>
              <w:b/>
              <w:bCs/>
            </w:rPr>
            <w:fldChar w:fldCharType="end"/>
          </w:r>
        </w:p>
      </w:sdtContent>
    </w:sdt>
    <w:p w:rsidR="00A01502" w:rsidRDefault="00A01502" w:rsidP="003C08AA">
      <w:pPr>
        <w:tabs>
          <w:tab w:val="left" w:pos="0"/>
          <w:tab w:val="left" w:pos="9639"/>
        </w:tabs>
        <w:ind w:right="424"/>
      </w:pPr>
      <w:r w:rsidRPr="009F741F">
        <w:rPr>
          <w:b/>
        </w:rPr>
        <w:br w:type="page"/>
      </w:r>
    </w:p>
    <w:p w:rsidR="00A01502" w:rsidRPr="00465003" w:rsidRDefault="00A01502" w:rsidP="00465003">
      <w:pPr>
        <w:pStyle w:val="Heading1"/>
      </w:pPr>
      <w:bookmarkStart w:id="2" w:name="_Toc476738522"/>
      <w:bookmarkStart w:id="3" w:name="_Toc476819179"/>
      <w:bookmarkStart w:id="4" w:name="_Toc500835342"/>
      <w:bookmarkStart w:id="5" w:name="_Toc500835399"/>
      <w:bookmarkStart w:id="6" w:name="_Toc500835608"/>
      <w:bookmarkStart w:id="7" w:name="_Toc476819182"/>
      <w:r w:rsidRPr="00465003">
        <w:lastRenderedPageBreak/>
        <w:t>Minister’s Foreword</w:t>
      </w:r>
      <w:bookmarkEnd w:id="2"/>
      <w:bookmarkEnd w:id="3"/>
      <w:bookmarkEnd w:id="4"/>
      <w:bookmarkEnd w:id="5"/>
      <w:bookmarkEnd w:id="6"/>
    </w:p>
    <w:p w:rsidR="00E65294" w:rsidRDefault="00E65294" w:rsidP="00E65294">
      <w:pPr>
        <w:rPr>
          <w:color w:val="auto"/>
        </w:rPr>
      </w:pPr>
      <w:r>
        <w:t xml:space="preserve">The Hodgman Liberal Government is committed to improving our justice system to make sure that all Tasmanians have access to an efficient and effective justice system. </w:t>
      </w:r>
    </w:p>
    <w:p w:rsidR="00E65294" w:rsidRDefault="00E65294" w:rsidP="00E65294">
      <w:pPr>
        <w:rPr>
          <w:rFonts w:ascii="Calibri" w:hAnsi="Calibri"/>
          <w:lang w:eastAsia="en-US"/>
        </w:rPr>
      </w:pPr>
      <w:r>
        <w:t>For people with a disability, many continue to face barriers in accessing these services. This includes seeking adequate protection from violence, abuse or neglect</w:t>
      </w:r>
      <w:r w:rsidR="00455440">
        <w:t>,</w:t>
      </w:r>
      <w:r>
        <w:t xml:space="preserve"> or understanding and accessing formal legal and court procedures.</w:t>
      </w:r>
    </w:p>
    <w:p w:rsidR="00E65294" w:rsidRDefault="00E65294" w:rsidP="00E65294">
      <w:r>
        <w:t xml:space="preserve">The </w:t>
      </w:r>
      <w:r>
        <w:rPr>
          <w:i/>
          <w:iCs/>
        </w:rPr>
        <w:t>Disability Justice Plan for Tasmania</w:t>
      </w:r>
      <w:r>
        <w:t xml:space="preserve"> (the Plan) brings together many existing commitments across the justice system and supplements these with further targeted strategies. </w:t>
      </w:r>
    </w:p>
    <w:p w:rsidR="00E65294" w:rsidRDefault="00E65294" w:rsidP="00E65294">
      <w:r>
        <w:t>The aim is to improve access to justice services for people with disability and to remove unnecessary roadblocks when seeking justice.</w:t>
      </w:r>
    </w:p>
    <w:p w:rsidR="00E65294" w:rsidRDefault="00E65294" w:rsidP="00E65294">
      <w:r>
        <w:t xml:space="preserve">The Plan seeks to address the underlying contributors toward offending behaviour in circumstances where people with disability come into contact with the criminal justice system and improve equal protection by the law for those who are victims of criminal behaviour. </w:t>
      </w:r>
    </w:p>
    <w:p w:rsidR="009B3CC3" w:rsidRPr="00E65294" w:rsidRDefault="00E65294" w:rsidP="0023771B">
      <w:r>
        <w:t>We know there is still a lot more to do and I am confident this Plan will deliver improved outcomes for people with disability in Tasmania.</w:t>
      </w:r>
      <w:r w:rsidR="00F06D55">
        <w:t xml:space="preserve"> </w:t>
      </w:r>
    </w:p>
    <w:p w:rsidR="00A01502" w:rsidRPr="004E5DF8" w:rsidRDefault="00992091" w:rsidP="0023771B">
      <w:pPr>
        <w:spacing w:before="1200" w:after="0"/>
        <w:rPr>
          <w:b/>
          <w:color w:val="0D4644"/>
        </w:rPr>
      </w:pPr>
      <w:r>
        <w:rPr>
          <w:b/>
          <w:color w:val="0D4644"/>
        </w:rPr>
        <w:t xml:space="preserve">Hon </w:t>
      </w:r>
      <w:r w:rsidR="00465003" w:rsidRPr="004E5DF8">
        <w:rPr>
          <w:b/>
          <w:color w:val="0D4644"/>
        </w:rPr>
        <w:t>Elise Archer MP</w:t>
      </w:r>
    </w:p>
    <w:p w:rsidR="00A01502" w:rsidRPr="004E5DF8" w:rsidRDefault="00A01502" w:rsidP="00A01502">
      <w:pPr>
        <w:pStyle w:val="JobTitle"/>
        <w:rPr>
          <w:color w:val="0D4644"/>
        </w:rPr>
      </w:pPr>
      <w:r w:rsidRPr="004E5DF8">
        <w:rPr>
          <w:color w:val="0D4644"/>
        </w:rPr>
        <w:t>Minister for Justice</w:t>
      </w:r>
    </w:p>
    <w:p w:rsidR="00A01502" w:rsidRPr="00446479" w:rsidRDefault="00A01502" w:rsidP="00A01502">
      <w:pPr>
        <w:pStyle w:val="Heading1"/>
      </w:pPr>
      <w:bookmarkStart w:id="8" w:name="_Toc476819180"/>
      <w:bookmarkStart w:id="9" w:name="_Toc500835343"/>
      <w:bookmarkStart w:id="10" w:name="_Toc500835400"/>
      <w:bookmarkStart w:id="11" w:name="_Toc500835609"/>
      <w:r w:rsidRPr="00446479">
        <w:t>Introduction</w:t>
      </w:r>
      <w:bookmarkEnd w:id="8"/>
      <w:bookmarkEnd w:id="9"/>
      <w:bookmarkEnd w:id="10"/>
      <w:bookmarkEnd w:id="11"/>
    </w:p>
    <w:p w:rsidR="009B3CC3" w:rsidRDefault="00A01502" w:rsidP="00A01502">
      <w:r w:rsidRPr="00F73C54">
        <w:t xml:space="preserve">Every day </w:t>
      </w:r>
      <w:r w:rsidR="009B3CC3">
        <w:t>many</w:t>
      </w:r>
      <w:r w:rsidRPr="00F73C54">
        <w:t xml:space="preserve"> Tasmanians interact with the justice system</w:t>
      </w:r>
      <w:r w:rsidR="009B3CC3">
        <w:t>, w</w:t>
      </w:r>
      <w:r w:rsidRPr="006B13D9">
        <w:t>hether reporting an incident to police, appearing</w:t>
      </w:r>
      <w:r w:rsidR="00116F0C">
        <w:t xml:space="preserve"> in court </w:t>
      </w:r>
      <w:r w:rsidRPr="006B13D9">
        <w:t>or see</w:t>
      </w:r>
      <w:r w:rsidR="00116F0C">
        <w:t xml:space="preserve">king the assistance of services </w:t>
      </w:r>
      <w:r w:rsidRPr="006B13D9">
        <w:t>provided by Tasmania’s justice agencies</w:t>
      </w:r>
      <w:r w:rsidR="00BD4428">
        <w:t>.</w:t>
      </w:r>
    </w:p>
    <w:p w:rsidR="00A01502" w:rsidRPr="006B13D9" w:rsidRDefault="009B3CC3" w:rsidP="00A01502">
      <w:r>
        <w:t>P</w:t>
      </w:r>
      <w:r w:rsidR="00A01502" w:rsidRPr="006B13D9">
        <w:t xml:space="preserve">eople with disability often experience barriers </w:t>
      </w:r>
      <w:r w:rsidR="00CB34C9">
        <w:t xml:space="preserve">to accessing justice services </w:t>
      </w:r>
      <w:r w:rsidR="00A01502" w:rsidRPr="006B13D9">
        <w:t xml:space="preserve">because they are not </w:t>
      </w:r>
      <w:r>
        <w:t xml:space="preserve">identified as requiring </w:t>
      </w:r>
      <w:r w:rsidR="00E82997">
        <w:t xml:space="preserve">additional </w:t>
      </w:r>
      <w:r>
        <w:t>assistance,</w:t>
      </w:r>
      <w:r w:rsidR="00A01502" w:rsidRPr="006B13D9">
        <w:t xml:space="preserve"> or because the modifications or supports they require are not available.</w:t>
      </w:r>
    </w:p>
    <w:p w:rsidR="00A01502" w:rsidRPr="006B13D9" w:rsidRDefault="00A01502" w:rsidP="00A01502">
      <w:r w:rsidRPr="006B13D9">
        <w:t xml:space="preserve">The </w:t>
      </w:r>
      <w:r w:rsidRPr="00CA396A">
        <w:rPr>
          <w:i/>
        </w:rPr>
        <w:t>Disability Justice Plan for Tasmania</w:t>
      </w:r>
      <w:r w:rsidRPr="006B13D9">
        <w:t xml:space="preserve"> </w:t>
      </w:r>
      <w:r w:rsidR="00E82997">
        <w:t>aims</w:t>
      </w:r>
      <w:r w:rsidR="005958B0">
        <w:t xml:space="preserve"> to </w:t>
      </w:r>
      <w:r w:rsidR="009B3CC3">
        <w:t>improve</w:t>
      </w:r>
      <w:r w:rsidRPr="006B13D9">
        <w:t xml:space="preserve"> </w:t>
      </w:r>
      <w:r w:rsidR="00E82997">
        <w:t xml:space="preserve">recognition and responses to disability across </w:t>
      </w:r>
      <w:r w:rsidR="00BD4428">
        <w:t>Tasmania’s justice system.</w:t>
      </w:r>
    </w:p>
    <w:p w:rsidR="00A01502" w:rsidRPr="006B13D9" w:rsidRDefault="00A01502" w:rsidP="00A01502">
      <w:r w:rsidRPr="006B13D9">
        <w:t xml:space="preserve">The Plan </w:t>
      </w:r>
      <w:r w:rsidR="00E82997">
        <w:t>comes</w:t>
      </w:r>
      <w:r w:rsidRPr="006B13D9">
        <w:t xml:space="preserve"> at a time of change in the way in which </w:t>
      </w:r>
      <w:r w:rsidR="003016CA">
        <w:t xml:space="preserve">the </w:t>
      </w:r>
      <w:r w:rsidRPr="006B13D9">
        <w:t>needs of people with disability</w:t>
      </w:r>
      <w:r w:rsidR="00CB34C9">
        <w:t xml:space="preserve"> are viewed and addressed</w:t>
      </w:r>
      <w:r w:rsidRPr="006B13D9">
        <w:t xml:space="preserve">. </w:t>
      </w:r>
      <w:r>
        <w:t>T</w:t>
      </w:r>
      <w:r w:rsidRPr="006B13D9">
        <w:t>he National Disability Insurance Scheme</w:t>
      </w:r>
      <w:r w:rsidR="00E82997">
        <w:t>,</w:t>
      </w:r>
      <w:r w:rsidRPr="006B13D9">
        <w:t xml:space="preserve"> for example</w:t>
      </w:r>
      <w:r w:rsidR="00E82997">
        <w:t>,</w:t>
      </w:r>
      <w:r w:rsidRPr="006B13D9">
        <w:t xml:space="preserve"> </w:t>
      </w:r>
      <w:r w:rsidR="00E82997">
        <w:t>is</w:t>
      </w:r>
      <w:r w:rsidRPr="006B13D9">
        <w:t xml:space="preserve"> result</w:t>
      </w:r>
      <w:r w:rsidR="00E82997">
        <w:t>ing</w:t>
      </w:r>
      <w:r w:rsidRPr="006B13D9">
        <w:t xml:space="preserve"> in significant shifts in the way in which people with disability int</w:t>
      </w:r>
      <w:r w:rsidR="00BD4428">
        <w:t>eract with government services.</w:t>
      </w:r>
    </w:p>
    <w:p w:rsidR="00A01502" w:rsidRPr="006B13D9" w:rsidRDefault="00A01502" w:rsidP="00A01502">
      <w:r w:rsidRPr="006B13D9">
        <w:t>It also comes at a time of change in approach</w:t>
      </w:r>
      <w:r w:rsidR="00CB34C9">
        <w:t>es</w:t>
      </w:r>
      <w:r w:rsidRPr="006B13D9">
        <w:t xml:space="preserve"> to justice services</w:t>
      </w:r>
      <w:r>
        <w:t>. There is</w:t>
      </w:r>
      <w:r w:rsidRPr="006B13D9">
        <w:t xml:space="preserve"> a greater focus on rehabilitation and reintegration of offenders</w:t>
      </w:r>
      <w:r>
        <w:t xml:space="preserve"> and diverse strategies for keeping </w:t>
      </w:r>
      <w:r w:rsidR="00CB34C9">
        <w:t>the</w:t>
      </w:r>
      <w:r>
        <w:t xml:space="preserve"> community safe</w:t>
      </w:r>
      <w:r w:rsidRPr="006B13D9">
        <w:t>.</w:t>
      </w:r>
    </w:p>
    <w:p w:rsidR="00A01502" w:rsidRPr="006B13D9" w:rsidRDefault="00A01502" w:rsidP="00A01502">
      <w:r w:rsidRPr="006B13D9">
        <w:t>Th</w:t>
      </w:r>
      <w:r w:rsidR="00E82997">
        <w:t>is</w:t>
      </w:r>
      <w:r w:rsidRPr="006B13D9">
        <w:t xml:space="preserve"> Plan aims to generate a change in the way disability </w:t>
      </w:r>
      <w:r w:rsidR="00CB34C9">
        <w:t>is identified and thought about in</w:t>
      </w:r>
      <w:r w:rsidRPr="006B13D9">
        <w:t xml:space="preserve"> the justice system and to </w:t>
      </w:r>
      <w:r w:rsidR="00CB34C9">
        <w:t>lead to</w:t>
      </w:r>
      <w:r w:rsidRPr="006B13D9">
        <w:t xml:space="preserve"> more seamless service delivery arrangements</w:t>
      </w:r>
      <w:r>
        <w:t xml:space="preserve"> and greater ease in dealing with the diversity of client</w:t>
      </w:r>
      <w:r w:rsidR="00CB34C9">
        <w:t xml:space="preserve"> and user</w:t>
      </w:r>
      <w:r>
        <w:t>s</w:t>
      </w:r>
      <w:r w:rsidR="00CB34C9">
        <w:t>’ needs</w:t>
      </w:r>
      <w:r w:rsidRPr="006B13D9">
        <w:t>.</w:t>
      </w:r>
    </w:p>
    <w:p w:rsidR="00A01502" w:rsidRDefault="00CB34C9" w:rsidP="00A01502">
      <w:r>
        <w:t>I</w:t>
      </w:r>
      <w:r w:rsidR="00A01502">
        <w:t>mplement</w:t>
      </w:r>
      <w:r>
        <w:t>ation of</w:t>
      </w:r>
      <w:r w:rsidR="00A01502">
        <w:t xml:space="preserve"> </w:t>
      </w:r>
      <w:r w:rsidR="00A01502" w:rsidRPr="006B13D9">
        <w:t xml:space="preserve">the Plan </w:t>
      </w:r>
      <w:r>
        <w:t>will</w:t>
      </w:r>
      <w:r w:rsidR="00A01502" w:rsidRPr="006B13D9">
        <w:t xml:space="preserve"> involve people with disability. </w:t>
      </w:r>
      <w:r>
        <w:t>T</w:t>
      </w:r>
      <w:r w:rsidR="00A01502">
        <w:t xml:space="preserve">he Premier’s Disability Advisory Council </w:t>
      </w:r>
      <w:r>
        <w:t xml:space="preserve">will </w:t>
      </w:r>
      <w:r w:rsidR="00A01502">
        <w:t xml:space="preserve">monitor progress. </w:t>
      </w:r>
      <w:r>
        <w:t>A</w:t>
      </w:r>
      <w:r w:rsidR="00116F0C">
        <w:t>gencies and service providers</w:t>
      </w:r>
      <w:r w:rsidR="00A01502">
        <w:t xml:space="preserve"> will continue to engage with people with disability to take </w:t>
      </w:r>
      <w:r w:rsidR="00377C61">
        <w:t xml:space="preserve">agreed </w:t>
      </w:r>
      <w:r w:rsidR="00A01502">
        <w:t>actions forward.</w:t>
      </w:r>
    </w:p>
    <w:p w:rsidR="003016CA" w:rsidRDefault="003016CA" w:rsidP="00A01502">
      <w:r>
        <w:t xml:space="preserve">This plan sets out strategies for improving disability access and services in the justice system.  It therefore does not reference the many current and planned initiatives agencies are pursuing with respect to disability services outside of the justice system.  </w:t>
      </w:r>
      <w:r w:rsidR="00ED33D3">
        <w:t>It is important to recognise that all agencies are currently committed to improving disability access and services.</w:t>
      </w:r>
    </w:p>
    <w:bookmarkEnd w:id="0"/>
    <w:bookmarkEnd w:id="7"/>
    <w:p w:rsidR="00465003" w:rsidRDefault="00465003" w:rsidP="00465003">
      <w:r>
        <w:t xml:space="preserve">Government agencies and service providers will work collectively and collaboratively in implementing the strategies identified in the Plan.  </w:t>
      </w:r>
      <w:r w:rsidR="00834F5D">
        <w:t>An</w:t>
      </w:r>
      <w:r>
        <w:t xml:space="preserve"> Action Plan</w:t>
      </w:r>
      <w:r w:rsidR="00834F5D">
        <w:t xml:space="preserve"> has been developed</w:t>
      </w:r>
      <w:r>
        <w:t>, which provides more detail of the ti</w:t>
      </w:r>
      <w:r w:rsidR="00834F5D">
        <w:t xml:space="preserve">meframes for achieving results, </w:t>
      </w:r>
      <w:r w:rsidR="004320A8">
        <w:t xml:space="preserve">and </w:t>
      </w:r>
      <w:r>
        <w:t>is available on the Department of Justice website.</w:t>
      </w:r>
    </w:p>
    <w:p w:rsidR="00086A45" w:rsidRDefault="0048217D" w:rsidP="00086A45">
      <w:pPr>
        <w:pStyle w:val="Heading1"/>
      </w:pPr>
      <w:bookmarkStart w:id="12" w:name="_Toc500835344"/>
      <w:bookmarkStart w:id="13" w:name="_Toc500835401"/>
      <w:bookmarkStart w:id="14" w:name="_Toc500835610"/>
      <w:r>
        <w:t>Context</w:t>
      </w:r>
      <w:bookmarkEnd w:id="12"/>
      <w:bookmarkEnd w:id="13"/>
      <w:bookmarkEnd w:id="14"/>
    </w:p>
    <w:p w:rsidR="0048217D" w:rsidRPr="006B1674" w:rsidRDefault="0048217D" w:rsidP="006B1674">
      <w:pPr>
        <w:pStyle w:val="Heading2"/>
      </w:pPr>
      <w:bookmarkStart w:id="15" w:name="_Toc500834884"/>
      <w:bookmarkStart w:id="16" w:name="_Toc500834947"/>
      <w:bookmarkStart w:id="17" w:name="_Toc500835345"/>
      <w:bookmarkStart w:id="18" w:name="_Toc500835402"/>
      <w:bookmarkStart w:id="19" w:name="_Toc500835611"/>
      <w:r w:rsidRPr="006B1674">
        <w:t>Objective</w:t>
      </w:r>
      <w:bookmarkEnd w:id="15"/>
      <w:bookmarkEnd w:id="16"/>
      <w:bookmarkEnd w:id="17"/>
      <w:bookmarkEnd w:id="18"/>
      <w:bookmarkEnd w:id="19"/>
    </w:p>
    <w:p w:rsidR="00086A45" w:rsidRDefault="00086A45" w:rsidP="00086A45">
      <w:r w:rsidRPr="00F34957">
        <w:t>Our objective is to develop a justice system in Tasmania that is responsive to the needs of people with disability</w:t>
      </w:r>
      <w:r>
        <w:t xml:space="preserve"> and provides equality before the law and equal access to justice</w:t>
      </w:r>
      <w:r w:rsidRPr="00F34957">
        <w:t>.</w:t>
      </w:r>
    </w:p>
    <w:p w:rsidR="00BD3AF7" w:rsidRDefault="00BD3AF7" w:rsidP="008131DA">
      <w:pPr>
        <w:pStyle w:val="Heading2"/>
      </w:pPr>
      <w:bookmarkStart w:id="20" w:name="_Toc500834885"/>
      <w:bookmarkStart w:id="21" w:name="_Toc500834948"/>
      <w:bookmarkStart w:id="22" w:name="_Toc500835346"/>
      <w:bookmarkStart w:id="23" w:name="_Toc500835403"/>
      <w:bookmarkStart w:id="24" w:name="_Toc500835612"/>
      <w:r>
        <w:t>Scope</w:t>
      </w:r>
      <w:bookmarkEnd w:id="20"/>
      <w:bookmarkEnd w:id="21"/>
      <w:bookmarkEnd w:id="22"/>
      <w:bookmarkEnd w:id="23"/>
      <w:bookmarkEnd w:id="24"/>
    </w:p>
    <w:p w:rsidR="00BD3AF7" w:rsidRDefault="00BD3AF7" w:rsidP="006B1674">
      <w:pPr>
        <w:spacing w:after="240"/>
      </w:pPr>
      <w:r>
        <w:t>The Disability Justice Plan use</w:t>
      </w:r>
      <w:r w:rsidR="005B7245">
        <w:t>s</w:t>
      </w:r>
      <w:r>
        <w:t xml:space="preserve"> the definition of persons with disabilities set out in Article 1 of the </w:t>
      </w:r>
      <w:r w:rsidRPr="00871044">
        <w:t>United Nations</w:t>
      </w:r>
      <w:r w:rsidRPr="00DD25A0">
        <w:rPr>
          <w:i/>
        </w:rPr>
        <w:t xml:space="preserve"> Convention on the Rights of Persons with Disabilities</w:t>
      </w:r>
      <w:r w:rsidR="0048217D">
        <w:rPr>
          <w:i/>
        </w:rPr>
        <w:t xml:space="preserve"> </w:t>
      </w:r>
      <w:r w:rsidR="0048217D" w:rsidRPr="0048217D">
        <w:t>which was ratified by Australia in 2008</w:t>
      </w:r>
      <w:r w:rsidRPr="00D35807">
        <w:t>:</w:t>
      </w:r>
      <w:r w:rsidRPr="00D35807">
        <w:rPr>
          <w:rStyle w:val="FootnoteReference"/>
        </w:rPr>
        <w:footnoteReference w:id="1"/>
      </w:r>
    </w:p>
    <w:p w:rsidR="00BD3AF7" w:rsidRPr="0022025E" w:rsidRDefault="00BD3AF7" w:rsidP="0022025E">
      <w:pPr>
        <w:pStyle w:val="Quote"/>
        <w:spacing w:after="360"/>
      </w:pPr>
      <w:r w:rsidRPr="0022025E">
        <w:t>Persons with disabilities include those who have long-term physical, mental, intellectual or sensory impairments</w:t>
      </w:r>
      <w:r w:rsidR="00CB34C9" w:rsidRPr="0022025E">
        <w:t>,</w:t>
      </w:r>
      <w:r w:rsidRPr="0022025E">
        <w:t xml:space="preserve"> which in interaction with various barriers may hinder their full and effective participation in society on an equal basis with others</w:t>
      </w:r>
    </w:p>
    <w:p w:rsidR="00BD3AF7" w:rsidRDefault="00BD3AF7" w:rsidP="00BD3AF7">
      <w:r>
        <w:t>Cognitive disability is included in this definition. Cognitive disability is an umbrella terms that encompasses a wide range of conditions such as acquired brain injury (ABI) and foetal alcohol syndrome disorder (FASD).</w:t>
      </w:r>
    </w:p>
    <w:p w:rsidR="00BD3AF7" w:rsidRDefault="00BD3AF7" w:rsidP="00BD3AF7">
      <w:r>
        <w:t>Disability may be permanent or temporary. Equally</w:t>
      </w:r>
      <w:r w:rsidR="00CB34C9">
        <w:t>,</w:t>
      </w:r>
      <w:r>
        <w:t xml:space="preserve"> it may be episodic in nature. It may also be visible or hidden.</w:t>
      </w:r>
    </w:p>
    <w:p w:rsidR="00BD3AF7" w:rsidRDefault="0048217D" w:rsidP="0094024F">
      <w:pPr>
        <w:pStyle w:val="Heading1"/>
      </w:pPr>
      <w:bookmarkStart w:id="25" w:name="_Toc500835347"/>
      <w:bookmarkStart w:id="26" w:name="_Toc500835404"/>
      <w:bookmarkStart w:id="27" w:name="_Toc500835613"/>
      <w:r>
        <w:t xml:space="preserve">Legal and Policy </w:t>
      </w:r>
      <w:r w:rsidR="0094024F">
        <w:t>Framework</w:t>
      </w:r>
      <w:bookmarkEnd w:id="25"/>
      <w:bookmarkEnd w:id="26"/>
      <w:bookmarkEnd w:id="27"/>
    </w:p>
    <w:p w:rsidR="0094024F" w:rsidRDefault="0094024F" w:rsidP="008131DA">
      <w:pPr>
        <w:pStyle w:val="Heading2"/>
      </w:pPr>
      <w:bookmarkStart w:id="28" w:name="_Toc500835348"/>
      <w:bookmarkStart w:id="29" w:name="_Toc500835405"/>
      <w:bookmarkStart w:id="30" w:name="_Toc500835614"/>
      <w:r w:rsidRPr="008131DA">
        <w:t>International</w:t>
      </w:r>
      <w:r>
        <w:t xml:space="preserve"> Human Rights Law</w:t>
      </w:r>
      <w:bookmarkEnd w:id="28"/>
      <w:bookmarkEnd w:id="29"/>
      <w:bookmarkEnd w:id="30"/>
    </w:p>
    <w:p w:rsidR="0048217D" w:rsidRDefault="0048217D" w:rsidP="0048217D">
      <w:r>
        <w:t xml:space="preserve">The </w:t>
      </w:r>
      <w:r w:rsidRPr="00DD25A0">
        <w:rPr>
          <w:i/>
        </w:rPr>
        <w:t>Convention on the Rights of Persons with Disabilities</w:t>
      </w:r>
      <w:r>
        <w:rPr>
          <w:i/>
        </w:rPr>
        <w:t xml:space="preserve"> </w:t>
      </w:r>
      <w:r w:rsidRPr="0048217D">
        <w:t>recognises that all people are equal before the law and are entitled without any discrimination to equal protection and equal benefit of the law</w:t>
      </w:r>
      <w:r>
        <w:t>.</w:t>
      </w:r>
      <w:r>
        <w:rPr>
          <w:rStyle w:val="FootnoteReference"/>
        </w:rPr>
        <w:footnoteReference w:id="2"/>
      </w:r>
      <w:r>
        <w:t xml:space="preserve"> </w:t>
      </w:r>
      <w:r w:rsidR="0094024F">
        <w:t>This includes ensuring effective access to justice on an equal basis with others and the provision of procedural and other accommodations in order to facilitate their participation in the justice system. It also requires parties to take all appropriate measures to protect people with disabilities from exploitation, violence and abuse.</w:t>
      </w:r>
    </w:p>
    <w:p w:rsidR="0094024F" w:rsidRDefault="0094024F" w:rsidP="008131DA">
      <w:pPr>
        <w:pStyle w:val="Heading2"/>
      </w:pPr>
      <w:bookmarkStart w:id="31" w:name="_Toc500835349"/>
      <w:bookmarkStart w:id="32" w:name="_Toc500835406"/>
      <w:bookmarkStart w:id="33" w:name="_Toc500835615"/>
      <w:r w:rsidRPr="008131DA">
        <w:t>Discrimination</w:t>
      </w:r>
      <w:r>
        <w:t xml:space="preserve"> Law</w:t>
      </w:r>
      <w:bookmarkEnd w:id="31"/>
      <w:bookmarkEnd w:id="32"/>
      <w:bookmarkEnd w:id="33"/>
    </w:p>
    <w:p w:rsidR="0094024F" w:rsidRPr="00871044" w:rsidRDefault="0094024F" w:rsidP="0048217D">
      <w:r>
        <w:t xml:space="preserve">Discrimination law requires services and facilities to be provided without discrimination on the basis of disability. Both the </w:t>
      </w:r>
      <w:r>
        <w:rPr>
          <w:i/>
        </w:rPr>
        <w:t>Disability Discrimination Act 199</w:t>
      </w:r>
      <w:r w:rsidR="00BA57B9">
        <w:rPr>
          <w:i/>
        </w:rPr>
        <w:t>2</w:t>
      </w:r>
      <w:r>
        <w:rPr>
          <w:i/>
        </w:rPr>
        <w:t xml:space="preserve"> </w:t>
      </w:r>
      <w:r>
        <w:t xml:space="preserve">(Cth) and the </w:t>
      </w:r>
      <w:r>
        <w:rPr>
          <w:i/>
        </w:rPr>
        <w:t xml:space="preserve">Anti-Discrimination Act 1998 </w:t>
      </w:r>
      <w:r>
        <w:t>(Tas) require</w:t>
      </w:r>
      <w:r w:rsidR="004C676E">
        <w:t>s</w:t>
      </w:r>
      <w:r>
        <w:t xml:space="preserve"> government to ensure </w:t>
      </w:r>
      <w:r w:rsidR="004C676E">
        <w:t>it</w:t>
      </w:r>
      <w:r>
        <w:t xml:space="preserve"> do</w:t>
      </w:r>
      <w:r w:rsidR="004C676E">
        <w:t>es</w:t>
      </w:r>
      <w:r>
        <w:t xml:space="preserve"> not discriminate against people with disability in the provision of facilities and services and in the administration of laws and programs.</w:t>
      </w:r>
    </w:p>
    <w:p w:rsidR="0094024F" w:rsidRDefault="0094024F" w:rsidP="008131DA">
      <w:pPr>
        <w:pStyle w:val="Heading2"/>
      </w:pPr>
      <w:bookmarkStart w:id="34" w:name="_Toc500835350"/>
      <w:bookmarkStart w:id="35" w:name="_Toc500835407"/>
      <w:bookmarkStart w:id="36" w:name="_Toc500835616"/>
      <w:r>
        <w:t xml:space="preserve">National </w:t>
      </w:r>
      <w:r w:rsidRPr="008131DA">
        <w:t>Disability</w:t>
      </w:r>
      <w:r>
        <w:t xml:space="preserve"> Strategy</w:t>
      </w:r>
      <w:bookmarkEnd w:id="34"/>
      <w:bookmarkEnd w:id="35"/>
      <w:bookmarkEnd w:id="36"/>
    </w:p>
    <w:p w:rsidR="0094024F" w:rsidRDefault="0094024F" w:rsidP="0094024F">
      <w:r>
        <w:t xml:space="preserve">Policy Direction 2.5 of the </w:t>
      </w:r>
      <w:r w:rsidRPr="00BA0289">
        <w:rPr>
          <w:i/>
        </w:rPr>
        <w:t>National Disability Strategy</w:t>
      </w:r>
      <w:r>
        <w:t xml:space="preserve"> requires governments to develop:</w:t>
      </w:r>
      <w:r>
        <w:rPr>
          <w:rStyle w:val="FootnoteReference"/>
        </w:rPr>
        <w:footnoteReference w:id="3"/>
      </w:r>
    </w:p>
    <w:p w:rsidR="0094024F" w:rsidRPr="00682C88" w:rsidRDefault="0094024F" w:rsidP="0094024F">
      <w:pPr>
        <w:pStyle w:val="Quote"/>
      </w:pPr>
      <w:r w:rsidRPr="00682C88">
        <w:t xml:space="preserve">More effective responses from the criminal justice </w:t>
      </w:r>
      <w:r>
        <w:t xml:space="preserve">system </w:t>
      </w:r>
      <w:r w:rsidRPr="00682C88">
        <w:t>to people with disability who have complex needs or heightened vulnerabilities</w:t>
      </w:r>
    </w:p>
    <w:p w:rsidR="0094024F" w:rsidRDefault="0094024F" w:rsidP="008131DA">
      <w:pPr>
        <w:pStyle w:val="Heading2"/>
      </w:pPr>
      <w:bookmarkStart w:id="37" w:name="_Toc500835351"/>
      <w:bookmarkStart w:id="38" w:name="_Toc500835408"/>
      <w:bookmarkStart w:id="39" w:name="_Toc500835617"/>
      <w:r>
        <w:t xml:space="preserve">Tasmanian </w:t>
      </w:r>
      <w:r w:rsidRPr="008131DA">
        <w:t>Disability</w:t>
      </w:r>
      <w:r>
        <w:t xml:space="preserve"> Framework for Action</w:t>
      </w:r>
      <w:bookmarkEnd w:id="37"/>
      <w:bookmarkEnd w:id="38"/>
      <w:bookmarkEnd w:id="39"/>
    </w:p>
    <w:p w:rsidR="0094024F" w:rsidRDefault="0094024F" w:rsidP="0094024F">
      <w:r>
        <w:t xml:space="preserve">Areas for Action 2.4 and 2.4.1 identified in the Tasmanian </w:t>
      </w:r>
      <w:r w:rsidRPr="00111403">
        <w:rPr>
          <w:i/>
        </w:rPr>
        <w:t>Disability Framework for Action</w:t>
      </w:r>
      <w:r>
        <w:rPr>
          <w:i/>
        </w:rPr>
        <w:t xml:space="preserve"> </w:t>
      </w:r>
      <w:r w:rsidRPr="0094024F">
        <w:t>include</w:t>
      </w:r>
      <w:r>
        <w:t>:</w:t>
      </w:r>
      <w:r>
        <w:rPr>
          <w:rStyle w:val="FootnoteReference"/>
        </w:rPr>
        <w:footnoteReference w:id="4"/>
      </w:r>
    </w:p>
    <w:p w:rsidR="0094024F" w:rsidRPr="00ED6A18" w:rsidRDefault="0094024F" w:rsidP="006E197F">
      <w:pPr>
        <w:pStyle w:val="Quote"/>
        <w:ind w:left="1418" w:hanging="851"/>
      </w:pPr>
      <w:r w:rsidRPr="00ED6A18">
        <w:t xml:space="preserve">2.4 </w:t>
      </w:r>
      <w:r w:rsidR="006E197F">
        <w:tab/>
      </w:r>
      <w:r w:rsidRPr="00ED6A18">
        <w:t>Provide more effective responses from the criminal justice system to people with disability who have complex needs or increased vulnerabilities</w:t>
      </w:r>
    </w:p>
    <w:p w:rsidR="0094024F" w:rsidRDefault="0094024F" w:rsidP="006E197F">
      <w:pPr>
        <w:pStyle w:val="Quote"/>
        <w:ind w:left="1418" w:hanging="851"/>
      </w:pPr>
      <w:r w:rsidRPr="00111403">
        <w:t xml:space="preserve">2.4.1 </w:t>
      </w:r>
      <w:r w:rsidR="006E197F">
        <w:tab/>
      </w:r>
      <w:r w:rsidRPr="00111403">
        <w:t>Improve support for people with an intellectual disability, cognitive impairment or mental illness in, or at risk of entering, the criminal justice system, and on leaving it</w:t>
      </w:r>
    </w:p>
    <w:p w:rsidR="0094024F" w:rsidRDefault="0094024F" w:rsidP="0094024F">
      <w:r>
        <w:t xml:space="preserve">In addition, the </w:t>
      </w:r>
      <w:r w:rsidRPr="000E7986">
        <w:rPr>
          <w:i/>
        </w:rPr>
        <w:t>Disability Framework for Action</w:t>
      </w:r>
      <w:r>
        <w:t xml:space="preserve"> identifies other commitments to improve access to justice for people with disability, including:</w:t>
      </w:r>
    </w:p>
    <w:p w:rsidR="0094024F" w:rsidRDefault="0094024F" w:rsidP="006E197F">
      <w:pPr>
        <w:pStyle w:val="Quote"/>
        <w:ind w:left="1418" w:hanging="851"/>
      </w:pPr>
      <w:r>
        <w:t>2.2.2</w:t>
      </w:r>
      <w:r>
        <w:tab/>
        <w:t xml:space="preserve">Maintain and strengthen protections and supports for people with disability who experience or are at risk of experiencing violence, sexual assault, abuse and neglect. </w:t>
      </w:r>
    </w:p>
    <w:p w:rsidR="0094024F" w:rsidRDefault="0094024F" w:rsidP="006E197F">
      <w:pPr>
        <w:pStyle w:val="Quote"/>
        <w:ind w:left="1418" w:hanging="851"/>
      </w:pPr>
      <w:r>
        <w:t>2.3.1</w:t>
      </w:r>
      <w:r>
        <w:tab/>
        <w:t>Ensure people with disability have every opportunity to be active participants in the civic life of the community – as jurors, board members and elected representatives.</w:t>
      </w:r>
    </w:p>
    <w:p w:rsidR="0048217D" w:rsidRPr="00BD3AF7" w:rsidRDefault="0094024F" w:rsidP="004711A8">
      <w:pPr>
        <w:pStyle w:val="Quote"/>
      </w:pPr>
      <w:r>
        <w:t>2.3.3</w:t>
      </w:r>
      <w:r>
        <w:tab/>
        <w:t>Support independent advocacy to protect the rights of people with disability.</w:t>
      </w:r>
    </w:p>
    <w:p w:rsidR="00380D3A" w:rsidRDefault="00BC13C0" w:rsidP="00F03DEB">
      <w:pPr>
        <w:pStyle w:val="Heading1"/>
      </w:pPr>
      <w:bookmarkStart w:id="40" w:name="_Toc476819184"/>
      <w:bookmarkStart w:id="41" w:name="_Toc500835352"/>
      <w:bookmarkStart w:id="42" w:name="_Toc500835409"/>
      <w:bookmarkStart w:id="43" w:name="_Toc500835618"/>
      <w:r>
        <w:t>Ensuring tha</w:t>
      </w:r>
      <w:r w:rsidR="006B1674">
        <w:t>t services are disability ready</w:t>
      </w:r>
      <w:r w:rsidR="006B1674">
        <w:br/>
      </w:r>
      <w:r>
        <w:t>and responsive</w:t>
      </w:r>
      <w:bookmarkEnd w:id="40"/>
      <w:bookmarkEnd w:id="41"/>
      <w:bookmarkEnd w:id="42"/>
      <w:bookmarkEnd w:id="43"/>
    </w:p>
    <w:p w:rsidR="00234C55" w:rsidRDefault="00234C55" w:rsidP="00234C55">
      <w:r>
        <w:t>People with disability are highly vulnerable to a wide range of legal problems. They are often significantly over-represented in the criminal justice system both as offenders and victims.</w:t>
      </w:r>
      <w:r>
        <w:rPr>
          <w:rStyle w:val="FootnoteReference"/>
        </w:rPr>
        <w:footnoteReference w:id="5"/>
      </w:r>
    </w:p>
    <w:p w:rsidR="000840FF" w:rsidRDefault="00234C55" w:rsidP="00234C55">
      <w:r w:rsidRPr="00B65D26">
        <w:t xml:space="preserve">Disability-specific </w:t>
      </w:r>
      <w:r>
        <w:t>services are important</w:t>
      </w:r>
      <w:r w:rsidRPr="00B65D26">
        <w:t xml:space="preserve">, but alone </w:t>
      </w:r>
      <w:r>
        <w:t>cannot</w:t>
      </w:r>
      <w:r w:rsidRPr="00B65D26">
        <w:t xml:space="preserve"> address the</w:t>
      </w:r>
      <w:r w:rsidR="00455440">
        <w:t xml:space="preserve"> needs of people with disabilites</w:t>
      </w:r>
      <w:r w:rsidRPr="00B65D26">
        <w:t xml:space="preserve"> in the justice system. Mainstream services must also be </w:t>
      </w:r>
      <w:r>
        <w:t>disability</w:t>
      </w:r>
      <w:r w:rsidRPr="00B65D26">
        <w:t xml:space="preserve"> sensitive and responsive so that they can meet the needs of people with disability</w:t>
      </w:r>
      <w:r>
        <w:t xml:space="preserve"> in a</w:t>
      </w:r>
      <w:r w:rsidR="00ED33D3">
        <w:t>n</w:t>
      </w:r>
      <w:r>
        <w:t xml:space="preserve"> </w:t>
      </w:r>
      <w:r w:rsidR="00A22BBB">
        <w:t xml:space="preserve">effective, efficient and </w:t>
      </w:r>
      <w:r>
        <w:t>non-discriminatory manner</w:t>
      </w:r>
      <w:r w:rsidRPr="00B65D26">
        <w:t>.</w:t>
      </w:r>
      <w:r w:rsidR="000840FF">
        <w:t xml:space="preserve"> </w:t>
      </w:r>
    </w:p>
    <w:p w:rsidR="000840FF" w:rsidRDefault="000840FF" w:rsidP="000840FF">
      <w:r>
        <w:t>Important work has already commenced in this area. The Improved Support for Students with Disability Ministerial Taskforce was established in June 2014 to address barriers facing students with disability and their families in mainstream education. At the same time, the Rethink Mental Health Plan will assist in promoting greater awareness of mental health issues and strategies to promote prevention and early intervention. Implementation of the NDIS will also provide greater clarity about the obligations of service delivery systems to improve the lives of people with disability.</w:t>
      </w:r>
    </w:p>
    <w:p w:rsidR="00546455" w:rsidRDefault="000840FF" w:rsidP="003C08AA">
      <w:pPr>
        <w:spacing w:after="400"/>
      </w:pPr>
      <w:r>
        <w:t>Success in service-</w:t>
      </w:r>
      <w:r w:rsidRPr="00B65D26">
        <w:t xml:space="preserve">delivery responses </w:t>
      </w:r>
      <w:r>
        <w:t>is built</w:t>
      </w:r>
      <w:r w:rsidRPr="00B65D26">
        <w:t xml:space="preserve"> on the provision of integrated, cross-sector support services </w:t>
      </w:r>
      <w:r>
        <w:t>that</w:t>
      </w:r>
      <w:r w:rsidRPr="00B65D26">
        <w:t xml:space="preserve"> meet multiple, complex, whole-of-person needs.</w:t>
      </w:r>
      <w:r>
        <w:t xml:space="preserve"> This means services need to promote seamless inter-sectoral transitions, such as the transitions between health, social and justice services. Clients should not have to repeat their history and circumstances to each new service they have contact with or within services, and there should not be gaps in the continuum of care.</w:t>
      </w:r>
    </w:p>
    <w:tbl>
      <w:tblPr>
        <w:tblW w:w="5000" w:type="pct"/>
        <w:tblLook w:val="04A0" w:firstRow="1" w:lastRow="0" w:firstColumn="1" w:lastColumn="0" w:noHBand="0" w:noVBand="1"/>
      </w:tblPr>
      <w:tblGrid>
        <w:gridCol w:w="1004"/>
        <w:gridCol w:w="6153"/>
        <w:gridCol w:w="1869"/>
      </w:tblGrid>
      <w:tr w:rsidR="00546455" w:rsidRPr="00525DF8" w:rsidTr="004711A8">
        <w:trPr>
          <w:tblHeader/>
        </w:trPr>
        <w:tc>
          <w:tcPr>
            <w:tcW w:w="537" w:type="pct"/>
            <w:tcBorders>
              <w:top w:val="single" w:sz="4" w:space="0" w:color="auto"/>
              <w:bottom w:val="dotted" w:sz="4" w:space="0" w:color="auto"/>
            </w:tcBorders>
          </w:tcPr>
          <w:p w:rsidR="00546455" w:rsidRPr="00525DF8" w:rsidRDefault="00546455" w:rsidP="00F61D1A">
            <w:pPr>
              <w:pStyle w:val="Caption"/>
            </w:pPr>
            <w:bookmarkStart w:id="44" w:name="_Toc476819185"/>
          </w:p>
        </w:tc>
        <w:tc>
          <w:tcPr>
            <w:tcW w:w="3418" w:type="pct"/>
            <w:tcBorders>
              <w:top w:val="single" w:sz="4" w:space="0" w:color="auto"/>
              <w:bottom w:val="dotted" w:sz="4" w:space="0" w:color="auto"/>
            </w:tcBorders>
          </w:tcPr>
          <w:p w:rsidR="00546455" w:rsidRPr="00525DF8" w:rsidRDefault="008D5C18" w:rsidP="00F61D1A">
            <w:pPr>
              <w:pStyle w:val="Caption"/>
            </w:pPr>
            <w:r>
              <w:t>Actions</w:t>
            </w:r>
          </w:p>
        </w:tc>
        <w:tc>
          <w:tcPr>
            <w:tcW w:w="1045" w:type="pct"/>
            <w:tcBorders>
              <w:top w:val="single" w:sz="4" w:space="0" w:color="auto"/>
              <w:bottom w:val="dotted" w:sz="4" w:space="0" w:color="auto"/>
            </w:tcBorders>
          </w:tcPr>
          <w:p w:rsidR="00546455" w:rsidRPr="00525DF8" w:rsidRDefault="00546455" w:rsidP="00F61D1A">
            <w:pPr>
              <w:pStyle w:val="Caption"/>
              <w:ind w:right="108"/>
            </w:pPr>
            <w:r w:rsidRPr="00525DF8">
              <w:t>Lead Agencies</w:t>
            </w:r>
          </w:p>
        </w:tc>
      </w:tr>
      <w:tr w:rsidR="00546455" w:rsidRPr="00525DF8" w:rsidTr="004711A8">
        <w:trPr>
          <w:cantSplit/>
        </w:trPr>
        <w:tc>
          <w:tcPr>
            <w:tcW w:w="537" w:type="pct"/>
            <w:tcBorders>
              <w:top w:val="dotted" w:sz="4" w:space="0" w:color="auto"/>
              <w:bottom w:val="dotted" w:sz="4" w:space="0" w:color="auto"/>
            </w:tcBorders>
          </w:tcPr>
          <w:p w:rsidR="00546455" w:rsidRPr="00525DF8" w:rsidRDefault="00546455" w:rsidP="00546455">
            <w:pPr>
              <w:pStyle w:val="Tabletext"/>
              <w:ind w:right="176"/>
            </w:pPr>
            <w:r w:rsidRPr="00525DF8">
              <w:t>1</w:t>
            </w:r>
          </w:p>
        </w:tc>
        <w:tc>
          <w:tcPr>
            <w:tcW w:w="3418" w:type="pct"/>
            <w:tcBorders>
              <w:top w:val="dotted" w:sz="4" w:space="0" w:color="auto"/>
              <w:bottom w:val="dotted" w:sz="4" w:space="0" w:color="auto"/>
            </w:tcBorders>
          </w:tcPr>
          <w:p w:rsidR="00546455" w:rsidRPr="00525DF8" w:rsidRDefault="00ED33D3" w:rsidP="00546455">
            <w:pPr>
              <w:pStyle w:val="Tabletext"/>
            </w:pPr>
            <w:r>
              <w:t>Improve the justice system</w:t>
            </w:r>
            <w:r w:rsidR="00142FBD">
              <w:t>’</w:t>
            </w:r>
            <w:r>
              <w:t>s capacity to recognise an individual’s disability at the earliest opportunity</w:t>
            </w:r>
            <w:r w:rsidR="00142FBD">
              <w:t xml:space="preserve"> and make available appropriate supports and adjustments to enable them to participate in those services on an equitable basis</w:t>
            </w:r>
            <w:r w:rsidR="009C14DC">
              <w:t xml:space="preserve"> with others</w:t>
            </w:r>
          </w:p>
          <w:p w:rsidR="00546455" w:rsidRPr="00525DF8" w:rsidRDefault="00546455" w:rsidP="00546455">
            <w:pPr>
              <w:pStyle w:val="Tabletext"/>
            </w:pPr>
          </w:p>
        </w:tc>
        <w:tc>
          <w:tcPr>
            <w:tcW w:w="1045" w:type="pct"/>
            <w:tcBorders>
              <w:top w:val="dotted" w:sz="4" w:space="0" w:color="auto"/>
              <w:bottom w:val="dotted" w:sz="4" w:space="0" w:color="auto"/>
            </w:tcBorders>
          </w:tcPr>
          <w:p w:rsidR="00546455" w:rsidRPr="00525DF8" w:rsidRDefault="00ED33D3" w:rsidP="00F61D1A">
            <w:pPr>
              <w:pStyle w:val="Tabletext"/>
              <w:ind w:right="108"/>
            </w:pPr>
            <w:r>
              <w:t>All</w:t>
            </w:r>
            <w:r w:rsidR="00546455" w:rsidRPr="00525DF8">
              <w:t xml:space="preserve"> </w:t>
            </w:r>
          </w:p>
        </w:tc>
      </w:tr>
      <w:tr w:rsidR="00F61D1A" w:rsidRPr="00525DF8" w:rsidTr="004711A8">
        <w:trPr>
          <w:cantSplit/>
        </w:trPr>
        <w:tc>
          <w:tcPr>
            <w:tcW w:w="537" w:type="pct"/>
            <w:tcBorders>
              <w:top w:val="dotted" w:sz="4" w:space="0" w:color="auto"/>
              <w:bottom w:val="dotted" w:sz="4" w:space="0" w:color="auto"/>
            </w:tcBorders>
          </w:tcPr>
          <w:p w:rsidR="00F61D1A" w:rsidRPr="00525DF8" w:rsidRDefault="00ED33D3" w:rsidP="00546455">
            <w:pPr>
              <w:pStyle w:val="Tabletext"/>
              <w:ind w:right="678"/>
            </w:pPr>
            <w:r>
              <w:t>2</w:t>
            </w:r>
          </w:p>
        </w:tc>
        <w:tc>
          <w:tcPr>
            <w:tcW w:w="3418" w:type="pct"/>
            <w:tcBorders>
              <w:top w:val="dotted" w:sz="4" w:space="0" w:color="auto"/>
              <w:bottom w:val="dotted" w:sz="4" w:space="0" w:color="auto"/>
            </w:tcBorders>
          </w:tcPr>
          <w:p w:rsidR="00F61D1A" w:rsidRPr="00525DF8" w:rsidRDefault="00F61D1A" w:rsidP="00F61D1A">
            <w:pPr>
              <w:pStyle w:val="Tabletext"/>
            </w:pPr>
            <w:bookmarkStart w:id="45" w:name="_Toc476819188"/>
            <w:r w:rsidRPr="00525DF8">
              <w:t>Improve the collection of information about the disability status of people</w:t>
            </w:r>
            <w:r w:rsidR="005B7245">
              <w:t xml:space="preserve"> in the justice system</w:t>
            </w:r>
            <w:r w:rsidRPr="00525DF8">
              <w:t xml:space="preserve"> and promote increased information sharing between service providers</w:t>
            </w:r>
            <w:bookmarkEnd w:id="45"/>
            <w:r w:rsidR="009C14DC">
              <w:t xml:space="preserve"> for those who have complex support needs</w:t>
            </w:r>
          </w:p>
          <w:p w:rsidR="00F61D1A" w:rsidRPr="00525DF8" w:rsidRDefault="00F61D1A" w:rsidP="00F61D1A">
            <w:pPr>
              <w:pStyle w:val="Tabletext"/>
            </w:pPr>
          </w:p>
        </w:tc>
        <w:tc>
          <w:tcPr>
            <w:tcW w:w="1045" w:type="pct"/>
            <w:tcBorders>
              <w:top w:val="dotted" w:sz="4" w:space="0" w:color="auto"/>
              <w:bottom w:val="dotted" w:sz="4" w:space="0" w:color="auto"/>
            </w:tcBorders>
          </w:tcPr>
          <w:p w:rsidR="00F61D1A" w:rsidRPr="00525DF8" w:rsidRDefault="00ED33D3" w:rsidP="00F61D1A">
            <w:pPr>
              <w:pStyle w:val="Tabletext"/>
              <w:ind w:right="108"/>
            </w:pPr>
            <w:r>
              <w:t>All</w:t>
            </w:r>
          </w:p>
        </w:tc>
      </w:tr>
      <w:tr w:rsidR="00F61D1A" w:rsidRPr="00525DF8" w:rsidTr="004711A8">
        <w:trPr>
          <w:cantSplit/>
        </w:trPr>
        <w:tc>
          <w:tcPr>
            <w:tcW w:w="537" w:type="pct"/>
            <w:tcBorders>
              <w:top w:val="dotted" w:sz="4" w:space="0" w:color="auto"/>
              <w:bottom w:val="dotted" w:sz="4" w:space="0" w:color="auto"/>
            </w:tcBorders>
          </w:tcPr>
          <w:p w:rsidR="00F61D1A" w:rsidRPr="00525DF8" w:rsidRDefault="00ED33D3" w:rsidP="00546455">
            <w:pPr>
              <w:pStyle w:val="Tabletext"/>
              <w:ind w:right="678"/>
            </w:pPr>
            <w:r>
              <w:t>3</w:t>
            </w:r>
          </w:p>
        </w:tc>
        <w:tc>
          <w:tcPr>
            <w:tcW w:w="3418" w:type="pct"/>
            <w:tcBorders>
              <w:top w:val="dotted" w:sz="4" w:space="0" w:color="auto"/>
              <w:bottom w:val="dotted" w:sz="4" w:space="0" w:color="auto"/>
            </w:tcBorders>
          </w:tcPr>
          <w:p w:rsidR="00F61D1A" w:rsidRDefault="00F61D1A" w:rsidP="00F61D1A">
            <w:pPr>
              <w:pStyle w:val="Tabletext"/>
            </w:pPr>
            <w:r w:rsidRPr="00525DF8">
              <w:t>Improve the provision of information to people with disability about services available to them in the justice system</w:t>
            </w:r>
          </w:p>
          <w:p w:rsidR="00F46E42" w:rsidRPr="00525DF8" w:rsidRDefault="00F46E42" w:rsidP="00F61D1A">
            <w:pPr>
              <w:pStyle w:val="Tabletext"/>
            </w:pPr>
          </w:p>
        </w:tc>
        <w:tc>
          <w:tcPr>
            <w:tcW w:w="1045" w:type="pct"/>
            <w:tcBorders>
              <w:top w:val="dotted" w:sz="4" w:space="0" w:color="auto"/>
              <w:bottom w:val="dotted" w:sz="4" w:space="0" w:color="auto"/>
            </w:tcBorders>
          </w:tcPr>
          <w:p w:rsidR="00F61D1A" w:rsidRPr="00525DF8" w:rsidRDefault="00ED33D3" w:rsidP="00F61D1A">
            <w:pPr>
              <w:pStyle w:val="Tabletext"/>
              <w:ind w:right="108"/>
            </w:pPr>
            <w:r>
              <w:t>All</w:t>
            </w:r>
          </w:p>
        </w:tc>
      </w:tr>
    </w:tbl>
    <w:p w:rsidR="00546455" w:rsidRPr="006332D3" w:rsidRDefault="00546455" w:rsidP="00546455">
      <w:pPr>
        <w:ind w:right="678"/>
      </w:pPr>
    </w:p>
    <w:p w:rsidR="00875A28" w:rsidRDefault="00875A28" w:rsidP="00F03DEB">
      <w:pPr>
        <w:pStyle w:val="Heading1"/>
      </w:pPr>
      <w:bookmarkStart w:id="46" w:name="_Toc476819190"/>
      <w:bookmarkStart w:id="47" w:name="_Toc500835353"/>
      <w:bookmarkStart w:id="48" w:name="_Toc500835410"/>
      <w:bookmarkStart w:id="49" w:name="_Toc500835619"/>
      <w:bookmarkEnd w:id="44"/>
      <w:r>
        <w:t>Preventing and responding to violence, abuse</w:t>
      </w:r>
      <w:r w:rsidR="006B1674">
        <w:br/>
      </w:r>
      <w:r>
        <w:t>and neglect</w:t>
      </w:r>
      <w:bookmarkEnd w:id="46"/>
      <w:bookmarkEnd w:id="47"/>
      <w:bookmarkEnd w:id="48"/>
      <w:bookmarkEnd w:id="49"/>
    </w:p>
    <w:p w:rsidR="00234C55" w:rsidRPr="00B65D26" w:rsidRDefault="00234C55" w:rsidP="00234C55">
      <w:bookmarkStart w:id="50" w:name="_Toc476819191"/>
      <w:r>
        <w:t>P</w:t>
      </w:r>
      <w:r w:rsidRPr="00B65D26">
        <w:t>eople with disability</w:t>
      </w:r>
      <w:r>
        <w:t xml:space="preserve"> disproportionately experience violence, abuse and neglect</w:t>
      </w:r>
      <w:r w:rsidRPr="00B65D26">
        <w:t xml:space="preserve"> </w:t>
      </w:r>
      <w:r>
        <w:t>across a range of settings, including in institutional and residential environments.</w:t>
      </w:r>
      <w:r>
        <w:rPr>
          <w:rStyle w:val="FootnoteReference"/>
        </w:rPr>
        <w:footnoteReference w:id="6"/>
      </w:r>
      <w:r>
        <w:t xml:space="preserve"> In many cases the circumstances are such that the behaviour they experience would be criminal in any other context. Particular attention is therefore required to ensure that legal and other frameworks are in place to provide protection and to ensure that where incidents occur the rights of the affected person are upheld. </w:t>
      </w:r>
    </w:p>
    <w:p w:rsidR="00F61D1A" w:rsidRDefault="004A5519" w:rsidP="003C08AA">
      <w:pPr>
        <w:spacing w:after="400"/>
      </w:pPr>
      <w:r w:rsidRPr="004845B0">
        <w:t xml:space="preserve">There is a need to increase </w:t>
      </w:r>
      <w:r w:rsidR="00A22BBB">
        <w:t xml:space="preserve">training and </w:t>
      </w:r>
      <w:r w:rsidRPr="004845B0">
        <w:t xml:space="preserve">awareness of rights </w:t>
      </w:r>
      <w:r w:rsidR="00A22BBB">
        <w:t xml:space="preserve">protection </w:t>
      </w:r>
      <w:r w:rsidRPr="004845B0">
        <w:t>as a key step toward achieving equality before the law for people with disability. Families</w:t>
      </w:r>
      <w:r>
        <w:t xml:space="preserve">, </w:t>
      </w:r>
      <w:r w:rsidRPr="004845B0">
        <w:t>carers and people who work in service systems equally require</w:t>
      </w:r>
      <w:r w:rsidR="00A22BBB">
        <w:t xml:space="preserve"> a practical understanding</w:t>
      </w:r>
      <w:r w:rsidRPr="004845B0">
        <w:t xml:space="preserve"> of the rights of people with disability to be afforded</w:t>
      </w:r>
      <w:r w:rsidR="00A22BBB">
        <w:t xml:space="preserve"> fair and equal treatment. Families and service providers require </w:t>
      </w:r>
      <w:r w:rsidRPr="004845B0">
        <w:t xml:space="preserve">appropriate supports to ensure </w:t>
      </w:r>
      <w:r w:rsidR="00A22BBB">
        <w:t>that rights protection</w:t>
      </w:r>
      <w:r w:rsidRPr="004845B0">
        <w:t xml:space="preserve"> is achieved.</w:t>
      </w:r>
    </w:p>
    <w:tbl>
      <w:tblPr>
        <w:tblW w:w="5000" w:type="pct"/>
        <w:tblLook w:val="04A0" w:firstRow="1" w:lastRow="0" w:firstColumn="1" w:lastColumn="0" w:noHBand="0" w:noVBand="1"/>
      </w:tblPr>
      <w:tblGrid>
        <w:gridCol w:w="1083"/>
        <w:gridCol w:w="6062"/>
        <w:gridCol w:w="1881"/>
      </w:tblGrid>
      <w:tr w:rsidR="00E276C0" w:rsidRPr="00525DF8" w:rsidTr="004711A8">
        <w:trPr>
          <w:tblHeader/>
        </w:trPr>
        <w:tc>
          <w:tcPr>
            <w:tcW w:w="600" w:type="pct"/>
            <w:tcBorders>
              <w:top w:val="single" w:sz="4" w:space="0" w:color="auto"/>
              <w:bottom w:val="dotted" w:sz="4" w:space="0" w:color="auto"/>
            </w:tcBorders>
          </w:tcPr>
          <w:p w:rsidR="00F61D1A" w:rsidRPr="00525DF8" w:rsidRDefault="00F61D1A" w:rsidP="002B30EB">
            <w:pPr>
              <w:pStyle w:val="Caption"/>
            </w:pPr>
          </w:p>
        </w:tc>
        <w:tc>
          <w:tcPr>
            <w:tcW w:w="3357" w:type="pct"/>
            <w:tcBorders>
              <w:top w:val="single" w:sz="4" w:space="0" w:color="auto"/>
              <w:bottom w:val="dotted" w:sz="4" w:space="0" w:color="auto"/>
            </w:tcBorders>
          </w:tcPr>
          <w:p w:rsidR="00F61D1A" w:rsidRPr="00525DF8" w:rsidRDefault="008D5C18" w:rsidP="002B30EB">
            <w:pPr>
              <w:pStyle w:val="Caption"/>
            </w:pPr>
            <w:r>
              <w:t>Actions</w:t>
            </w:r>
          </w:p>
        </w:tc>
        <w:tc>
          <w:tcPr>
            <w:tcW w:w="1042" w:type="pct"/>
            <w:tcBorders>
              <w:top w:val="single" w:sz="4" w:space="0" w:color="auto"/>
              <w:bottom w:val="dotted" w:sz="4" w:space="0" w:color="auto"/>
            </w:tcBorders>
          </w:tcPr>
          <w:p w:rsidR="00F61D1A" w:rsidRPr="00525DF8" w:rsidRDefault="00F61D1A" w:rsidP="002B30EB">
            <w:pPr>
              <w:pStyle w:val="Caption"/>
              <w:ind w:right="108"/>
            </w:pPr>
            <w:r w:rsidRPr="00525DF8">
              <w:t>Lead Agencies</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985559" w:rsidP="002B30EB">
            <w:pPr>
              <w:pStyle w:val="Tabletext"/>
              <w:ind w:right="176"/>
            </w:pPr>
            <w:r>
              <w:t>4</w:t>
            </w:r>
          </w:p>
        </w:tc>
        <w:tc>
          <w:tcPr>
            <w:tcW w:w="3357" w:type="pct"/>
            <w:tcBorders>
              <w:top w:val="dotted" w:sz="4" w:space="0" w:color="auto"/>
              <w:bottom w:val="dotted" w:sz="4" w:space="0" w:color="auto"/>
            </w:tcBorders>
          </w:tcPr>
          <w:p w:rsidR="00E276C0" w:rsidRPr="00525DF8" w:rsidRDefault="00E276C0" w:rsidP="00E276C0">
            <w:pPr>
              <w:pStyle w:val="Tabletext"/>
            </w:pPr>
            <w:r w:rsidRPr="00525DF8">
              <w:t>Establish, maintain and implement robust rights-based procedures and related mechanisms to prevent and address violence, abuse and neglect of people with disability</w:t>
            </w:r>
          </w:p>
          <w:p w:rsidR="00F61D1A" w:rsidRPr="00525DF8" w:rsidRDefault="00F61D1A" w:rsidP="002B30EB">
            <w:pPr>
              <w:pStyle w:val="Tabletext"/>
            </w:pPr>
          </w:p>
        </w:tc>
        <w:tc>
          <w:tcPr>
            <w:tcW w:w="1042" w:type="pct"/>
            <w:tcBorders>
              <w:top w:val="dotted" w:sz="4" w:space="0" w:color="auto"/>
              <w:bottom w:val="dotted" w:sz="4" w:space="0" w:color="auto"/>
            </w:tcBorders>
          </w:tcPr>
          <w:p w:rsidR="00E276C0" w:rsidRPr="00525DF8" w:rsidRDefault="00E276C0" w:rsidP="002B30EB">
            <w:pPr>
              <w:pStyle w:val="Tabletext"/>
              <w:ind w:right="108"/>
            </w:pPr>
            <w:r w:rsidRPr="00525DF8">
              <w:t>Health and Human Services</w:t>
            </w:r>
          </w:p>
          <w:p w:rsidR="00F61D1A" w:rsidRPr="00525DF8" w:rsidRDefault="00C02AEB" w:rsidP="002B30EB">
            <w:pPr>
              <w:pStyle w:val="Tabletext"/>
              <w:ind w:right="108"/>
            </w:pPr>
            <w:r w:rsidRPr="00525DF8">
              <w:t xml:space="preserve">Tasmania </w:t>
            </w:r>
            <w:r w:rsidR="00E276C0" w:rsidRPr="00525DF8">
              <w:t>Police</w:t>
            </w:r>
            <w:r w:rsidR="00F61D1A" w:rsidRPr="00525DF8">
              <w:t xml:space="preserve"> </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985559" w:rsidP="002B30EB">
            <w:pPr>
              <w:pStyle w:val="Tabletext"/>
              <w:ind w:right="678"/>
            </w:pPr>
            <w:r>
              <w:t>5</w:t>
            </w:r>
          </w:p>
        </w:tc>
        <w:tc>
          <w:tcPr>
            <w:tcW w:w="3357" w:type="pct"/>
            <w:tcBorders>
              <w:top w:val="dotted" w:sz="4" w:space="0" w:color="auto"/>
              <w:bottom w:val="dotted" w:sz="4" w:space="0" w:color="auto"/>
            </w:tcBorders>
          </w:tcPr>
          <w:p w:rsidR="00E276C0" w:rsidRPr="00525DF8" w:rsidRDefault="00E276C0" w:rsidP="00E276C0">
            <w:pPr>
              <w:pStyle w:val="Tabletext"/>
            </w:pPr>
            <w:bookmarkStart w:id="51" w:name="_Toc476819192"/>
            <w:r w:rsidRPr="00525DF8">
              <w:t>Increase awareness by people with disability of their legal rights</w:t>
            </w:r>
            <w:bookmarkEnd w:id="51"/>
          </w:p>
          <w:p w:rsidR="00F61D1A" w:rsidRPr="00525DF8" w:rsidRDefault="00F61D1A" w:rsidP="002B30EB">
            <w:pPr>
              <w:pStyle w:val="Tabletext"/>
              <w:ind w:right="678"/>
            </w:pPr>
          </w:p>
        </w:tc>
        <w:tc>
          <w:tcPr>
            <w:tcW w:w="1042" w:type="pct"/>
            <w:tcBorders>
              <w:top w:val="dotted" w:sz="4" w:space="0" w:color="auto"/>
              <w:bottom w:val="dotted" w:sz="4" w:space="0" w:color="auto"/>
            </w:tcBorders>
          </w:tcPr>
          <w:p w:rsidR="00F61D1A" w:rsidRDefault="00723D94" w:rsidP="002B30EB">
            <w:pPr>
              <w:pStyle w:val="Tabletext"/>
              <w:ind w:right="108"/>
            </w:pPr>
            <w:r>
              <w:t>All</w:t>
            </w:r>
          </w:p>
          <w:p w:rsidR="00F46E42" w:rsidRPr="00525DF8" w:rsidRDefault="00F46E42" w:rsidP="002B30EB">
            <w:pPr>
              <w:pStyle w:val="Tabletext"/>
              <w:ind w:right="108"/>
            </w:pPr>
          </w:p>
        </w:tc>
      </w:tr>
      <w:tr w:rsidR="00531787" w:rsidRPr="00525DF8" w:rsidTr="004711A8">
        <w:trPr>
          <w:cantSplit/>
        </w:trPr>
        <w:tc>
          <w:tcPr>
            <w:tcW w:w="600" w:type="pct"/>
            <w:tcBorders>
              <w:top w:val="dotted" w:sz="4" w:space="0" w:color="auto"/>
              <w:bottom w:val="dotted" w:sz="4" w:space="0" w:color="auto"/>
            </w:tcBorders>
          </w:tcPr>
          <w:p w:rsidR="00531787" w:rsidRPr="00525DF8" w:rsidRDefault="00531787" w:rsidP="00531787">
            <w:pPr>
              <w:pStyle w:val="Tabletext"/>
              <w:ind w:right="678"/>
            </w:pPr>
            <w:r>
              <w:t>6</w:t>
            </w:r>
          </w:p>
        </w:tc>
        <w:tc>
          <w:tcPr>
            <w:tcW w:w="3357" w:type="pct"/>
            <w:tcBorders>
              <w:top w:val="dotted" w:sz="4" w:space="0" w:color="auto"/>
              <w:bottom w:val="dotted" w:sz="4" w:space="0" w:color="auto"/>
            </w:tcBorders>
          </w:tcPr>
          <w:p w:rsidR="00531787" w:rsidRPr="00985559" w:rsidRDefault="00531787" w:rsidP="00531787">
            <w:pPr>
              <w:pStyle w:val="Tabletext"/>
            </w:pPr>
            <w:r w:rsidRPr="00985559">
              <w:t>Develop quality assurance and safeguard</w:t>
            </w:r>
            <w:r>
              <w:t>ing measures</w:t>
            </w:r>
            <w:r w:rsidRPr="00985559">
              <w:t xml:space="preserve"> as part of NDIS implementation</w:t>
            </w:r>
          </w:p>
          <w:p w:rsidR="00531787" w:rsidRPr="00985559" w:rsidRDefault="00531787" w:rsidP="00531787">
            <w:pPr>
              <w:pStyle w:val="Tabletext"/>
            </w:pPr>
          </w:p>
        </w:tc>
        <w:tc>
          <w:tcPr>
            <w:tcW w:w="1042" w:type="pct"/>
            <w:tcBorders>
              <w:top w:val="dotted" w:sz="4" w:space="0" w:color="auto"/>
              <w:bottom w:val="dotted" w:sz="4" w:space="0" w:color="auto"/>
            </w:tcBorders>
          </w:tcPr>
          <w:p w:rsidR="00531787" w:rsidRPr="00985559" w:rsidRDefault="00531787" w:rsidP="00531787">
            <w:pPr>
              <w:pStyle w:val="Tabletext"/>
              <w:ind w:right="108"/>
            </w:pPr>
            <w:r w:rsidRPr="00985559">
              <w:t>Health and Human Services</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531787" w:rsidP="002B30EB">
            <w:pPr>
              <w:pStyle w:val="Tabletext"/>
              <w:ind w:right="678"/>
            </w:pPr>
            <w:r>
              <w:t>7</w:t>
            </w:r>
          </w:p>
        </w:tc>
        <w:tc>
          <w:tcPr>
            <w:tcW w:w="3357" w:type="pct"/>
            <w:tcBorders>
              <w:top w:val="dotted" w:sz="4" w:space="0" w:color="auto"/>
              <w:bottom w:val="dotted" w:sz="4" w:space="0" w:color="auto"/>
            </w:tcBorders>
          </w:tcPr>
          <w:p w:rsidR="00F61D1A" w:rsidRDefault="00E276C0" w:rsidP="00F46E42">
            <w:pPr>
              <w:pStyle w:val="Tabletext"/>
            </w:pPr>
            <w:bookmarkStart w:id="52" w:name="_Toc476819193"/>
            <w:r w:rsidRPr="00525DF8">
              <w:t>Introduce enhanced screening procedures for people working or volunteering with people with disability</w:t>
            </w:r>
            <w:bookmarkEnd w:id="52"/>
          </w:p>
          <w:p w:rsidR="00F46E42" w:rsidRPr="00525DF8" w:rsidRDefault="00F46E42" w:rsidP="00F46E42">
            <w:pPr>
              <w:pStyle w:val="Tabletext"/>
            </w:pPr>
          </w:p>
        </w:tc>
        <w:tc>
          <w:tcPr>
            <w:tcW w:w="1042" w:type="pct"/>
            <w:tcBorders>
              <w:top w:val="dotted" w:sz="4" w:space="0" w:color="auto"/>
              <w:bottom w:val="dotted" w:sz="4" w:space="0" w:color="auto"/>
            </w:tcBorders>
          </w:tcPr>
          <w:p w:rsidR="00F61D1A" w:rsidRPr="00525DF8" w:rsidRDefault="00F61D1A" w:rsidP="002B30EB">
            <w:pPr>
              <w:pStyle w:val="Tabletext"/>
              <w:ind w:right="108"/>
            </w:pPr>
            <w:r w:rsidRPr="00525DF8">
              <w:t>Justice</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531787" w:rsidP="002B30EB">
            <w:pPr>
              <w:pStyle w:val="Tabletext"/>
              <w:ind w:right="678"/>
            </w:pPr>
            <w:r>
              <w:t>8</w:t>
            </w:r>
          </w:p>
        </w:tc>
        <w:tc>
          <w:tcPr>
            <w:tcW w:w="3357" w:type="pct"/>
            <w:tcBorders>
              <w:top w:val="dotted" w:sz="4" w:space="0" w:color="auto"/>
              <w:bottom w:val="dotted" w:sz="4" w:space="0" w:color="auto"/>
            </w:tcBorders>
          </w:tcPr>
          <w:p w:rsidR="00E276C0" w:rsidRPr="00525DF8" w:rsidRDefault="00E276C0" w:rsidP="00E276C0">
            <w:pPr>
              <w:pStyle w:val="Tabletext"/>
            </w:pPr>
            <w:bookmarkStart w:id="53" w:name="_Toc476819195"/>
            <w:r w:rsidRPr="00525DF8">
              <w:t>Provide support to victims and witnesses with disability to give evidence in court and to deal with the personal and practical impacts of crime</w:t>
            </w:r>
            <w:bookmarkEnd w:id="53"/>
          </w:p>
          <w:p w:rsidR="00F61D1A" w:rsidRPr="00525DF8" w:rsidRDefault="00F61D1A" w:rsidP="002B30EB">
            <w:pPr>
              <w:pStyle w:val="Tabletext"/>
            </w:pPr>
          </w:p>
        </w:tc>
        <w:tc>
          <w:tcPr>
            <w:tcW w:w="1042" w:type="pct"/>
            <w:tcBorders>
              <w:top w:val="dotted" w:sz="4" w:space="0" w:color="auto"/>
              <w:bottom w:val="dotted" w:sz="4" w:space="0" w:color="auto"/>
            </w:tcBorders>
          </w:tcPr>
          <w:p w:rsidR="00F61D1A" w:rsidRPr="00525DF8" w:rsidRDefault="00E276C0" w:rsidP="002B30EB">
            <w:pPr>
              <w:pStyle w:val="Tabletext"/>
              <w:ind w:right="108"/>
            </w:pPr>
            <w:r w:rsidRPr="00525DF8">
              <w:t>Office of the Director of Public Prosecutions</w:t>
            </w:r>
          </w:p>
          <w:p w:rsidR="00E276C0" w:rsidRPr="00525DF8" w:rsidRDefault="00E276C0" w:rsidP="002B30EB">
            <w:pPr>
              <w:pStyle w:val="Tabletext"/>
              <w:ind w:right="108"/>
            </w:pPr>
            <w:r w:rsidRPr="00525DF8">
              <w:t>Victims Support Services</w:t>
            </w:r>
          </w:p>
        </w:tc>
      </w:tr>
      <w:tr w:rsidR="00581F9A" w:rsidRPr="00525DF8" w:rsidTr="004711A8">
        <w:trPr>
          <w:cantSplit/>
        </w:trPr>
        <w:tc>
          <w:tcPr>
            <w:tcW w:w="600" w:type="pct"/>
            <w:tcBorders>
              <w:top w:val="dotted" w:sz="4" w:space="0" w:color="auto"/>
              <w:bottom w:val="dotted" w:sz="4" w:space="0" w:color="auto"/>
            </w:tcBorders>
          </w:tcPr>
          <w:p w:rsidR="00581F9A" w:rsidRDefault="00531787" w:rsidP="002B30EB">
            <w:pPr>
              <w:pStyle w:val="Tabletext"/>
              <w:ind w:right="678"/>
            </w:pPr>
            <w:r>
              <w:t>9</w:t>
            </w:r>
          </w:p>
        </w:tc>
        <w:tc>
          <w:tcPr>
            <w:tcW w:w="3357" w:type="pct"/>
            <w:tcBorders>
              <w:top w:val="dotted" w:sz="4" w:space="0" w:color="auto"/>
              <w:bottom w:val="dotted" w:sz="4" w:space="0" w:color="auto"/>
            </w:tcBorders>
          </w:tcPr>
          <w:p w:rsidR="00581F9A" w:rsidRDefault="00581F9A" w:rsidP="00E276C0">
            <w:pPr>
              <w:pStyle w:val="Tabletext"/>
            </w:pPr>
            <w:r>
              <w:t>Review</w:t>
            </w:r>
            <w:r w:rsidR="0080094F">
              <w:t xml:space="preserve"> </w:t>
            </w:r>
            <w:r>
              <w:t>and if necessary amend any legal barriers to the prosecution of offences involving violence, sexual exploitation</w:t>
            </w:r>
            <w:r w:rsidR="0080094F">
              <w:t>, abuse or neglect against people with a disability</w:t>
            </w:r>
          </w:p>
          <w:p w:rsidR="00F46E42" w:rsidRPr="00525DF8" w:rsidRDefault="00F46E42" w:rsidP="00E276C0">
            <w:pPr>
              <w:pStyle w:val="Tabletext"/>
            </w:pPr>
          </w:p>
        </w:tc>
        <w:tc>
          <w:tcPr>
            <w:tcW w:w="1042" w:type="pct"/>
            <w:tcBorders>
              <w:top w:val="dotted" w:sz="4" w:space="0" w:color="auto"/>
              <w:bottom w:val="dotted" w:sz="4" w:space="0" w:color="auto"/>
            </w:tcBorders>
          </w:tcPr>
          <w:p w:rsidR="00581F9A" w:rsidRPr="00525DF8" w:rsidRDefault="0080094F" w:rsidP="002B30EB">
            <w:pPr>
              <w:pStyle w:val="Tabletext"/>
              <w:ind w:right="108"/>
            </w:pPr>
            <w:r>
              <w:t>Tasmanian Law Reform Institute</w:t>
            </w:r>
          </w:p>
        </w:tc>
      </w:tr>
    </w:tbl>
    <w:p w:rsidR="00A2153B" w:rsidRDefault="00BC13C0" w:rsidP="00F03DEB">
      <w:pPr>
        <w:pStyle w:val="Heading1"/>
      </w:pPr>
      <w:bookmarkStart w:id="54" w:name="_Toc476819197"/>
      <w:bookmarkStart w:id="55" w:name="_Toc500835354"/>
      <w:bookmarkStart w:id="56" w:name="_Toc500835411"/>
      <w:bookmarkStart w:id="57" w:name="_Toc500835620"/>
      <w:bookmarkEnd w:id="50"/>
      <w:r>
        <w:t>R</w:t>
      </w:r>
      <w:r w:rsidR="00A2153B">
        <w:t xml:space="preserve">esponding to </w:t>
      </w:r>
      <w:r w:rsidR="0044717A">
        <w:t xml:space="preserve">the needs of </w:t>
      </w:r>
      <w:r w:rsidR="00195ABF">
        <w:t>people</w:t>
      </w:r>
      <w:r w:rsidR="0044717A">
        <w:t xml:space="preserve"> with disability who are at risk of experiencing </w:t>
      </w:r>
      <w:r w:rsidR="00A2153B">
        <w:t>family violence</w:t>
      </w:r>
      <w:bookmarkEnd w:id="54"/>
      <w:bookmarkEnd w:id="55"/>
      <w:bookmarkEnd w:id="56"/>
      <w:bookmarkEnd w:id="57"/>
      <w:r w:rsidR="00A2153B">
        <w:t xml:space="preserve"> </w:t>
      </w:r>
    </w:p>
    <w:p w:rsidR="00234C55" w:rsidRPr="00B65D26" w:rsidRDefault="00234C55" w:rsidP="00234C55">
      <w:bookmarkStart w:id="58" w:name="_Toc476819198"/>
      <w:r w:rsidRPr="00B65D26">
        <w:t xml:space="preserve">Research </w:t>
      </w:r>
      <w:r w:rsidR="00A22BBB">
        <w:t>indicates</w:t>
      </w:r>
      <w:r w:rsidRPr="00B65D26">
        <w:t xml:space="preserve"> that people </w:t>
      </w:r>
      <w:r>
        <w:t xml:space="preserve">with </w:t>
      </w:r>
      <w:r w:rsidRPr="00B65D26">
        <w:t>disability are almost twice as likely</w:t>
      </w:r>
      <w:r w:rsidR="00455440">
        <w:t xml:space="preserve"> to experience family violence and</w:t>
      </w:r>
      <w:r>
        <w:t xml:space="preserve"> they are also likely to face a number of barriers to having that violence dealt with</w:t>
      </w:r>
      <w:r w:rsidR="00A22BBB">
        <w:t xml:space="preserve"> appropriately</w:t>
      </w:r>
      <w:r>
        <w:t>.</w:t>
      </w:r>
      <w:r>
        <w:rPr>
          <w:rStyle w:val="FootnoteReference"/>
        </w:rPr>
        <w:footnoteReference w:id="7"/>
      </w:r>
      <w:r>
        <w:t xml:space="preserve"> </w:t>
      </w:r>
      <w:r w:rsidRPr="00B65D26">
        <w:t>These may include:</w:t>
      </w:r>
    </w:p>
    <w:p w:rsidR="00234C55" w:rsidRPr="00B65D26" w:rsidRDefault="00234C55" w:rsidP="00234C55">
      <w:pPr>
        <w:pStyle w:val="ListBullet"/>
        <w:tabs>
          <w:tab w:val="num" w:pos="1440"/>
        </w:tabs>
      </w:pPr>
      <w:r>
        <w:t>l</w:t>
      </w:r>
      <w:r w:rsidRPr="00B65D26">
        <w:t>ack of access to information about where to report</w:t>
      </w:r>
    </w:p>
    <w:p w:rsidR="00234C55" w:rsidRPr="00B65D26" w:rsidRDefault="00234C55" w:rsidP="00234C55">
      <w:pPr>
        <w:pStyle w:val="ListBullet"/>
        <w:tabs>
          <w:tab w:val="num" w:pos="1440"/>
        </w:tabs>
      </w:pPr>
      <w:r>
        <w:t>f</w:t>
      </w:r>
      <w:r w:rsidRPr="00B65D26">
        <w:t>ailure to understand what has happened is a crime</w:t>
      </w:r>
    </w:p>
    <w:p w:rsidR="00234C55" w:rsidRPr="00B65D26" w:rsidRDefault="00234C55" w:rsidP="00234C55">
      <w:pPr>
        <w:pStyle w:val="ListBullet"/>
        <w:tabs>
          <w:tab w:val="num" w:pos="1440"/>
        </w:tabs>
      </w:pPr>
      <w:r>
        <w:t>f</w:t>
      </w:r>
      <w:r w:rsidRPr="00B65D26">
        <w:t>ear of retribution</w:t>
      </w:r>
    </w:p>
    <w:p w:rsidR="00234C55" w:rsidRPr="00B65D26" w:rsidRDefault="00234C55" w:rsidP="00234C55">
      <w:pPr>
        <w:pStyle w:val="ListBullet"/>
        <w:tabs>
          <w:tab w:val="num" w:pos="1440"/>
        </w:tabs>
      </w:pPr>
      <w:r>
        <w:t>f</w:t>
      </w:r>
      <w:r w:rsidRPr="00B65D26">
        <w:t xml:space="preserve">ear of not being believed or </w:t>
      </w:r>
      <w:r>
        <w:t xml:space="preserve">being seen as </w:t>
      </w:r>
      <w:r w:rsidRPr="00B65D26">
        <w:t>lacking credibility</w:t>
      </w:r>
    </w:p>
    <w:p w:rsidR="00234C55" w:rsidRPr="00B65D26" w:rsidRDefault="00234C55" w:rsidP="00234C55">
      <w:pPr>
        <w:pStyle w:val="ListBullet"/>
        <w:tabs>
          <w:tab w:val="num" w:pos="1440"/>
        </w:tabs>
      </w:pPr>
      <w:r>
        <w:t>c</w:t>
      </w:r>
      <w:r w:rsidRPr="00B65D26">
        <w:t>ommunication barriers</w:t>
      </w:r>
    </w:p>
    <w:p w:rsidR="00234C55" w:rsidRDefault="00234C55" w:rsidP="00234C55">
      <w:r>
        <w:t xml:space="preserve">Under the auspices of the </w:t>
      </w:r>
      <w:r w:rsidRPr="00870AB7">
        <w:rPr>
          <w:i/>
        </w:rPr>
        <w:t>National Action Plan to Reduce Violence against Women and their Children 2010</w:t>
      </w:r>
      <w:r>
        <w:rPr>
          <w:i/>
        </w:rPr>
        <w:t>–</w:t>
      </w:r>
      <w:r w:rsidRPr="00870AB7">
        <w:rPr>
          <w:i/>
        </w:rPr>
        <w:t>2022</w:t>
      </w:r>
      <w:r>
        <w:t>, Commonwealth and State and Territory jurisdictions have develop</w:t>
      </w:r>
      <w:r w:rsidR="00455440">
        <w:t>ed</w:t>
      </w:r>
      <w:r>
        <w:t xml:space="preserve"> a coordinated framework for reducing and responding to violence against women and their children.</w:t>
      </w:r>
    </w:p>
    <w:p w:rsidR="002B30EB" w:rsidRDefault="00234C55" w:rsidP="003C08AA">
      <w:pPr>
        <w:spacing w:after="400"/>
      </w:pPr>
      <w:r>
        <w:t xml:space="preserve">The </w:t>
      </w:r>
      <w:r w:rsidRPr="00870AB7">
        <w:rPr>
          <w:i/>
        </w:rPr>
        <w:t>Third National Action Plan 2016</w:t>
      </w:r>
      <w:r>
        <w:rPr>
          <w:i/>
        </w:rPr>
        <w:t>–</w:t>
      </w:r>
      <w:r w:rsidRPr="00870AB7">
        <w:rPr>
          <w:i/>
        </w:rPr>
        <w:t>2019</w:t>
      </w:r>
      <w:r>
        <w:t xml:space="preserve"> released in November 2016 identifies a range of national priority areas for action, including strategies to improve access to support and justice services for women with disabilities.</w:t>
      </w:r>
      <w:r>
        <w:rPr>
          <w:rStyle w:val="FootnoteReference"/>
        </w:rPr>
        <w:footnoteReference w:id="8"/>
      </w:r>
      <w:r>
        <w:t xml:space="preserve"> </w:t>
      </w:r>
    </w:p>
    <w:tbl>
      <w:tblPr>
        <w:tblW w:w="5000" w:type="pct"/>
        <w:tblLook w:val="04A0" w:firstRow="1" w:lastRow="0" w:firstColumn="1" w:lastColumn="0" w:noHBand="0" w:noVBand="1"/>
      </w:tblPr>
      <w:tblGrid>
        <w:gridCol w:w="1067"/>
        <w:gridCol w:w="6078"/>
        <w:gridCol w:w="1881"/>
      </w:tblGrid>
      <w:tr w:rsidR="002B30EB" w:rsidRPr="00525DF8" w:rsidTr="004711A8">
        <w:trPr>
          <w:tblHeader/>
        </w:trPr>
        <w:tc>
          <w:tcPr>
            <w:tcW w:w="591" w:type="pct"/>
            <w:tcBorders>
              <w:top w:val="single" w:sz="4" w:space="0" w:color="auto"/>
              <w:bottom w:val="dotted" w:sz="4" w:space="0" w:color="auto"/>
            </w:tcBorders>
          </w:tcPr>
          <w:p w:rsidR="002B30EB" w:rsidRPr="00525DF8" w:rsidRDefault="002B30EB" w:rsidP="002B30EB">
            <w:pPr>
              <w:pStyle w:val="Caption"/>
            </w:pPr>
          </w:p>
        </w:tc>
        <w:tc>
          <w:tcPr>
            <w:tcW w:w="3367" w:type="pct"/>
            <w:tcBorders>
              <w:top w:val="single" w:sz="4" w:space="0" w:color="auto"/>
              <w:bottom w:val="dotted" w:sz="4" w:space="0" w:color="auto"/>
            </w:tcBorders>
          </w:tcPr>
          <w:p w:rsidR="002B30EB" w:rsidRPr="00525DF8" w:rsidRDefault="008D5C18" w:rsidP="002B30EB">
            <w:pPr>
              <w:pStyle w:val="Caption"/>
            </w:pPr>
            <w:r>
              <w:t>Actions</w:t>
            </w:r>
          </w:p>
        </w:tc>
        <w:tc>
          <w:tcPr>
            <w:tcW w:w="1042"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591" w:type="pct"/>
            <w:tcBorders>
              <w:top w:val="dotted" w:sz="4" w:space="0" w:color="auto"/>
              <w:bottom w:val="dotted" w:sz="4" w:space="0" w:color="auto"/>
            </w:tcBorders>
          </w:tcPr>
          <w:p w:rsidR="002B30EB" w:rsidRPr="00525DF8" w:rsidRDefault="00531787" w:rsidP="00F75B40">
            <w:pPr>
              <w:pStyle w:val="Tabletext"/>
              <w:ind w:right="176"/>
            </w:pPr>
            <w:r>
              <w:t>10</w:t>
            </w:r>
          </w:p>
        </w:tc>
        <w:tc>
          <w:tcPr>
            <w:tcW w:w="3367" w:type="pct"/>
            <w:tcBorders>
              <w:top w:val="dotted" w:sz="4" w:space="0" w:color="auto"/>
              <w:bottom w:val="dotted" w:sz="4" w:space="0" w:color="auto"/>
            </w:tcBorders>
          </w:tcPr>
          <w:p w:rsidR="002B30EB" w:rsidRPr="00525DF8" w:rsidRDefault="002B30EB" w:rsidP="002B30EB">
            <w:pPr>
              <w:pStyle w:val="Tabletext"/>
            </w:pPr>
            <w:r w:rsidRPr="00525DF8">
              <w:t>Improve support to people with disability who experience or are at risk of family violence</w:t>
            </w:r>
          </w:p>
          <w:p w:rsidR="002B30EB" w:rsidRPr="00525DF8" w:rsidRDefault="002B30EB" w:rsidP="002B30EB">
            <w:pPr>
              <w:pStyle w:val="Tabletext"/>
            </w:pPr>
          </w:p>
        </w:tc>
        <w:tc>
          <w:tcPr>
            <w:tcW w:w="1042" w:type="pct"/>
            <w:tcBorders>
              <w:top w:val="dotted" w:sz="4" w:space="0" w:color="auto"/>
              <w:bottom w:val="dotted" w:sz="4" w:space="0" w:color="auto"/>
            </w:tcBorders>
          </w:tcPr>
          <w:p w:rsidR="002B30EB" w:rsidRPr="00525DF8" w:rsidRDefault="002B30EB" w:rsidP="002B30EB">
            <w:pPr>
              <w:pStyle w:val="Tabletext"/>
              <w:ind w:right="108"/>
            </w:pPr>
            <w:r w:rsidRPr="00525DF8">
              <w:t>Justice</w:t>
            </w:r>
          </w:p>
          <w:p w:rsidR="002B30EB" w:rsidRPr="00525DF8" w:rsidRDefault="00C02AEB" w:rsidP="002B30EB">
            <w:pPr>
              <w:pStyle w:val="Tabletext"/>
              <w:ind w:right="108"/>
            </w:pPr>
            <w:r w:rsidRPr="00525DF8">
              <w:t xml:space="preserve">Tasmania </w:t>
            </w:r>
            <w:r w:rsidR="002B30EB" w:rsidRPr="00525DF8">
              <w:t xml:space="preserve">Police </w:t>
            </w:r>
          </w:p>
        </w:tc>
      </w:tr>
    </w:tbl>
    <w:p w:rsidR="007A1FFC" w:rsidRDefault="007A1FFC" w:rsidP="00F03DEB">
      <w:pPr>
        <w:pStyle w:val="Heading1"/>
      </w:pPr>
      <w:bookmarkStart w:id="59" w:name="_Toc476819199"/>
      <w:bookmarkStart w:id="60" w:name="_Toc500835355"/>
      <w:bookmarkStart w:id="61" w:name="_Toc500835412"/>
      <w:bookmarkStart w:id="62" w:name="_Toc500835621"/>
      <w:bookmarkEnd w:id="58"/>
      <w:r>
        <w:t>Safeguard</w:t>
      </w:r>
      <w:r w:rsidR="00BC13C0">
        <w:t>ing</w:t>
      </w:r>
      <w:r>
        <w:t xml:space="preserve"> the rights of people with disability to make decisions that affect their lives</w:t>
      </w:r>
      <w:bookmarkEnd w:id="59"/>
      <w:bookmarkEnd w:id="60"/>
      <w:bookmarkEnd w:id="61"/>
      <w:bookmarkEnd w:id="62"/>
    </w:p>
    <w:p w:rsidR="00234C55" w:rsidRPr="00B65D26" w:rsidRDefault="00234C55" w:rsidP="00234C55">
      <w:bookmarkStart w:id="63" w:name="_Toc476819200"/>
      <w:r w:rsidRPr="00B65D26">
        <w:t xml:space="preserve">There </w:t>
      </w:r>
      <w:r>
        <w:t>is</w:t>
      </w:r>
      <w:r w:rsidRPr="00B65D26">
        <w:t xml:space="preserve"> a range of laws and legal frameworks affecting people with disability that include tests of a person’s capacity to exercise legal rights or to participate in legal processes. </w:t>
      </w:r>
      <w:r>
        <w:t>These include:</w:t>
      </w:r>
    </w:p>
    <w:p w:rsidR="00234C55" w:rsidRPr="00CE08C6" w:rsidRDefault="00234C55" w:rsidP="00ED33D3">
      <w:pPr>
        <w:pStyle w:val="ListBullet"/>
        <w:ind w:left="709" w:hanging="349"/>
      </w:pPr>
      <w:r>
        <w:t>d</w:t>
      </w:r>
      <w:r w:rsidRPr="00CE08C6">
        <w:t xml:space="preserve">efendants in criminal proceedings </w:t>
      </w:r>
      <w:r>
        <w:t xml:space="preserve">and the determination of </w:t>
      </w:r>
      <w:r w:rsidRPr="00CE08C6">
        <w:t>whether a person is fit to stand trial</w:t>
      </w:r>
      <w:r>
        <w:t>;</w:t>
      </w:r>
    </w:p>
    <w:p w:rsidR="00234C55" w:rsidRPr="00CE08C6" w:rsidRDefault="00234C55" w:rsidP="00ED33D3">
      <w:pPr>
        <w:pStyle w:val="ListBullet"/>
      </w:pPr>
      <w:r>
        <w:t>parties to civil proceedings and consideration of whether to appoint</w:t>
      </w:r>
      <w:r w:rsidRPr="00CE08C6">
        <w:t xml:space="preserve"> </w:t>
      </w:r>
      <w:r>
        <w:t>a litigation guardian and their role;</w:t>
      </w:r>
    </w:p>
    <w:p w:rsidR="00234C55" w:rsidRPr="00CE08C6" w:rsidRDefault="00234C55" w:rsidP="00ED33D3">
      <w:pPr>
        <w:pStyle w:val="ListBullet"/>
      </w:pPr>
      <w:r>
        <w:t>w</w:t>
      </w:r>
      <w:r w:rsidRPr="00CE08C6">
        <w:t>itnesses in criminal or civil proceedings</w:t>
      </w:r>
      <w:r>
        <w:t xml:space="preserve"> including</w:t>
      </w:r>
      <w:r w:rsidRPr="00CE08C6">
        <w:t xml:space="preserve"> giving evidence as a witness and/or consenting to the taking of forensic samples;</w:t>
      </w:r>
    </w:p>
    <w:p w:rsidR="00234C55" w:rsidRPr="00CE08C6" w:rsidRDefault="00234C55" w:rsidP="00ED33D3">
      <w:pPr>
        <w:pStyle w:val="ListBullet"/>
      </w:pPr>
      <w:r>
        <w:t>potential jurors, including</w:t>
      </w:r>
      <w:r w:rsidRPr="00CE08C6">
        <w:t xml:space="preserve"> qualification for jury service</w:t>
      </w:r>
      <w:r>
        <w:t>.</w:t>
      </w:r>
    </w:p>
    <w:p w:rsidR="00234C55" w:rsidRPr="00B65D26" w:rsidRDefault="00234C55" w:rsidP="00234C55">
      <w:r w:rsidRPr="00B65D26">
        <w:t xml:space="preserve">Under the law, professionals (including those providing legal services) must presume that every adult has capacity unless </w:t>
      </w:r>
      <w:r w:rsidR="00A22BBB">
        <w:t>specific</w:t>
      </w:r>
      <w:r w:rsidRPr="00B65D26">
        <w:t xml:space="preserve"> assessment </w:t>
      </w:r>
      <w:r w:rsidR="00A22BBB">
        <w:t>processes demonstrate</w:t>
      </w:r>
      <w:r w:rsidR="003C08AA">
        <w:t xml:space="preserve"> otherwise.</w:t>
      </w:r>
    </w:p>
    <w:p w:rsidR="002B30EB" w:rsidRDefault="00234C55" w:rsidP="003C08AA">
      <w:pPr>
        <w:spacing w:after="400"/>
      </w:pPr>
      <w:r>
        <w:t>While</w:t>
      </w:r>
      <w:r w:rsidRPr="00B65D26">
        <w:t xml:space="preserve"> special arrangements are provided in law for situations where an assessment demonstrates that a person lacks capacity to make particular decisions, adherence to the principle of capacity rests on the presumption that a person is able to make decisions about things that affect their life or will be supported to do so in all but </w:t>
      </w:r>
      <w:r w:rsidR="003C08AA">
        <w:t>the most extreme circumstances.</w:t>
      </w:r>
    </w:p>
    <w:tbl>
      <w:tblPr>
        <w:tblW w:w="5000" w:type="pct"/>
        <w:tblLook w:val="04A0" w:firstRow="1" w:lastRow="0" w:firstColumn="1" w:lastColumn="0" w:noHBand="0" w:noVBand="1"/>
      </w:tblPr>
      <w:tblGrid>
        <w:gridCol w:w="1084"/>
        <w:gridCol w:w="6065"/>
        <w:gridCol w:w="1877"/>
      </w:tblGrid>
      <w:tr w:rsidR="002B30EB" w:rsidRPr="00525DF8" w:rsidTr="004711A8">
        <w:trPr>
          <w:tblHeader/>
        </w:trPr>
        <w:tc>
          <w:tcPr>
            <w:tcW w:w="600" w:type="pct"/>
            <w:tcBorders>
              <w:top w:val="single" w:sz="4" w:space="0" w:color="auto"/>
              <w:bottom w:val="dotted" w:sz="4" w:space="0" w:color="auto"/>
            </w:tcBorders>
          </w:tcPr>
          <w:p w:rsidR="002B30EB" w:rsidRPr="00525DF8" w:rsidRDefault="002B30EB" w:rsidP="002B30EB">
            <w:pPr>
              <w:pStyle w:val="Caption"/>
            </w:pPr>
          </w:p>
        </w:tc>
        <w:tc>
          <w:tcPr>
            <w:tcW w:w="3359" w:type="pct"/>
            <w:tcBorders>
              <w:top w:val="single" w:sz="4" w:space="0" w:color="auto"/>
              <w:bottom w:val="dotted" w:sz="4" w:space="0" w:color="auto"/>
            </w:tcBorders>
          </w:tcPr>
          <w:p w:rsidR="002B30EB" w:rsidRPr="00525DF8" w:rsidRDefault="008D5C18" w:rsidP="002B30EB">
            <w:pPr>
              <w:pStyle w:val="Caption"/>
            </w:pPr>
            <w:r>
              <w:t>Actions</w:t>
            </w:r>
          </w:p>
        </w:tc>
        <w:tc>
          <w:tcPr>
            <w:tcW w:w="1040"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600" w:type="pct"/>
            <w:tcBorders>
              <w:top w:val="dotted" w:sz="4" w:space="0" w:color="auto"/>
              <w:bottom w:val="dotted" w:sz="4" w:space="0" w:color="auto"/>
            </w:tcBorders>
          </w:tcPr>
          <w:p w:rsidR="002B30EB" w:rsidRPr="00525DF8" w:rsidRDefault="002B30EB" w:rsidP="00F75B40">
            <w:pPr>
              <w:pStyle w:val="Tabletext"/>
              <w:ind w:right="176"/>
            </w:pPr>
            <w:r w:rsidRPr="00525DF8">
              <w:t>1</w:t>
            </w:r>
            <w:r w:rsidR="00531787">
              <w:t>1</w:t>
            </w:r>
          </w:p>
        </w:tc>
        <w:tc>
          <w:tcPr>
            <w:tcW w:w="3359" w:type="pct"/>
            <w:tcBorders>
              <w:top w:val="dotted" w:sz="4" w:space="0" w:color="auto"/>
              <w:bottom w:val="dotted" w:sz="4" w:space="0" w:color="auto"/>
            </w:tcBorders>
          </w:tcPr>
          <w:p w:rsidR="002B30EB" w:rsidRPr="00525DF8" w:rsidRDefault="002B30EB" w:rsidP="002B30EB">
            <w:pPr>
              <w:pStyle w:val="Tabletext"/>
            </w:pPr>
            <w:r w:rsidRPr="00525DF8">
              <w:t>Support people with disability to make decisions that affect their lives</w:t>
            </w:r>
            <w:r w:rsidR="00CD7507">
              <w:t xml:space="preserve"> to enable them to exercise their legal rights and participate in legal processes</w:t>
            </w:r>
          </w:p>
          <w:p w:rsidR="002B30EB" w:rsidRPr="00525DF8" w:rsidRDefault="002B30EB" w:rsidP="002B30EB">
            <w:pPr>
              <w:pStyle w:val="Tabletext"/>
            </w:pPr>
          </w:p>
        </w:tc>
        <w:tc>
          <w:tcPr>
            <w:tcW w:w="1040" w:type="pct"/>
            <w:tcBorders>
              <w:top w:val="dotted" w:sz="4" w:space="0" w:color="auto"/>
              <w:bottom w:val="dotted" w:sz="4" w:space="0" w:color="auto"/>
            </w:tcBorders>
          </w:tcPr>
          <w:p w:rsidR="002B30EB" w:rsidRPr="00525DF8" w:rsidRDefault="002B30EB" w:rsidP="002B30EB">
            <w:pPr>
              <w:pStyle w:val="Tabletext"/>
              <w:ind w:right="108"/>
            </w:pPr>
            <w:r w:rsidRPr="00525DF8">
              <w:t xml:space="preserve">All Agencies </w:t>
            </w:r>
          </w:p>
        </w:tc>
      </w:tr>
    </w:tbl>
    <w:p w:rsidR="002B30EB" w:rsidRPr="006332D3" w:rsidRDefault="002B30EB" w:rsidP="002B30EB">
      <w:pPr>
        <w:ind w:right="678"/>
      </w:pPr>
    </w:p>
    <w:p w:rsidR="00FF740C" w:rsidRDefault="00BC13C0" w:rsidP="00F03DEB">
      <w:pPr>
        <w:pStyle w:val="Heading1"/>
      </w:pPr>
      <w:bookmarkStart w:id="64" w:name="_Toc476819202"/>
      <w:bookmarkStart w:id="65" w:name="_Toc500835356"/>
      <w:bookmarkStart w:id="66" w:name="_Toc500835413"/>
      <w:bookmarkStart w:id="67" w:name="_Toc500835622"/>
      <w:bookmarkEnd w:id="63"/>
      <w:r>
        <w:t>Providing a</w:t>
      </w:r>
      <w:r w:rsidR="00DC4FC9">
        <w:t>ccess to advocacy</w:t>
      </w:r>
      <w:r w:rsidR="00CD7507">
        <w:t xml:space="preserve"> and</w:t>
      </w:r>
      <w:r w:rsidR="00BD4428">
        <w:t xml:space="preserve"> </w:t>
      </w:r>
      <w:r w:rsidR="00CD7507">
        <w:t>communication</w:t>
      </w:r>
      <w:r w:rsidR="00DC4FC9">
        <w:t xml:space="preserve"> support</w:t>
      </w:r>
      <w:bookmarkEnd w:id="64"/>
      <w:bookmarkEnd w:id="65"/>
      <w:bookmarkEnd w:id="66"/>
      <w:bookmarkEnd w:id="67"/>
    </w:p>
    <w:p w:rsidR="00234C55" w:rsidRDefault="00234C55" w:rsidP="00234C55">
      <w:bookmarkStart w:id="68" w:name="_Toc476819203"/>
      <w:r>
        <w:t xml:space="preserve">It is critical that people with any form of disability, including intellectual disability, have access to independent advocacy and communication support to ensure they are able to communicate their views and needs and that their human and legal rights are </w:t>
      </w:r>
      <w:r w:rsidR="003C08AA">
        <w:t>upheld.</w:t>
      </w:r>
    </w:p>
    <w:p w:rsidR="00234C55" w:rsidRDefault="00234C55" w:rsidP="00234C55">
      <w:r>
        <w:t>In 2016, the Tasmanian Law Reform Institute (TLRI) began a review of the feasibility of instituting a communication assistant/intermediary scheme in Tasmania for people with complex communication needs.</w:t>
      </w:r>
      <w:r>
        <w:rPr>
          <w:rStyle w:val="FootnoteReference"/>
        </w:rPr>
        <w:footnoteReference w:id="9"/>
      </w:r>
      <w:r>
        <w:t xml:space="preserve"> Issues examined by the TLRI include:</w:t>
      </w:r>
    </w:p>
    <w:p w:rsidR="00234C55" w:rsidRDefault="00234C55" w:rsidP="00234C55">
      <w:pPr>
        <w:pStyle w:val="ListBullet"/>
        <w:tabs>
          <w:tab w:val="num" w:pos="1440"/>
        </w:tabs>
      </w:pPr>
      <w:r>
        <w:t xml:space="preserve">alternative models for such a scheme; </w:t>
      </w:r>
    </w:p>
    <w:p w:rsidR="00234C55" w:rsidRDefault="00234C55" w:rsidP="00234C55">
      <w:pPr>
        <w:pStyle w:val="ListBullet"/>
        <w:tabs>
          <w:tab w:val="num" w:pos="1440"/>
        </w:tabs>
      </w:pPr>
      <w:r>
        <w:t>options to amend existing statutes to institute any reform; and</w:t>
      </w:r>
    </w:p>
    <w:p w:rsidR="00234C55" w:rsidRDefault="00234C55" w:rsidP="00234C55">
      <w:pPr>
        <w:pStyle w:val="ListBullet"/>
        <w:tabs>
          <w:tab w:val="num" w:pos="1440"/>
        </w:tabs>
      </w:pPr>
      <w:r>
        <w:t>systemic infrastructure required for any scheme to be implemented.</w:t>
      </w:r>
    </w:p>
    <w:p w:rsidR="00234C55" w:rsidRDefault="00234C55" w:rsidP="00234C55">
      <w:r>
        <w:t>The TLRI review focuses on complainants, witnesses and suspects. It examines the need for communication assistance for people from point of complaint or charge through to trial. It is envisaged that such a scheme would be made available to a range of vulnerable persons, including children and people with disability who have complex communication needs.</w:t>
      </w:r>
    </w:p>
    <w:p w:rsidR="002B30EB" w:rsidRDefault="00234C55" w:rsidP="003C08AA">
      <w:pPr>
        <w:spacing w:after="400"/>
      </w:pPr>
      <w:r>
        <w:t xml:space="preserve">The outcomes of the TLRI review will be critical to the way in which justice services are made available to many people with disability who have communication difficulty. Accordingly, it is recommended that the outcomes of the TLRI review </w:t>
      </w:r>
      <w:r w:rsidR="007C6317">
        <w:t xml:space="preserve">play an important strategic role </w:t>
      </w:r>
      <w:r>
        <w:t>in the development of new approaches to the delivery of justice services to people with disability in this State.</w:t>
      </w:r>
    </w:p>
    <w:tbl>
      <w:tblPr>
        <w:tblW w:w="5000" w:type="pct"/>
        <w:tblLook w:val="04A0" w:firstRow="1" w:lastRow="0" w:firstColumn="1" w:lastColumn="0" w:noHBand="0" w:noVBand="1"/>
      </w:tblPr>
      <w:tblGrid>
        <w:gridCol w:w="1084"/>
        <w:gridCol w:w="6065"/>
        <w:gridCol w:w="1877"/>
      </w:tblGrid>
      <w:tr w:rsidR="002B30EB" w:rsidRPr="00525DF8" w:rsidTr="004711A8">
        <w:trPr>
          <w:tblHeader/>
        </w:trPr>
        <w:tc>
          <w:tcPr>
            <w:tcW w:w="600" w:type="pct"/>
            <w:tcBorders>
              <w:top w:val="single" w:sz="4" w:space="0" w:color="auto"/>
              <w:bottom w:val="dotted" w:sz="4" w:space="0" w:color="auto"/>
            </w:tcBorders>
          </w:tcPr>
          <w:p w:rsidR="002B30EB" w:rsidRPr="00525DF8" w:rsidRDefault="002B30EB" w:rsidP="002B30EB">
            <w:pPr>
              <w:pStyle w:val="Caption"/>
            </w:pPr>
          </w:p>
        </w:tc>
        <w:tc>
          <w:tcPr>
            <w:tcW w:w="3359" w:type="pct"/>
            <w:tcBorders>
              <w:top w:val="single" w:sz="4" w:space="0" w:color="auto"/>
              <w:bottom w:val="dotted" w:sz="4" w:space="0" w:color="auto"/>
            </w:tcBorders>
          </w:tcPr>
          <w:p w:rsidR="002B30EB" w:rsidRPr="00525DF8" w:rsidRDefault="008D5C18" w:rsidP="002B30EB">
            <w:pPr>
              <w:pStyle w:val="Caption"/>
            </w:pPr>
            <w:r>
              <w:t>Actions</w:t>
            </w:r>
          </w:p>
        </w:tc>
        <w:tc>
          <w:tcPr>
            <w:tcW w:w="1040"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600" w:type="pct"/>
            <w:tcBorders>
              <w:top w:val="dotted" w:sz="4" w:space="0" w:color="auto"/>
              <w:bottom w:val="dotted" w:sz="4" w:space="0" w:color="auto"/>
            </w:tcBorders>
          </w:tcPr>
          <w:p w:rsidR="002B30EB" w:rsidRPr="00525DF8" w:rsidRDefault="002B30EB" w:rsidP="00F75B40">
            <w:pPr>
              <w:pStyle w:val="Tabletext"/>
              <w:ind w:right="176"/>
            </w:pPr>
            <w:r w:rsidRPr="00525DF8">
              <w:t>1</w:t>
            </w:r>
            <w:r w:rsidR="00531787">
              <w:t>2</w:t>
            </w:r>
          </w:p>
        </w:tc>
        <w:tc>
          <w:tcPr>
            <w:tcW w:w="3359" w:type="pct"/>
            <w:tcBorders>
              <w:top w:val="dotted" w:sz="4" w:space="0" w:color="auto"/>
              <w:bottom w:val="dotted" w:sz="4" w:space="0" w:color="auto"/>
            </w:tcBorders>
          </w:tcPr>
          <w:p w:rsidR="002B30EB" w:rsidRPr="00525DF8" w:rsidRDefault="002B30EB" w:rsidP="002B30EB">
            <w:pPr>
              <w:pStyle w:val="Tabletext"/>
            </w:pPr>
            <w:r w:rsidRPr="00525DF8">
              <w:t>Ensure access to advocacy</w:t>
            </w:r>
            <w:r w:rsidR="00D27530">
              <w:t xml:space="preserve"> and communication</w:t>
            </w:r>
            <w:r w:rsidRPr="00525DF8">
              <w:t xml:space="preserve"> support for people with disability in the justice system</w:t>
            </w:r>
            <w:r w:rsidR="00607A7D">
              <w:t>.</w:t>
            </w:r>
          </w:p>
          <w:p w:rsidR="002B30EB" w:rsidRPr="00525DF8" w:rsidRDefault="002B30EB" w:rsidP="002B30EB">
            <w:pPr>
              <w:pStyle w:val="Tabletext"/>
            </w:pPr>
          </w:p>
        </w:tc>
        <w:tc>
          <w:tcPr>
            <w:tcW w:w="1040" w:type="pct"/>
            <w:tcBorders>
              <w:top w:val="dotted" w:sz="4" w:space="0" w:color="auto"/>
              <w:bottom w:val="dotted" w:sz="4" w:space="0" w:color="auto"/>
            </w:tcBorders>
          </w:tcPr>
          <w:p w:rsidR="002B30EB" w:rsidRPr="00525DF8" w:rsidRDefault="00F75B40" w:rsidP="002B30EB">
            <w:pPr>
              <w:pStyle w:val="Tabletext"/>
              <w:ind w:right="108"/>
            </w:pPr>
            <w:r>
              <w:t>All</w:t>
            </w:r>
            <w:r w:rsidR="002B30EB" w:rsidRPr="00525DF8">
              <w:t xml:space="preserve"> </w:t>
            </w:r>
          </w:p>
        </w:tc>
      </w:tr>
    </w:tbl>
    <w:p w:rsidR="00373ABA" w:rsidRDefault="00B466CC" w:rsidP="00F03DEB">
      <w:pPr>
        <w:pStyle w:val="Heading1"/>
      </w:pPr>
      <w:bookmarkStart w:id="69" w:name="_Toc476819205"/>
      <w:bookmarkStart w:id="70" w:name="_Toc500835357"/>
      <w:bookmarkStart w:id="71" w:name="_Toc500835414"/>
      <w:bookmarkStart w:id="72" w:name="_Toc500835623"/>
      <w:bookmarkEnd w:id="68"/>
      <w:r>
        <w:t>Developing</w:t>
      </w:r>
      <w:r w:rsidR="00BC13C0">
        <w:t xml:space="preserve"> disability responsive</w:t>
      </w:r>
      <w:r w:rsidR="00373ABA">
        <w:t xml:space="preserve"> </w:t>
      </w:r>
      <w:r w:rsidR="00BC13C0">
        <w:t>l</w:t>
      </w:r>
      <w:r w:rsidR="00373ABA">
        <w:t xml:space="preserve">egal </w:t>
      </w:r>
      <w:r w:rsidR="00BC13C0">
        <w:t>s</w:t>
      </w:r>
      <w:r w:rsidR="00373ABA">
        <w:t>ervices</w:t>
      </w:r>
      <w:bookmarkEnd w:id="69"/>
      <w:bookmarkEnd w:id="70"/>
      <w:bookmarkEnd w:id="71"/>
      <w:bookmarkEnd w:id="72"/>
      <w:r w:rsidR="00373ABA">
        <w:t xml:space="preserve"> </w:t>
      </w:r>
    </w:p>
    <w:p w:rsidR="00994631" w:rsidRDefault="00994631" w:rsidP="00994631">
      <w:bookmarkStart w:id="73" w:name="_Toc476819206"/>
      <w:r>
        <w:t>Many people with disability who come into contact with the legal system rely on income support or are otherwise financially disadvantaged. They cannot afford commercial legal services and are reliant on the availability of public legal services to meet their needs, including Legal Aid, pro bono services and community legal centres.</w:t>
      </w:r>
    </w:p>
    <w:p w:rsidR="007C6317" w:rsidRDefault="00994631" w:rsidP="00994631">
      <w:r>
        <w:t xml:space="preserve">Even where people with disability are able to afford the cost of private legal services, other barriers remain. </w:t>
      </w:r>
      <w:r w:rsidR="007C6317">
        <w:t>The capacity of legal service providers to take instruction from clients with communication barriers and the need for communication assistance continue to be of concern to many people.</w:t>
      </w:r>
    </w:p>
    <w:p w:rsidR="00994631" w:rsidRPr="00B65D26" w:rsidRDefault="00994631" w:rsidP="00994631">
      <w:r>
        <w:t>L</w:t>
      </w:r>
      <w:r w:rsidRPr="00B65D26">
        <w:t xml:space="preserve">egal services </w:t>
      </w:r>
      <w:r>
        <w:t>are subject to discrimination law and, as such, are obliged to provide non-discriminatory services. Despite this, i</w:t>
      </w:r>
      <w:r w:rsidRPr="00B65D26">
        <w:t xml:space="preserve">n many instances the cost of providing adjustments is viewed </w:t>
      </w:r>
      <w:r>
        <w:t xml:space="preserve">by the service provider </w:t>
      </w:r>
      <w:r w:rsidRPr="00B65D26">
        <w:t xml:space="preserve">as an unjustifiable hardship and/or the cost of providing </w:t>
      </w:r>
      <w:r>
        <w:t xml:space="preserve">such </w:t>
      </w:r>
      <w:r w:rsidRPr="00B65D26">
        <w:t xml:space="preserve">adjustments </w:t>
      </w:r>
      <w:r>
        <w:t xml:space="preserve">is seen by the legal service provider as one that </w:t>
      </w:r>
      <w:r w:rsidRPr="00B65D26">
        <w:t xml:space="preserve">should be met by the client. </w:t>
      </w:r>
    </w:p>
    <w:p w:rsidR="002B30EB" w:rsidRDefault="00994631" w:rsidP="003C08AA">
      <w:pPr>
        <w:spacing w:after="400"/>
      </w:pPr>
      <w:r>
        <w:t>While access to justice must involve representation and other specialised legal responses, the provision of legal information, advice and community education services as a strategy in improving access to justice and increasing understanding of lega</w:t>
      </w:r>
      <w:r w:rsidR="003C08AA">
        <w:t>l responsibilities is valuable.</w:t>
      </w:r>
    </w:p>
    <w:tbl>
      <w:tblPr>
        <w:tblW w:w="5000" w:type="pct"/>
        <w:tblLook w:val="04A0" w:firstRow="1" w:lastRow="0" w:firstColumn="1" w:lastColumn="0" w:noHBand="0" w:noVBand="1"/>
      </w:tblPr>
      <w:tblGrid>
        <w:gridCol w:w="1114"/>
        <w:gridCol w:w="6050"/>
        <w:gridCol w:w="1862"/>
      </w:tblGrid>
      <w:tr w:rsidR="002B30EB" w:rsidRPr="00525DF8" w:rsidTr="004711A8">
        <w:trPr>
          <w:tblHeader/>
        </w:trPr>
        <w:tc>
          <w:tcPr>
            <w:tcW w:w="600" w:type="pct"/>
            <w:tcBorders>
              <w:top w:val="single" w:sz="4" w:space="0" w:color="auto"/>
              <w:bottom w:val="dotted" w:sz="4" w:space="0" w:color="auto"/>
            </w:tcBorders>
          </w:tcPr>
          <w:p w:rsidR="002B30EB" w:rsidRPr="00525DF8" w:rsidRDefault="002B30EB" w:rsidP="002B30EB">
            <w:pPr>
              <w:pStyle w:val="Caption"/>
            </w:pPr>
          </w:p>
        </w:tc>
        <w:tc>
          <w:tcPr>
            <w:tcW w:w="3359" w:type="pct"/>
            <w:tcBorders>
              <w:top w:val="single" w:sz="4" w:space="0" w:color="auto"/>
              <w:bottom w:val="dotted" w:sz="4" w:space="0" w:color="auto"/>
            </w:tcBorders>
          </w:tcPr>
          <w:p w:rsidR="002B30EB" w:rsidRPr="00525DF8" w:rsidRDefault="008D5C18" w:rsidP="002B30EB">
            <w:pPr>
              <w:pStyle w:val="Caption"/>
            </w:pPr>
            <w:r>
              <w:t>Actions</w:t>
            </w:r>
          </w:p>
        </w:tc>
        <w:tc>
          <w:tcPr>
            <w:tcW w:w="1040"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600" w:type="pct"/>
            <w:tcBorders>
              <w:top w:val="dotted" w:sz="4" w:space="0" w:color="auto"/>
              <w:bottom w:val="dotted" w:sz="4" w:space="0" w:color="auto"/>
            </w:tcBorders>
          </w:tcPr>
          <w:p w:rsidR="002B30EB" w:rsidRPr="00525DF8" w:rsidRDefault="002B30EB" w:rsidP="00FA435E">
            <w:pPr>
              <w:pStyle w:val="Tabletext"/>
              <w:ind w:right="678"/>
            </w:pPr>
            <w:r w:rsidRPr="00525DF8">
              <w:t>1</w:t>
            </w:r>
            <w:r w:rsidR="00531787">
              <w:t>3</w:t>
            </w:r>
          </w:p>
        </w:tc>
        <w:tc>
          <w:tcPr>
            <w:tcW w:w="3359" w:type="pct"/>
            <w:tcBorders>
              <w:top w:val="dotted" w:sz="4" w:space="0" w:color="auto"/>
              <w:bottom w:val="dotted" w:sz="4" w:space="0" w:color="auto"/>
            </w:tcBorders>
          </w:tcPr>
          <w:p w:rsidR="001D03E4" w:rsidRPr="00525DF8" w:rsidRDefault="001D03E4" w:rsidP="001D03E4">
            <w:pPr>
              <w:pStyle w:val="Tabletext"/>
            </w:pPr>
            <w:bookmarkStart w:id="74" w:name="_Toc476819207"/>
            <w:r w:rsidRPr="00525DF8">
              <w:t>Ensure that</w:t>
            </w:r>
            <w:r w:rsidR="00607A7D">
              <w:t xml:space="preserve"> legal aid and</w:t>
            </w:r>
            <w:r w:rsidRPr="00525DF8">
              <w:t xml:space="preserve"> legal assistance services are </w:t>
            </w:r>
            <w:r w:rsidR="008D5C18">
              <w:t>responsive</w:t>
            </w:r>
            <w:r w:rsidRPr="00525DF8">
              <w:t xml:space="preserve"> to people with disability</w:t>
            </w:r>
            <w:bookmarkEnd w:id="74"/>
          </w:p>
          <w:p w:rsidR="002B30EB" w:rsidRPr="00525DF8" w:rsidRDefault="002B30EB" w:rsidP="002B30EB">
            <w:pPr>
              <w:pStyle w:val="Tabletext"/>
              <w:ind w:right="678"/>
            </w:pPr>
          </w:p>
        </w:tc>
        <w:tc>
          <w:tcPr>
            <w:tcW w:w="1040" w:type="pct"/>
            <w:tcBorders>
              <w:top w:val="dotted" w:sz="4" w:space="0" w:color="auto"/>
              <w:bottom w:val="dotted" w:sz="4" w:space="0" w:color="auto"/>
            </w:tcBorders>
          </w:tcPr>
          <w:p w:rsidR="002B30EB" w:rsidRPr="00525DF8" w:rsidRDefault="001D03E4" w:rsidP="002B30EB">
            <w:pPr>
              <w:pStyle w:val="Tabletext"/>
              <w:ind w:right="108"/>
            </w:pPr>
            <w:r w:rsidRPr="00525DF8">
              <w:t>Legal Aid</w:t>
            </w:r>
          </w:p>
          <w:p w:rsidR="001D03E4" w:rsidRPr="00525DF8" w:rsidRDefault="001D03E4" w:rsidP="002B30EB">
            <w:pPr>
              <w:pStyle w:val="Tabletext"/>
              <w:ind w:right="108"/>
            </w:pPr>
            <w:r w:rsidRPr="00525DF8">
              <w:t>Community Legal Centres</w:t>
            </w:r>
          </w:p>
        </w:tc>
      </w:tr>
      <w:tr w:rsidR="001D03E4" w:rsidRPr="00525DF8" w:rsidTr="004711A8">
        <w:trPr>
          <w:cantSplit/>
        </w:trPr>
        <w:tc>
          <w:tcPr>
            <w:tcW w:w="600" w:type="pct"/>
            <w:tcBorders>
              <w:top w:val="dotted" w:sz="4" w:space="0" w:color="auto"/>
              <w:bottom w:val="dotted" w:sz="4" w:space="0" w:color="auto"/>
            </w:tcBorders>
          </w:tcPr>
          <w:p w:rsidR="001D03E4" w:rsidRPr="00525DF8" w:rsidRDefault="00FA435E" w:rsidP="00FA435E">
            <w:pPr>
              <w:pStyle w:val="Tabletext"/>
              <w:ind w:right="678"/>
            </w:pPr>
            <w:r>
              <w:t>1</w:t>
            </w:r>
            <w:r w:rsidR="00531787">
              <w:t>4</w:t>
            </w:r>
          </w:p>
        </w:tc>
        <w:tc>
          <w:tcPr>
            <w:tcW w:w="3359" w:type="pct"/>
            <w:tcBorders>
              <w:top w:val="dotted" w:sz="4" w:space="0" w:color="auto"/>
              <w:bottom w:val="dotted" w:sz="4" w:space="0" w:color="auto"/>
            </w:tcBorders>
          </w:tcPr>
          <w:p w:rsidR="001D03E4" w:rsidRPr="00525DF8" w:rsidRDefault="001D03E4" w:rsidP="001D03E4">
            <w:pPr>
              <w:pStyle w:val="Tabletext"/>
            </w:pPr>
            <w:r w:rsidRPr="00525DF8">
              <w:t>Improve the availability of legal information and advice services for people with disability</w:t>
            </w:r>
          </w:p>
          <w:p w:rsidR="001D03E4" w:rsidRPr="00525DF8" w:rsidRDefault="001D03E4" w:rsidP="001D03E4">
            <w:pPr>
              <w:pStyle w:val="Tabletext"/>
            </w:pPr>
          </w:p>
        </w:tc>
        <w:tc>
          <w:tcPr>
            <w:tcW w:w="1040" w:type="pct"/>
            <w:tcBorders>
              <w:top w:val="dotted" w:sz="4" w:space="0" w:color="auto"/>
              <w:bottom w:val="dotted" w:sz="4" w:space="0" w:color="auto"/>
            </w:tcBorders>
          </w:tcPr>
          <w:p w:rsidR="001D03E4" w:rsidRPr="00525DF8" w:rsidRDefault="001D03E4" w:rsidP="002B30EB">
            <w:pPr>
              <w:pStyle w:val="Tabletext"/>
              <w:ind w:right="108"/>
            </w:pPr>
            <w:r w:rsidRPr="00525DF8">
              <w:t>Legal Aid</w:t>
            </w:r>
          </w:p>
          <w:p w:rsidR="001D03E4" w:rsidRPr="00525DF8" w:rsidRDefault="001D03E4" w:rsidP="008D5C18">
            <w:pPr>
              <w:pStyle w:val="Tabletext"/>
              <w:ind w:right="108"/>
            </w:pPr>
            <w:r w:rsidRPr="00525DF8">
              <w:t>Community Legal Centres</w:t>
            </w:r>
          </w:p>
        </w:tc>
      </w:tr>
      <w:tr w:rsidR="004E381F" w:rsidRPr="00525DF8" w:rsidTr="004711A8">
        <w:trPr>
          <w:cantSplit/>
        </w:trPr>
        <w:tc>
          <w:tcPr>
            <w:tcW w:w="600" w:type="pct"/>
            <w:tcBorders>
              <w:top w:val="dotted" w:sz="4" w:space="0" w:color="auto"/>
              <w:bottom w:val="dotted" w:sz="4" w:space="0" w:color="auto"/>
            </w:tcBorders>
          </w:tcPr>
          <w:p w:rsidR="004E381F" w:rsidRDefault="004E381F" w:rsidP="004E381F">
            <w:pPr>
              <w:pStyle w:val="Tabletext"/>
              <w:tabs>
                <w:tab w:val="left" w:pos="1171"/>
              </w:tabs>
              <w:ind w:right="-256" w:firstLine="37"/>
            </w:pPr>
            <w:r>
              <w:t>1</w:t>
            </w:r>
            <w:r w:rsidR="00531787">
              <w:t>5</w:t>
            </w:r>
            <w:r>
              <w:t xml:space="preserve"> </w:t>
            </w:r>
          </w:p>
        </w:tc>
        <w:tc>
          <w:tcPr>
            <w:tcW w:w="3359" w:type="pct"/>
            <w:tcBorders>
              <w:top w:val="dotted" w:sz="4" w:space="0" w:color="auto"/>
              <w:bottom w:val="dotted" w:sz="4" w:space="0" w:color="auto"/>
            </w:tcBorders>
          </w:tcPr>
          <w:p w:rsidR="004E381F" w:rsidRDefault="00581F9A" w:rsidP="001D03E4">
            <w:pPr>
              <w:pStyle w:val="Tabletext"/>
            </w:pPr>
            <w:r>
              <w:t>Identify alternative strategies to enable people with disability to address unpaid fines</w:t>
            </w:r>
          </w:p>
          <w:p w:rsidR="00F46E42" w:rsidRPr="00525DF8" w:rsidRDefault="00F46E42" w:rsidP="001D03E4">
            <w:pPr>
              <w:pStyle w:val="Tabletext"/>
            </w:pPr>
          </w:p>
        </w:tc>
        <w:tc>
          <w:tcPr>
            <w:tcW w:w="1040" w:type="pct"/>
            <w:tcBorders>
              <w:top w:val="dotted" w:sz="4" w:space="0" w:color="auto"/>
              <w:bottom w:val="dotted" w:sz="4" w:space="0" w:color="auto"/>
            </w:tcBorders>
          </w:tcPr>
          <w:p w:rsidR="004E381F" w:rsidRPr="00525DF8" w:rsidRDefault="00581F9A" w:rsidP="002B30EB">
            <w:pPr>
              <w:pStyle w:val="Tabletext"/>
              <w:ind w:right="108"/>
            </w:pPr>
            <w:r>
              <w:t>Justice</w:t>
            </w:r>
          </w:p>
        </w:tc>
      </w:tr>
    </w:tbl>
    <w:p w:rsidR="002B30EB" w:rsidRPr="006332D3" w:rsidRDefault="002B30EB" w:rsidP="002B30EB">
      <w:pPr>
        <w:ind w:right="678"/>
      </w:pPr>
    </w:p>
    <w:p w:rsidR="008C10BA" w:rsidRDefault="00B466CC" w:rsidP="00F03DEB">
      <w:pPr>
        <w:pStyle w:val="Heading1"/>
      </w:pPr>
      <w:bookmarkStart w:id="75" w:name="_Toc476819215"/>
      <w:bookmarkStart w:id="76" w:name="_Toc500835358"/>
      <w:bookmarkStart w:id="77" w:name="_Toc500835415"/>
      <w:bookmarkStart w:id="78" w:name="_Toc500835624"/>
      <w:bookmarkEnd w:id="73"/>
      <w:r>
        <w:t>Promoting</w:t>
      </w:r>
      <w:r w:rsidR="00BC13C0">
        <w:t xml:space="preserve"> d</w:t>
      </w:r>
      <w:r w:rsidR="00A070D0">
        <w:t>isability</w:t>
      </w:r>
      <w:r w:rsidR="008C10BA">
        <w:t xml:space="preserve"> responsive police practices</w:t>
      </w:r>
      <w:bookmarkEnd w:id="75"/>
      <w:bookmarkEnd w:id="76"/>
      <w:bookmarkEnd w:id="77"/>
      <w:bookmarkEnd w:id="78"/>
    </w:p>
    <w:p w:rsidR="00994631" w:rsidRPr="00B65D26" w:rsidRDefault="00994631" w:rsidP="00994631">
      <w:bookmarkStart w:id="79" w:name="_Toc476819216"/>
      <w:r w:rsidRPr="00B65D26">
        <w:t>Police play a pivotal role in interacting with people with disability, particularly at first contact with the justice system. This includes intervening to protect people with disability who may be at risk of harm or the victim of violence or abuse. Police are also often called as first responders in situations where a person with disability may be engaging in unpredictable or inappropriate behaviour. As such</w:t>
      </w:r>
      <w:r>
        <w:t>,</w:t>
      </w:r>
      <w:r w:rsidRPr="00B65D26">
        <w:t xml:space="preserve"> police </w:t>
      </w:r>
      <w:r>
        <w:t>have a significant influence on</w:t>
      </w:r>
      <w:r w:rsidRPr="00B65D26">
        <w:t xml:space="preserve"> </w:t>
      </w:r>
      <w:r>
        <w:t xml:space="preserve">how </w:t>
      </w:r>
      <w:r w:rsidRPr="00B65D26">
        <w:t>people with disability interact with the justice system.</w:t>
      </w:r>
    </w:p>
    <w:p w:rsidR="00C02AEB" w:rsidRDefault="00994631" w:rsidP="004711A8">
      <w:pPr>
        <w:spacing w:after="400"/>
      </w:pPr>
      <w:r>
        <w:t xml:space="preserve">Equipping </w:t>
      </w:r>
      <w:r w:rsidRPr="00B65D26">
        <w:t xml:space="preserve">police </w:t>
      </w:r>
      <w:r>
        <w:t>to</w:t>
      </w:r>
      <w:r w:rsidRPr="00B65D26">
        <w:t xml:space="preserve"> recognis</w:t>
      </w:r>
      <w:r>
        <w:t>e</w:t>
      </w:r>
      <w:r w:rsidRPr="00B65D26">
        <w:t xml:space="preserve"> </w:t>
      </w:r>
      <w:r>
        <w:t xml:space="preserve">the possible presence of </w:t>
      </w:r>
      <w:r w:rsidRPr="00B65D26">
        <w:t>disability</w:t>
      </w:r>
      <w:r>
        <w:t xml:space="preserve"> </w:t>
      </w:r>
      <w:r w:rsidRPr="00B65D26">
        <w:t>at first point of contact</w:t>
      </w:r>
      <w:r>
        <w:t xml:space="preserve"> and</w:t>
      </w:r>
      <w:r w:rsidRPr="00B65D26">
        <w:t xml:space="preserve"> understanding </w:t>
      </w:r>
      <w:r>
        <w:t>what effect the disability may have as well as</w:t>
      </w:r>
      <w:r w:rsidRPr="00B65D26">
        <w:t xml:space="preserve"> the adjustments to procedures</w:t>
      </w:r>
      <w:r>
        <w:t xml:space="preserve"> that may be needed has the capacity to significantly improve the way people with disability experience the justice system</w:t>
      </w:r>
      <w:r w:rsidRPr="00B65D26">
        <w:t>.</w:t>
      </w:r>
    </w:p>
    <w:tbl>
      <w:tblPr>
        <w:tblW w:w="5000" w:type="pct"/>
        <w:tblLook w:val="04A0" w:firstRow="1" w:lastRow="0" w:firstColumn="1" w:lastColumn="0" w:noHBand="0" w:noVBand="1"/>
      </w:tblPr>
      <w:tblGrid>
        <w:gridCol w:w="1114"/>
        <w:gridCol w:w="6050"/>
        <w:gridCol w:w="1862"/>
      </w:tblGrid>
      <w:tr w:rsidR="00C02AEB" w:rsidRPr="00525DF8" w:rsidTr="004711A8">
        <w:trPr>
          <w:tblHeader/>
        </w:trPr>
        <w:tc>
          <w:tcPr>
            <w:tcW w:w="600" w:type="pct"/>
            <w:tcBorders>
              <w:top w:val="single" w:sz="4" w:space="0" w:color="auto"/>
              <w:bottom w:val="dotted" w:sz="4" w:space="0" w:color="auto"/>
            </w:tcBorders>
          </w:tcPr>
          <w:p w:rsidR="00C02AEB" w:rsidRPr="00525DF8" w:rsidRDefault="00C02AEB" w:rsidP="00BD3AF7">
            <w:pPr>
              <w:pStyle w:val="Caption"/>
            </w:pPr>
          </w:p>
        </w:tc>
        <w:tc>
          <w:tcPr>
            <w:tcW w:w="3360" w:type="pct"/>
            <w:tcBorders>
              <w:top w:val="single" w:sz="4" w:space="0" w:color="auto"/>
              <w:bottom w:val="dotted" w:sz="4" w:space="0" w:color="auto"/>
            </w:tcBorders>
          </w:tcPr>
          <w:p w:rsidR="00C02AEB" w:rsidRPr="00525DF8" w:rsidRDefault="008D5C18" w:rsidP="00BD3AF7">
            <w:pPr>
              <w:pStyle w:val="Caption"/>
            </w:pPr>
            <w:r>
              <w:t>Actions</w:t>
            </w:r>
          </w:p>
        </w:tc>
        <w:tc>
          <w:tcPr>
            <w:tcW w:w="1040" w:type="pct"/>
            <w:tcBorders>
              <w:top w:val="single" w:sz="4" w:space="0" w:color="auto"/>
              <w:bottom w:val="dotted" w:sz="4" w:space="0" w:color="auto"/>
            </w:tcBorders>
          </w:tcPr>
          <w:p w:rsidR="00C02AEB" w:rsidRPr="00525DF8" w:rsidRDefault="00C02AEB" w:rsidP="00BD3AF7">
            <w:pPr>
              <w:pStyle w:val="Caption"/>
              <w:ind w:right="108"/>
            </w:pPr>
            <w:r w:rsidRPr="00525DF8">
              <w:t>Lead Agencies</w:t>
            </w:r>
          </w:p>
        </w:tc>
      </w:tr>
      <w:tr w:rsidR="00C02AEB" w:rsidRPr="00525DF8" w:rsidTr="004711A8">
        <w:trPr>
          <w:cantSplit/>
        </w:trPr>
        <w:tc>
          <w:tcPr>
            <w:tcW w:w="600" w:type="pct"/>
            <w:tcBorders>
              <w:top w:val="dotted" w:sz="4" w:space="0" w:color="auto"/>
              <w:bottom w:val="dotted" w:sz="4" w:space="0" w:color="auto"/>
            </w:tcBorders>
          </w:tcPr>
          <w:p w:rsidR="00C02AEB" w:rsidRPr="00525DF8" w:rsidRDefault="00FA435E" w:rsidP="00C02AEB">
            <w:pPr>
              <w:pStyle w:val="Tabletext"/>
              <w:ind w:right="176"/>
            </w:pPr>
            <w:r>
              <w:t>1</w:t>
            </w:r>
            <w:r w:rsidR="00531787">
              <w:t>6</w:t>
            </w:r>
          </w:p>
        </w:tc>
        <w:tc>
          <w:tcPr>
            <w:tcW w:w="3360" w:type="pct"/>
            <w:tcBorders>
              <w:top w:val="dotted" w:sz="4" w:space="0" w:color="auto"/>
              <w:bottom w:val="dotted" w:sz="4" w:space="0" w:color="auto"/>
            </w:tcBorders>
          </w:tcPr>
          <w:p w:rsidR="00C02AEB" w:rsidRPr="00525DF8" w:rsidRDefault="00C02AEB" w:rsidP="00C02AEB">
            <w:pPr>
              <w:pStyle w:val="Tabletext"/>
            </w:pPr>
            <w:r w:rsidRPr="00525DF8">
              <w:t>Enhance the capacity of police to recognise, understand and respond appropriately to people with disability</w:t>
            </w:r>
            <w:r w:rsidR="00FA435E">
              <w:t xml:space="preserve"> through the development of a relevant policy document</w:t>
            </w:r>
          </w:p>
          <w:p w:rsidR="00C02AEB" w:rsidRPr="00525DF8" w:rsidRDefault="00C02AEB" w:rsidP="00BD3AF7">
            <w:pPr>
              <w:pStyle w:val="Tabletext"/>
            </w:pPr>
          </w:p>
        </w:tc>
        <w:tc>
          <w:tcPr>
            <w:tcW w:w="1040" w:type="pct"/>
            <w:tcBorders>
              <w:top w:val="dotted" w:sz="4" w:space="0" w:color="auto"/>
              <w:bottom w:val="dotted" w:sz="4" w:space="0" w:color="auto"/>
            </w:tcBorders>
          </w:tcPr>
          <w:p w:rsidR="00C02AEB" w:rsidRPr="00525DF8" w:rsidRDefault="00C02AEB" w:rsidP="00BD3AF7">
            <w:pPr>
              <w:pStyle w:val="Tabletext"/>
              <w:ind w:right="108"/>
            </w:pPr>
            <w:r w:rsidRPr="00525DF8">
              <w:t xml:space="preserve">Tasmania Police </w:t>
            </w:r>
          </w:p>
          <w:p w:rsidR="00C02AEB" w:rsidRPr="00525DF8" w:rsidRDefault="00C02AEB" w:rsidP="00BD3AF7">
            <w:pPr>
              <w:pStyle w:val="Tabletext"/>
              <w:ind w:right="108"/>
            </w:pPr>
          </w:p>
        </w:tc>
      </w:tr>
      <w:tr w:rsidR="00C02AEB" w:rsidRPr="00525DF8" w:rsidTr="004711A8">
        <w:trPr>
          <w:cantSplit/>
        </w:trPr>
        <w:tc>
          <w:tcPr>
            <w:tcW w:w="600" w:type="pct"/>
            <w:tcBorders>
              <w:top w:val="dotted" w:sz="4" w:space="0" w:color="auto"/>
              <w:bottom w:val="dotted" w:sz="4" w:space="0" w:color="auto"/>
            </w:tcBorders>
          </w:tcPr>
          <w:p w:rsidR="00C02AEB" w:rsidRPr="00525DF8" w:rsidRDefault="00FA435E" w:rsidP="00C02AEB">
            <w:pPr>
              <w:pStyle w:val="Tabletext"/>
              <w:ind w:right="678"/>
            </w:pPr>
            <w:r>
              <w:t>1</w:t>
            </w:r>
            <w:r w:rsidR="00531787">
              <w:t>7</w:t>
            </w:r>
          </w:p>
        </w:tc>
        <w:tc>
          <w:tcPr>
            <w:tcW w:w="3360" w:type="pct"/>
            <w:tcBorders>
              <w:top w:val="dotted" w:sz="4" w:space="0" w:color="auto"/>
              <w:bottom w:val="dotted" w:sz="4" w:space="0" w:color="auto"/>
            </w:tcBorders>
          </w:tcPr>
          <w:p w:rsidR="00C02AEB" w:rsidRPr="00525DF8" w:rsidRDefault="00FA435E" w:rsidP="00C02AEB">
            <w:pPr>
              <w:pStyle w:val="Tabletext"/>
            </w:pPr>
            <w:r>
              <w:t>Train police in recognising and respon</w:t>
            </w:r>
            <w:r w:rsidR="005B7245">
              <w:t>ding to people with disability</w:t>
            </w:r>
            <w:r>
              <w:t xml:space="preserve"> as victims, offenders, witnesses and generally</w:t>
            </w:r>
          </w:p>
          <w:p w:rsidR="00C02AEB" w:rsidRPr="00525DF8" w:rsidRDefault="00C02AEB" w:rsidP="00BD3AF7">
            <w:pPr>
              <w:pStyle w:val="Tabletext"/>
              <w:ind w:right="678"/>
            </w:pPr>
          </w:p>
        </w:tc>
        <w:tc>
          <w:tcPr>
            <w:tcW w:w="1040" w:type="pct"/>
            <w:tcBorders>
              <w:top w:val="dotted" w:sz="4" w:space="0" w:color="auto"/>
              <w:bottom w:val="dotted" w:sz="4" w:space="0" w:color="auto"/>
            </w:tcBorders>
          </w:tcPr>
          <w:p w:rsidR="00C02AEB" w:rsidRPr="00525DF8" w:rsidRDefault="00C02AEB" w:rsidP="00BD3AF7">
            <w:pPr>
              <w:pStyle w:val="Tabletext"/>
              <w:ind w:right="108"/>
            </w:pPr>
            <w:r w:rsidRPr="00525DF8">
              <w:t>Tasmania Police</w:t>
            </w:r>
          </w:p>
        </w:tc>
      </w:tr>
    </w:tbl>
    <w:p w:rsidR="00C02AEB" w:rsidRDefault="00C02AEB" w:rsidP="00C02AEB"/>
    <w:p w:rsidR="00546EDA" w:rsidRDefault="00B466CC" w:rsidP="00F03DEB">
      <w:pPr>
        <w:pStyle w:val="Heading1"/>
      </w:pPr>
      <w:bookmarkStart w:id="80" w:name="_Toc476819224"/>
      <w:bookmarkStart w:id="81" w:name="_Toc500835359"/>
      <w:bookmarkStart w:id="82" w:name="_Toc500835416"/>
      <w:bookmarkStart w:id="83" w:name="_Toc500835625"/>
      <w:bookmarkEnd w:id="79"/>
      <w:r>
        <w:t>Implementing d</w:t>
      </w:r>
      <w:r w:rsidR="00546EDA">
        <w:t>isability responsive prosecution services</w:t>
      </w:r>
      <w:bookmarkEnd w:id="80"/>
      <w:bookmarkEnd w:id="81"/>
      <w:bookmarkEnd w:id="82"/>
      <w:bookmarkEnd w:id="83"/>
    </w:p>
    <w:p w:rsidR="00CE7CCD" w:rsidRDefault="00994631" w:rsidP="004711A8">
      <w:pPr>
        <w:spacing w:after="400"/>
      </w:pPr>
      <w:bookmarkStart w:id="84" w:name="_Toc476819225"/>
      <w:r>
        <w:t>Concerns arise from t</w:t>
      </w:r>
      <w:r w:rsidRPr="00B65D26">
        <w:t xml:space="preserve">he failure to provide information to prosecution services </w:t>
      </w:r>
      <w:r>
        <w:t>about</w:t>
      </w:r>
      <w:r w:rsidRPr="00B65D26">
        <w:t xml:space="preserve"> an</w:t>
      </w:r>
      <w:r>
        <w:t xml:space="preserve"> alleged</w:t>
      </w:r>
      <w:r w:rsidRPr="00B65D26">
        <w:t xml:space="preserve"> offender’s disability at either the charging stage or o</w:t>
      </w:r>
      <w:r>
        <w:t>n receipt of the file in police-</w:t>
      </w:r>
      <w:r w:rsidRPr="00B65D26">
        <w:t>charged cases</w:t>
      </w:r>
      <w:r>
        <w:t xml:space="preserve">. This failure may mean </w:t>
      </w:r>
      <w:r w:rsidRPr="00B65D26">
        <w:t xml:space="preserve">that </w:t>
      </w:r>
      <w:r>
        <w:t xml:space="preserve">the person </w:t>
      </w:r>
      <w:r w:rsidRPr="00B65D26">
        <w:t xml:space="preserve">with disability </w:t>
      </w:r>
      <w:r>
        <w:t>is</w:t>
      </w:r>
      <w:r w:rsidRPr="00B65D26">
        <w:t xml:space="preserve"> disadvantaged </w:t>
      </w:r>
      <w:r>
        <w:t>because</w:t>
      </w:r>
      <w:r w:rsidRPr="00B65D26">
        <w:t xml:space="preserve"> the full details of their background </w:t>
      </w:r>
      <w:r>
        <w:t xml:space="preserve">will not necessarily be known and may </w:t>
      </w:r>
      <w:r w:rsidRPr="00B65D26">
        <w:t xml:space="preserve">not </w:t>
      </w:r>
      <w:r>
        <w:t xml:space="preserve">be </w:t>
      </w:r>
      <w:r w:rsidRPr="00B65D26">
        <w:t>taken into account at a crucial stage in the criminal justice process.</w:t>
      </w:r>
    </w:p>
    <w:tbl>
      <w:tblPr>
        <w:tblW w:w="5000" w:type="pct"/>
        <w:tblLook w:val="04A0" w:firstRow="1" w:lastRow="0" w:firstColumn="1" w:lastColumn="0" w:noHBand="0" w:noVBand="1"/>
      </w:tblPr>
      <w:tblGrid>
        <w:gridCol w:w="1067"/>
        <w:gridCol w:w="6080"/>
        <w:gridCol w:w="1879"/>
      </w:tblGrid>
      <w:tr w:rsidR="00CE7CCD" w:rsidRPr="00525DF8" w:rsidTr="004711A8">
        <w:trPr>
          <w:tblHeader/>
        </w:trPr>
        <w:tc>
          <w:tcPr>
            <w:tcW w:w="591" w:type="pct"/>
            <w:tcBorders>
              <w:top w:val="single" w:sz="4" w:space="0" w:color="auto"/>
              <w:bottom w:val="dotted" w:sz="4" w:space="0" w:color="auto"/>
            </w:tcBorders>
          </w:tcPr>
          <w:p w:rsidR="00CE7CCD" w:rsidRPr="00525DF8" w:rsidRDefault="00CE7CCD" w:rsidP="00BD3AF7">
            <w:pPr>
              <w:pStyle w:val="Caption"/>
            </w:pPr>
          </w:p>
        </w:tc>
        <w:tc>
          <w:tcPr>
            <w:tcW w:w="3368" w:type="pct"/>
            <w:tcBorders>
              <w:top w:val="single" w:sz="4" w:space="0" w:color="auto"/>
              <w:bottom w:val="dotted" w:sz="4" w:space="0" w:color="auto"/>
            </w:tcBorders>
          </w:tcPr>
          <w:p w:rsidR="00CE7CCD" w:rsidRPr="00525DF8" w:rsidRDefault="008D5C18" w:rsidP="00BD3AF7">
            <w:pPr>
              <w:pStyle w:val="Caption"/>
            </w:pPr>
            <w:r>
              <w:t>Actions</w:t>
            </w:r>
          </w:p>
        </w:tc>
        <w:tc>
          <w:tcPr>
            <w:tcW w:w="1041" w:type="pct"/>
            <w:tcBorders>
              <w:top w:val="single" w:sz="4" w:space="0" w:color="auto"/>
              <w:bottom w:val="dotted" w:sz="4" w:space="0" w:color="auto"/>
            </w:tcBorders>
          </w:tcPr>
          <w:p w:rsidR="00CE7CCD" w:rsidRPr="00525DF8" w:rsidRDefault="00CE7CCD" w:rsidP="00BD3AF7">
            <w:pPr>
              <w:pStyle w:val="Caption"/>
              <w:ind w:right="108"/>
            </w:pPr>
            <w:r w:rsidRPr="00525DF8">
              <w:t>Lead Agencies</w:t>
            </w:r>
          </w:p>
        </w:tc>
      </w:tr>
      <w:tr w:rsidR="00CE7CCD" w:rsidRPr="00525DF8" w:rsidTr="004711A8">
        <w:trPr>
          <w:cantSplit/>
        </w:trPr>
        <w:tc>
          <w:tcPr>
            <w:tcW w:w="591" w:type="pct"/>
            <w:tcBorders>
              <w:top w:val="dotted" w:sz="4" w:space="0" w:color="auto"/>
              <w:bottom w:val="dotted" w:sz="4" w:space="0" w:color="auto"/>
            </w:tcBorders>
          </w:tcPr>
          <w:p w:rsidR="00CE7CCD" w:rsidRPr="00525DF8" w:rsidRDefault="00FA435E" w:rsidP="00BD3AF7">
            <w:pPr>
              <w:pStyle w:val="Tabletext"/>
              <w:ind w:right="176"/>
            </w:pPr>
            <w:r>
              <w:t>1</w:t>
            </w:r>
            <w:r w:rsidR="00531787">
              <w:t>8</w:t>
            </w:r>
          </w:p>
        </w:tc>
        <w:tc>
          <w:tcPr>
            <w:tcW w:w="3368" w:type="pct"/>
            <w:tcBorders>
              <w:top w:val="dotted" w:sz="4" w:space="0" w:color="auto"/>
              <w:bottom w:val="dotted" w:sz="4" w:space="0" w:color="auto"/>
            </w:tcBorders>
          </w:tcPr>
          <w:p w:rsidR="00CE7CCD" w:rsidRPr="00525DF8" w:rsidRDefault="00CE7CCD" w:rsidP="00CE7CCD">
            <w:pPr>
              <w:pStyle w:val="Tabletext"/>
            </w:pPr>
            <w:r w:rsidRPr="00525DF8">
              <w:t>Ensure prosecution services are aware of the disability status of alleged offenders</w:t>
            </w:r>
          </w:p>
          <w:p w:rsidR="00CE7CCD" w:rsidRPr="00525DF8" w:rsidRDefault="00CE7CCD" w:rsidP="00BD3AF7">
            <w:pPr>
              <w:pStyle w:val="Tabletext"/>
            </w:pPr>
          </w:p>
        </w:tc>
        <w:tc>
          <w:tcPr>
            <w:tcW w:w="1041" w:type="pct"/>
            <w:tcBorders>
              <w:top w:val="dotted" w:sz="4" w:space="0" w:color="auto"/>
              <w:bottom w:val="dotted" w:sz="4" w:space="0" w:color="auto"/>
            </w:tcBorders>
          </w:tcPr>
          <w:p w:rsidR="00CE7CCD" w:rsidRPr="00525DF8" w:rsidRDefault="00CE7CCD" w:rsidP="00BD3AF7">
            <w:pPr>
              <w:pStyle w:val="Tabletext"/>
              <w:ind w:right="108"/>
            </w:pPr>
            <w:r w:rsidRPr="00525DF8">
              <w:t>Tasmania Police</w:t>
            </w:r>
          </w:p>
          <w:p w:rsidR="00CE7CCD" w:rsidRPr="00525DF8" w:rsidRDefault="00CE7CCD" w:rsidP="00BD3AF7">
            <w:pPr>
              <w:pStyle w:val="Tabletext"/>
              <w:ind w:right="108"/>
            </w:pPr>
            <w:r w:rsidRPr="00525DF8">
              <w:t>Office of the Director of Public Prosecutions</w:t>
            </w:r>
          </w:p>
        </w:tc>
      </w:tr>
      <w:tr w:rsidR="00FA435E" w:rsidRPr="00525DF8" w:rsidTr="004711A8">
        <w:trPr>
          <w:cantSplit/>
        </w:trPr>
        <w:tc>
          <w:tcPr>
            <w:tcW w:w="591" w:type="pct"/>
            <w:tcBorders>
              <w:top w:val="dotted" w:sz="4" w:space="0" w:color="auto"/>
              <w:bottom w:val="dotted" w:sz="4" w:space="0" w:color="auto"/>
            </w:tcBorders>
          </w:tcPr>
          <w:p w:rsidR="00FA435E" w:rsidRDefault="00DB3CFF" w:rsidP="00BD3AF7">
            <w:pPr>
              <w:pStyle w:val="Tabletext"/>
              <w:ind w:right="176"/>
            </w:pPr>
            <w:r>
              <w:t>1</w:t>
            </w:r>
            <w:r w:rsidR="00531787">
              <w:t>9</w:t>
            </w:r>
          </w:p>
        </w:tc>
        <w:tc>
          <w:tcPr>
            <w:tcW w:w="3368" w:type="pct"/>
            <w:tcBorders>
              <w:top w:val="dotted" w:sz="4" w:space="0" w:color="auto"/>
              <w:bottom w:val="dotted" w:sz="4" w:space="0" w:color="auto"/>
            </w:tcBorders>
          </w:tcPr>
          <w:p w:rsidR="00FA435E" w:rsidRDefault="00FA435E" w:rsidP="00CE7CCD">
            <w:pPr>
              <w:pStyle w:val="Tabletext"/>
            </w:pPr>
            <w:r>
              <w:t>Develop policy on use of video recorded witness statements</w:t>
            </w:r>
          </w:p>
          <w:p w:rsidR="00FA435E" w:rsidRDefault="00FA435E" w:rsidP="00CE7CCD">
            <w:pPr>
              <w:pStyle w:val="Tabletext"/>
            </w:pPr>
            <w:r>
              <w:t>for use in evidence</w:t>
            </w:r>
          </w:p>
          <w:p w:rsidR="00F46E42" w:rsidRPr="00525DF8" w:rsidRDefault="00F46E42" w:rsidP="00CE7CCD">
            <w:pPr>
              <w:pStyle w:val="Tabletext"/>
            </w:pPr>
          </w:p>
        </w:tc>
        <w:tc>
          <w:tcPr>
            <w:tcW w:w="1041" w:type="pct"/>
            <w:tcBorders>
              <w:top w:val="dotted" w:sz="4" w:space="0" w:color="auto"/>
              <w:bottom w:val="dotted" w:sz="4" w:space="0" w:color="auto"/>
            </w:tcBorders>
          </w:tcPr>
          <w:p w:rsidR="00FA435E" w:rsidRPr="00525DF8" w:rsidRDefault="00FA435E" w:rsidP="00BD3AF7">
            <w:pPr>
              <w:pStyle w:val="Tabletext"/>
              <w:ind w:right="108"/>
            </w:pPr>
            <w:r>
              <w:t>Office of the Director of Public Prosecutions</w:t>
            </w:r>
          </w:p>
        </w:tc>
      </w:tr>
    </w:tbl>
    <w:p w:rsidR="00CE7CCD" w:rsidRDefault="00FA435E" w:rsidP="00FA435E">
      <w:pPr>
        <w:tabs>
          <w:tab w:val="left" w:pos="1554"/>
        </w:tabs>
      </w:pPr>
      <w:r>
        <w:tab/>
      </w:r>
    </w:p>
    <w:p w:rsidR="00546EDA" w:rsidRDefault="00C81B3C" w:rsidP="00F03DEB">
      <w:pPr>
        <w:pStyle w:val="Heading1"/>
      </w:pPr>
      <w:bookmarkStart w:id="85" w:name="_Toc476819226"/>
      <w:bookmarkStart w:id="86" w:name="_Toc500835360"/>
      <w:bookmarkStart w:id="87" w:name="_Toc500835417"/>
      <w:bookmarkStart w:id="88" w:name="_Toc500835626"/>
      <w:bookmarkEnd w:id="84"/>
      <w:r>
        <w:t>Adopting d</w:t>
      </w:r>
      <w:r w:rsidR="00546EDA">
        <w:t>isability responsive court processes</w:t>
      </w:r>
      <w:bookmarkEnd w:id="85"/>
      <w:bookmarkEnd w:id="86"/>
      <w:bookmarkEnd w:id="87"/>
      <w:bookmarkEnd w:id="88"/>
    </w:p>
    <w:p w:rsidR="00994631" w:rsidRPr="0053308B" w:rsidRDefault="00994631" w:rsidP="00994631">
      <w:bookmarkStart w:id="89" w:name="_Toc476819227"/>
      <w:r w:rsidRPr="0053308B">
        <w:t xml:space="preserve">The accessibility of courts and court processes is </w:t>
      </w:r>
      <w:r>
        <w:t>highly relevant to</w:t>
      </w:r>
      <w:r w:rsidRPr="0053308B">
        <w:t xml:space="preserve"> ensuring access to justice for people with </w:t>
      </w:r>
      <w:r>
        <w:t xml:space="preserve">a </w:t>
      </w:r>
      <w:r w:rsidRPr="0053308B">
        <w:t>disability as victims</w:t>
      </w:r>
      <w:r>
        <w:t xml:space="preserve"> and/or</w:t>
      </w:r>
      <w:r w:rsidRPr="0053308B">
        <w:t xml:space="preserve"> defen</w:t>
      </w:r>
      <w:r>
        <w:t>dants</w:t>
      </w:r>
      <w:r w:rsidRPr="0053308B">
        <w:t>.</w:t>
      </w:r>
    </w:p>
    <w:p w:rsidR="00994631" w:rsidRPr="0053308B" w:rsidRDefault="00994631" w:rsidP="00994631">
      <w:r w:rsidRPr="0053308B">
        <w:t>Court procedures need to be as flexible as possible to meet the individual needs of a person with disability. This includes ensuring that adjustments are made where needed to things like the timing of the</w:t>
      </w:r>
      <w:r>
        <w:t xml:space="preserve"> case</w:t>
      </w:r>
      <w:r w:rsidRPr="0053308B">
        <w:t xml:space="preserve"> listing, the amount of breaks allowed or provided, the accessibility of the venue</w:t>
      </w:r>
      <w:r>
        <w:t>,</w:t>
      </w:r>
      <w:r w:rsidRPr="0053308B">
        <w:t xml:space="preserve"> and the ability to access and use communication devices </w:t>
      </w:r>
      <w:r>
        <w:t>and</w:t>
      </w:r>
      <w:r w:rsidRPr="0053308B">
        <w:t xml:space="preserve"> other relevant supports.</w:t>
      </w:r>
    </w:p>
    <w:p w:rsidR="00CE7CCD" w:rsidRDefault="00994631" w:rsidP="004711A8">
      <w:pPr>
        <w:spacing w:after="400"/>
      </w:pPr>
      <w:r>
        <w:t>The availability of therapeutic jurisprudence approaches, such as the Diversion List,</w:t>
      </w:r>
      <w:r w:rsidRPr="0053308B">
        <w:t xml:space="preserve"> </w:t>
      </w:r>
      <w:r>
        <w:t xml:space="preserve">is critical to </w:t>
      </w:r>
      <w:r w:rsidRPr="0053308B">
        <w:t>addressing the</w:t>
      </w:r>
      <w:r>
        <w:t xml:space="preserve"> particular needs of offenders with disability. It provides opportunities to break the cycle of offending and prevent the esc</w:t>
      </w:r>
      <w:r w:rsidR="004711A8">
        <w:t>alation of criminal behaviours.</w:t>
      </w:r>
    </w:p>
    <w:tbl>
      <w:tblPr>
        <w:tblW w:w="5000" w:type="pct"/>
        <w:tblLook w:val="04A0" w:firstRow="1" w:lastRow="0" w:firstColumn="1" w:lastColumn="0" w:noHBand="0" w:noVBand="1"/>
      </w:tblPr>
      <w:tblGrid>
        <w:gridCol w:w="1114"/>
        <w:gridCol w:w="6050"/>
        <w:gridCol w:w="1862"/>
      </w:tblGrid>
      <w:tr w:rsidR="00CE7CCD" w:rsidRPr="00525DF8" w:rsidTr="004711A8">
        <w:trPr>
          <w:tblHeader/>
        </w:trPr>
        <w:tc>
          <w:tcPr>
            <w:tcW w:w="600" w:type="pct"/>
            <w:tcBorders>
              <w:top w:val="single" w:sz="4" w:space="0" w:color="auto"/>
              <w:bottom w:val="dotted" w:sz="4" w:space="0" w:color="auto"/>
            </w:tcBorders>
          </w:tcPr>
          <w:p w:rsidR="00CE7CCD" w:rsidRPr="00525DF8" w:rsidRDefault="00CE7CCD" w:rsidP="00BD3AF7">
            <w:pPr>
              <w:pStyle w:val="Caption"/>
            </w:pPr>
          </w:p>
        </w:tc>
        <w:tc>
          <w:tcPr>
            <w:tcW w:w="3359" w:type="pct"/>
            <w:tcBorders>
              <w:top w:val="single" w:sz="4" w:space="0" w:color="auto"/>
              <w:bottom w:val="dotted" w:sz="4" w:space="0" w:color="auto"/>
            </w:tcBorders>
          </w:tcPr>
          <w:p w:rsidR="00CE7CCD" w:rsidRPr="00525DF8" w:rsidRDefault="008D5C18" w:rsidP="00BD3AF7">
            <w:pPr>
              <w:pStyle w:val="Caption"/>
            </w:pPr>
            <w:r>
              <w:t>Actions</w:t>
            </w:r>
          </w:p>
        </w:tc>
        <w:tc>
          <w:tcPr>
            <w:tcW w:w="1040" w:type="pct"/>
            <w:tcBorders>
              <w:top w:val="single" w:sz="4" w:space="0" w:color="auto"/>
              <w:bottom w:val="dotted" w:sz="4" w:space="0" w:color="auto"/>
            </w:tcBorders>
          </w:tcPr>
          <w:p w:rsidR="00CE7CCD" w:rsidRPr="00525DF8" w:rsidRDefault="00CE7CCD" w:rsidP="00BD3AF7">
            <w:pPr>
              <w:pStyle w:val="Caption"/>
              <w:ind w:right="108"/>
            </w:pPr>
            <w:r w:rsidRPr="00525DF8">
              <w:t>Lead Agencies</w:t>
            </w:r>
          </w:p>
        </w:tc>
      </w:tr>
      <w:tr w:rsidR="00CE7CCD" w:rsidRPr="00525DF8" w:rsidTr="004711A8">
        <w:trPr>
          <w:cantSplit/>
        </w:trPr>
        <w:tc>
          <w:tcPr>
            <w:tcW w:w="600" w:type="pct"/>
            <w:tcBorders>
              <w:top w:val="dotted" w:sz="4" w:space="0" w:color="auto"/>
              <w:bottom w:val="dotted" w:sz="4" w:space="0" w:color="auto"/>
            </w:tcBorders>
          </w:tcPr>
          <w:p w:rsidR="00CE7CCD" w:rsidRPr="00525DF8" w:rsidRDefault="00531787" w:rsidP="00BD3AF7">
            <w:pPr>
              <w:pStyle w:val="Tabletext"/>
              <w:ind w:right="678"/>
            </w:pPr>
            <w:r>
              <w:t>20</w:t>
            </w:r>
          </w:p>
        </w:tc>
        <w:tc>
          <w:tcPr>
            <w:tcW w:w="3359" w:type="pct"/>
            <w:tcBorders>
              <w:top w:val="dotted" w:sz="4" w:space="0" w:color="auto"/>
              <w:bottom w:val="dotted" w:sz="4" w:space="0" w:color="auto"/>
            </w:tcBorders>
          </w:tcPr>
          <w:p w:rsidR="00CE7CCD" w:rsidRPr="00525DF8" w:rsidRDefault="00CE7CCD" w:rsidP="00CE7CCD">
            <w:pPr>
              <w:pStyle w:val="Tabletext"/>
            </w:pPr>
            <w:bookmarkStart w:id="90" w:name="_Toc476819229"/>
            <w:r w:rsidRPr="00525DF8">
              <w:rPr>
                <w:shd w:val="clear" w:color="auto" w:fill="FFFFFF"/>
              </w:rPr>
              <w:t>Enable adjustments to court procedures to accommodate people with disability as victims, witnesses or offenders</w:t>
            </w:r>
            <w:bookmarkEnd w:id="90"/>
          </w:p>
          <w:p w:rsidR="00CE7CCD" w:rsidRPr="00525DF8" w:rsidRDefault="00CE7CCD" w:rsidP="00BD3AF7">
            <w:pPr>
              <w:pStyle w:val="Tabletext"/>
            </w:pPr>
          </w:p>
        </w:tc>
        <w:tc>
          <w:tcPr>
            <w:tcW w:w="1040" w:type="pct"/>
            <w:tcBorders>
              <w:top w:val="dotted" w:sz="4" w:space="0" w:color="auto"/>
              <w:bottom w:val="dotted" w:sz="4" w:space="0" w:color="auto"/>
            </w:tcBorders>
          </w:tcPr>
          <w:p w:rsidR="00CE7CCD" w:rsidRPr="00525DF8" w:rsidRDefault="00CE7CCD" w:rsidP="00BD3AF7">
            <w:pPr>
              <w:pStyle w:val="Tabletext"/>
              <w:ind w:right="108"/>
            </w:pPr>
            <w:r w:rsidRPr="00525DF8">
              <w:t>Magistrates Court</w:t>
            </w:r>
          </w:p>
          <w:p w:rsidR="00CE7CCD" w:rsidRPr="00525DF8" w:rsidRDefault="00CE7CCD" w:rsidP="00BD3AF7">
            <w:pPr>
              <w:pStyle w:val="Tabletext"/>
              <w:ind w:right="108"/>
            </w:pPr>
            <w:r w:rsidRPr="00525DF8">
              <w:t xml:space="preserve">Supreme Court </w:t>
            </w:r>
          </w:p>
        </w:tc>
      </w:tr>
      <w:tr w:rsidR="00CE7CCD" w:rsidRPr="00525DF8" w:rsidTr="004711A8">
        <w:trPr>
          <w:cantSplit/>
        </w:trPr>
        <w:tc>
          <w:tcPr>
            <w:tcW w:w="600" w:type="pct"/>
            <w:tcBorders>
              <w:top w:val="dotted" w:sz="4" w:space="0" w:color="auto"/>
              <w:bottom w:val="dotted" w:sz="4" w:space="0" w:color="auto"/>
            </w:tcBorders>
          </w:tcPr>
          <w:p w:rsidR="00CE7CCD" w:rsidRPr="00525DF8" w:rsidRDefault="00FA435E" w:rsidP="00BD3AF7">
            <w:pPr>
              <w:pStyle w:val="Tabletext"/>
              <w:ind w:right="678"/>
            </w:pPr>
            <w:r>
              <w:t>2</w:t>
            </w:r>
            <w:r w:rsidR="00531787">
              <w:t>1</w:t>
            </w:r>
          </w:p>
        </w:tc>
        <w:tc>
          <w:tcPr>
            <w:tcW w:w="3359" w:type="pct"/>
            <w:tcBorders>
              <w:top w:val="dotted" w:sz="4" w:space="0" w:color="auto"/>
              <w:bottom w:val="dotted" w:sz="4" w:space="0" w:color="auto"/>
            </w:tcBorders>
          </w:tcPr>
          <w:p w:rsidR="00DE1891" w:rsidRPr="00525DF8" w:rsidRDefault="00DE1891" w:rsidP="00DE1891">
            <w:pPr>
              <w:pStyle w:val="Tabletext"/>
            </w:pPr>
            <w:bookmarkStart w:id="91" w:name="_Toc476819230"/>
            <w:r w:rsidRPr="00525DF8">
              <w:t>Provide communication assistance for people with disability whe</w:t>
            </w:r>
            <w:r w:rsidR="008D5C18">
              <w:t>n</w:t>
            </w:r>
            <w:r w:rsidRPr="00525DF8">
              <w:t xml:space="preserve"> it is required</w:t>
            </w:r>
            <w:bookmarkEnd w:id="91"/>
          </w:p>
          <w:p w:rsidR="00CE7CCD" w:rsidRPr="00525DF8" w:rsidRDefault="00CE7CCD" w:rsidP="00BD3AF7">
            <w:pPr>
              <w:pStyle w:val="Tabletext"/>
            </w:pPr>
          </w:p>
        </w:tc>
        <w:tc>
          <w:tcPr>
            <w:tcW w:w="1040" w:type="pct"/>
            <w:tcBorders>
              <w:top w:val="dotted" w:sz="4" w:space="0" w:color="auto"/>
              <w:bottom w:val="dotted" w:sz="4" w:space="0" w:color="auto"/>
            </w:tcBorders>
          </w:tcPr>
          <w:p w:rsidR="00CE7CCD" w:rsidRDefault="008D5C18" w:rsidP="008D5C18">
            <w:pPr>
              <w:pStyle w:val="Tabletext"/>
              <w:ind w:right="108"/>
            </w:pPr>
            <w:r>
              <w:t>Magistrates Court</w:t>
            </w:r>
          </w:p>
          <w:p w:rsidR="008D5C18" w:rsidRDefault="008D5C18" w:rsidP="008D5C18">
            <w:pPr>
              <w:pStyle w:val="Tabletext"/>
              <w:ind w:right="108"/>
            </w:pPr>
            <w:r>
              <w:t>Supreme Court</w:t>
            </w:r>
          </w:p>
          <w:p w:rsidR="008D5C18" w:rsidRPr="00525DF8" w:rsidRDefault="008D5C18" w:rsidP="008D5C18">
            <w:pPr>
              <w:pStyle w:val="Tabletext"/>
              <w:ind w:right="108"/>
            </w:pPr>
            <w:r>
              <w:t>DPP</w:t>
            </w:r>
          </w:p>
        </w:tc>
      </w:tr>
    </w:tbl>
    <w:p w:rsidR="00CE7CCD" w:rsidRDefault="00CE7CCD" w:rsidP="00CE7CCD"/>
    <w:p w:rsidR="00322CD2" w:rsidRDefault="00C81B3C" w:rsidP="00F03DEB">
      <w:pPr>
        <w:pStyle w:val="Heading1"/>
      </w:pPr>
      <w:bookmarkStart w:id="92" w:name="_Toc476819234"/>
      <w:bookmarkStart w:id="93" w:name="_Toc500835361"/>
      <w:bookmarkStart w:id="94" w:name="_Toc500835418"/>
      <w:bookmarkStart w:id="95" w:name="_Toc500835627"/>
      <w:bookmarkEnd w:id="89"/>
      <w:r>
        <w:t>Implementing d</w:t>
      </w:r>
      <w:r w:rsidR="003F0039">
        <w:t>isability responsive youth</w:t>
      </w:r>
      <w:r w:rsidR="003F0039">
        <w:br/>
      </w:r>
      <w:r w:rsidR="00322CD2">
        <w:t>justice services</w:t>
      </w:r>
      <w:bookmarkEnd w:id="92"/>
      <w:bookmarkEnd w:id="93"/>
      <w:bookmarkEnd w:id="94"/>
      <w:bookmarkEnd w:id="95"/>
    </w:p>
    <w:p w:rsidR="00994631" w:rsidRPr="00D62C4D" w:rsidRDefault="00994631" w:rsidP="00994631">
      <w:bookmarkStart w:id="96" w:name="_Toc476819235"/>
      <w:r w:rsidRPr="00D62C4D">
        <w:t xml:space="preserve">All children who come into contact with the youth justice system are vulnerable by virtue of their age and developmental immaturity. Many however, have additional vulnerabilities, including </w:t>
      </w:r>
      <w:r>
        <w:t xml:space="preserve">as a result of having </w:t>
      </w:r>
      <w:r w:rsidRPr="00D62C4D">
        <w:t>impairments. It is well established that children who offend have more complex health and support needs than other children of their age. The health and wellbeing needs of these children tend to be particularly severe by the time they are at risk of receiving a community sentence, and even more so when they receive a custodial sentence.</w:t>
      </w:r>
    </w:p>
    <w:p w:rsidR="00FA4BFF" w:rsidRDefault="00994631" w:rsidP="003C08AA">
      <w:pPr>
        <w:spacing w:after="400"/>
      </w:pPr>
      <w:r w:rsidRPr="00D62C4D">
        <w:t>High numbers of children who offend have health, education and social care needs which, if not met at an early age, can lead to a lifetime of declining health and worsening offending behaviour, with significant long term costs to the taxpayer and to the victims of these crimes.</w:t>
      </w:r>
    </w:p>
    <w:tbl>
      <w:tblPr>
        <w:tblW w:w="5000" w:type="pct"/>
        <w:tblLook w:val="04A0" w:firstRow="1" w:lastRow="0" w:firstColumn="1" w:lastColumn="0" w:noHBand="0" w:noVBand="1"/>
      </w:tblPr>
      <w:tblGrid>
        <w:gridCol w:w="1114"/>
        <w:gridCol w:w="6050"/>
        <w:gridCol w:w="1862"/>
      </w:tblGrid>
      <w:tr w:rsidR="00FA4BFF" w:rsidRPr="00525DF8" w:rsidTr="004711A8">
        <w:trPr>
          <w:tblHeader/>
        </w:trPr>
        <w:tc>
          <w:tcPr>
            <w:tcW w:w="600" w:type="pct"/>
            <w:tcBorders>
              <w:top w:val="single" w:sz="4" w:space="0" w:color="auto"/>
              <w:bottom w:val="dotted" w:sz="4" w:space="0" w:color="auto"/>
            </w:tcBorders>
          </w:tcPr>
          <w:p w:rsidR="00FA4BFF" w:rsidRPr="00525DF8" w:rsidRDefault="00FA4BFF" w:rsidP="00BD3AF7">
            <w:pPr>
              <w:pStyle w:val="Caption"/>
            </w:pPr>
          </w:p>
        </w:tc>
        <w:tc>
          <w:tcPr>
            <w:tcW w:w="3360" w:type="pct"/>
            <w:tcBorders>
              <w:top w:val="single" w:sz="4" w:space="0" w:color="auto"/>
              <w:bottom w:val="dotted" w:sz="4" w:space="0" w:color="auto"/>
            </w:tcBorders>
          </w:tcPr>
          <w:p w:rsidR="00FA4BFF" w:rsidRPr="00525DF8" w:rsidRDefault="008D5C18" w:rsidP="00BD3AF7">
            <w:pPr>
              <w:pStyle w:val="Caption"/>
            </w:pPr>
            <w:r>
              <w:t>Actions</w:t>
            </w:r>
          </w:p>
        </w:tc>
        <w:tc>
          <w:tcPr>
            <w:tcW w:w="1040" w:type="pct"/>
            <w:tcBorders>
              <w:top w:val="single" w:sz="4" w:space="0" w:color="auto"/>
              <w:bottom w:val="dotted" w:sz="4" w:space="0" w:color="auto"/>
            </w:tcBorders>
          </w:tcPr>
          <w:p w:rsidR="00FA4BFF" w:rsidRPr="00525DF8" w:rsidRDefault="00FA4BFF" w:rsidP="00BD3AF7">
            <w:pPr>
              <w:pStyle w:val="Caption"/>
              <w:ind w:right="108"/>
            </w:pPr>
            <w:r w:rsidRPr="00525DF8">
              <w:t>Lead Agencies</w:t>
            </w:r>
          </w:p>
        </w:tc>
      </w:tr>
      <w:tr w:rsidR="00FA4BFF" w:rsidRPr="00525DF8" w:rsidTr="004711A8">
        <w:trPr>
          <w:cantSplit/>
        </w:trPr>
        <w:tc>
          <w:tcPr>
            <w:tcW w:w="600" w:type="pct"/>
            <w:tcBorders>
              <w:top w:val="dotted" w:sz="4" w:space="0" w:color="auto"/>
              <w:bottom w:val="dotted" w:sz="4" w:space="0" w:color="auto"/>
            </w:tcBorders>
          </w:tcPr>
          <w:p w:rsidR="00FA4BFF" w:rsidRPr="00525DF8" w:rsidRDefault="00D76D59" w:rsidP="00BD3AF7">
            <w:pPr>
              <w:pStyle w:val="Tabletext"/>
              <w:ind w:right="176"/>
            </w:pPr>
            <w:r>
              <w:t>2</w:t>
            </w:r>
            <w:r w:rsidR="00531787">
              <w:t>2</w:t>
            </w:r>
          </w:p>
        </w:tc>
        <w:tc>
          <w:tcPr>
            <w:tcW w:w="3360" w:type="pct"/>
            <w:tcBorders>
              <w:top w:val="dotted" w:sz="4" w:space="0" w:color="auto"/>
              <w:bottom w:val="dotted" w:sz="4" w:space="0" w:color="auto"/>
            </w:tcBorders>
          </w:tcPr>
          <w:p w:rsidR="00FA4BFF" w:rsidRPr="00525DF8" w:rsidRDefault="00723D94" w:rsidP="00FA4BFF">
            <w:pPr>
              <w:pStyle w:val="Tabletext"/>
            </w:pPr>
            <w:r>
              <w:t>Consistent with the Youth at Risk Strategy, the development of a Vulnerability/Wellbeing Assessment Tool that will be used to earlier identify the needs of vulnerable young people in Tasmania</w:t>
            </w:r>
          </w:p>
          <w:p w:rsidR="00FA4BFF" w:rsidRPr="00525DF8" w:rsidRDefault="00FA4BFF" w:rsidP="00BD3AF7">
            <w:pPr>
              <w:pStyle w:val="Tabletext"/>
            </w:pPr>
          </w:p>
        </w:tc>
        <w:tc>
          <w:tcPr>
            <w:tcW w:w="1040" w:type="pct"/>
            <w:tcBorders>
              <w:top w:val="dotted" w:sz="4" w:space="0" w:color="auto"/>
              <w:bottom w:val="dotted" w:sz="4" w:space="0" w:color="auto"/>
            </w:tcBorders>
          </w:tcPr>
          <w:p w:rsidR="00FA4BFF" w:rsidRPr="00525DF8" w:rsidRDefault="00FA4BFF" w:rsidP="00BD3AF7">
            <w:pPr>
              <w:pStyle w:val="Tabletext"/>
              <w:ind w:right="108"/>
            </w:pPr>
            <w:r w:rsidRPr="00525DF8">
              <w:t>Health and Human Services</w:t>
            </w:r>
          </w:p>
        </w:tc>
      </w:tr>
      <w:tr w:rsidR="00FA4BFF" w:rsidRPr="00525DF8" w:rsidTr="004711A8">
        <w:trPr>
          <w:cantSplit/>
        </w:trPr>
        <w:tc>
          <w:tcPr>
            <w:tcW w:w="600" w:type="pct"/>
            <w:tcBorders>
              <w:top w:val="dotted" w:sz="4" w:space="0" w:color="auto"/>
              <w:bottom w:val="dotted" w:sz="4" w:space="0" w:color="auto"/>
            </w:tcBorders>
          </w:tcPr>
          <w:p w:rsidR="00FA4BFF" w:rsidRPr="00525DF8" w:rsidRDefault="00D76D59" w:rsidP="00BD3AF7">
            <w:pPr>
              <w:pStyle w:val="Tabletext"/>
              <w:ind w:right="678"/>
            </w:pPr>
            <w:r>
              <w:t>2</w:t>
            </w:r>
            <w:r w:rsidR="00985559">
              <w:t>3</w:t>
            </w:r>
          </w:p>
        </w:tc>
        <w:tc>
          <w:tcPr>
            <w:tcW w:w="3360" w:type="pct"/>
            <w:tcBorders>
              <w:top w:val="dotted" w:sz="4" w:space="0" w:color="auto"/>
              <w:bottom w:val="dotted" w:sz="4" w:space="0" w:color="auto"/>
            </w:tcBorders>
          </w:tcPr>
          <w:p w:rsidR="00FA4BFF" w:rsidRPr="00525DF8" w:rsidRDefault="00723D94" w:rsidP="00FA4BFF">
            <w:pPr>
              <w:pStyle w:val="Tabletext"/>
            </w:pPr>
            <w:r>
              <w:t>Consideration of national and international research to develop an improved understanding of Foetal Alcohol Syndrome Disorder</w:t>
            </w:r>
          </w:p>
          <w:p w:rsidR="00FA4BFF" w:rsidRPr="00525DF8" w:rsidRDefault="00FA4BFF" w:rsidP="00BD3AF7">
            <w:pPr>
              <w:pStyle w:val="Tabletext"/>
            </w:pPr>
          </w:p>
        </w:tc>
        <w:tc>
          <w:tcPr>
            <w:tcW w:w="1040" w:type="pct"/>
            <w:tcBorders>
              <w:top w:val="dotted" w:sz="4" w:space="0" w:color="auto"/>
              <w:bottom w:val="dotted" w:sz="4" w:space="0" w:color="auto"/>
            </w:tcBorders>
          </w:tcPr>
          <w:p w:rsidR="00FA4BFF" w:rsidRPr="00525DF8" w:rsidRDefault="00FA4BFF" w:rsidP="00BD3AF7">
            <w:pPr>
              <w:pStyle w:val="Tabletext"/>
              <w:ind w:right="108"/>
            </w:pPr>
            <w:r w:rsidRPr="00525DF8">
              <w:t>Health and Human Services</w:t>
            </w:r>
          </w:p>
        </w:tc>
      </w:tr>
    </w:tbl>
    <w:p w:rsidR="00FA4BFF" w:rsidRDefault="00FA4BFF" w:rsidP="00FA4BFF"/>
    <w:p w:rsidR="007E3420" w:rsidRDefault="00C81B3C" w:rsidP="00F03DEB">
      <w:pPr>
        <w:pStyle w:val="Heading1"/>
      </w:pPr>
      <w:bookmarkStart w:id="97" w:name="_Toc476819240"/>
      <w:bookmarkStart w:id="98" w:name="_Toc500835362"/>
      <w:bookmarkStart w:id="99" w:name="_Toc500835419"/>
      <w:bookmarkStart w:id="100" w:name="_Toc500835628"/>
      <w:bookmarkEnd w:id="96"/>
      <w:r>
        <w:t>Promoting the r</w:t>
      </w:r>
      <w:r w:rsidR="007E3420">
        <w:t xml:space="preserve">ehabilitation and reintegration of </w:t>
      </w:r>
      <w:r>
        <w:t>offenders</w:t>
      </w:r>
      <w:r w:rsidR="007E3420">
        <w:t xml:space="preserve"> with disability</w:t>
      </w:r>
      <w:bookmarkEnd w:id="97"/>
      <w:bookmarkEnd w:id="98"/>
      <w:bookmarkEnd w:id="99"/>
      <w:bookmarkEnd w:id="100"/>
    </w:p>
    <w:p w:rsidR="0081135A" w:rsidRDefault="0081135A" w:rsidP="0081135A">
      <w:bookmarkStart w:id="101" w:name="_Toc476819241"/>
      <w:r>
        <w:t>Community Corrections is responsible for supervising offenders in the community and has a critical role to play in working with offenders to address their offending behaviour and assist in reintegrating them into the community.</w:t>
      </w:r>
    </w:p>
    <w:p w:rsidR="00FA4BFF" w:rsidRDefault="0081135A" w:rsidP="003C08AA">
      <w:pPr>
        <w:spacing w:after="400"/>
      </w:pPr>
      <w:r>
        <w:t>Interventions that focus on rehabilitation and addressing the underlying causes of offending behaviour are effective in a number of ways and are critical to addressing the needs of people with disability in the justice system.</w:t>
      </w:r>
    </w:p>
    <w:tbl>
      <w:tblPr>
        <w:tblW w:w="5000" w:type="pct"/>
        <w:tblLook w:val="04A0" w:firstRow="1" w:lastRow="0" w:firstColumn="1" w:lastColumn="0" w:noHBand="0" w:noVBand="1"/>
      </w:tblPr>
      <w:tblGrid>
        <w:gridCol w:w="1067"/>
        <w:gridCol w:w="6080"/>
        <w:gridCol w:w="1879"/>
      </w:tblGrid>
      <w:tr w:rsidR="00FA4BFF" w:rsidRPr="00525DF8" w:rsidTr="004711A8">
        <w:trPr>
          <w:tblHeader/>
        </w:trPr>
        <w:tc>
          <w:tcPr>
            <w:tcW w:w="591" w:type="pct"/>
            <w:tcBorders>
              <w:top w:val="single" w:sz="4" w:space="0" w:color="auto"/>
              <w:bottom w:val="dotted" w:sz="4" w:space="0" w:color="auto"/>
            </w:tcBorders>
          </w:tcPr>
          <w:p w:rsidR="00FA4BFF" w:rsidRPr="00525DF8" w:rsidRDefault="00FA4BFF" w:rsidP="00BD3AF7">
            <w:pPr>
              <w:pStyle w:val="Caption"/>
            </w:pPr>
          </w:p>
        </w:tc>
        <w:tc>
          <w:tcPr>
            <w:tcW w:w="3368" w:type="pct"/>
            <w:tcBorders>
              <w:top w:val="single" w:sz="4" w:space="0" w:color="auto"/>
              <w:bottom w:val="dotted" w:sz="4" w:space="0" w:color="auto"/>
            </w:tcBorders>
          </w:tcPr>
          <w:p w:rsidR="00FA4BFF" w:rsidRPr="00525DF8" w:rsidRDefault="008D5C18" w:rsidP="00BD3AF7">
            <w:pPr>
              <w:pStyle w:val="Caption"/>
            </w:pPr>
            <w:r>
              <w:t>Actions</w:t>
            </w:r>
          </w:p>
        </w:tc>
        <w:tc>
          <w:tcPr>
            <w:tcW w:w="1041" w:type="pct"/>
            <w:tcBorders>
              <w:top w:val="single" w:sz="4" w:space="0" w:color="auto"/>
              <w:bottom w:val="dotted" w:sz="4" w:space="0" w:color="auto"/>
            </w:tcBorders>
          </w:tcPr>
          <w:p w:rsidR="00FA4BFF" w:rsidRPr="00525DF8" w:rsidRDefault="00FA4BFF" w:rsidP="00BD3AF7">
            <w:pPr>
              <w:pStyle w:val="Caption"/>
              <w:ind w:right="108"/>
            </w:pPr>
            <w:r w:rsidRPr="00525DF8">
              <w:t>Lead Agencies</w:t>
            </w:r>
          </w:p>
        </w:tc>
      </w:tr>
      <w:tr w:rsidR="00FA4BFF" w:rsidRPr="00525DF8" w:rsidTr="004711A8">
        <w:trPr>
          <w:cantSplit/>
        </w:trPr>
        <w:tc>
          <w:tcPr>
            <w:tcW w:w="591" w:type="pct"/>
            <w:tcBorders>
              <w:top w:val="dotted" w:sz="4" w:space="0" w:color="auto"/>
              <w:bottom w:val="dotted" w:sz="4" w:space="0" w:color="auto"/>
            </w:tcBorders>
          </w:tcPr>
          <w:p w:rsidR="00FA4BFF" w:rsidRPr="00525DF8" w:rsidRDefault="00D76D59" w:rsidP="00BD3AF7">
            <w:pPr>
              <w:pStyle w:val="Tabletext"/>
              <w:ind w:right="176"/>
            </w:pPr>
            <w:r>
              <w:t>2</w:t>
            </w:r>
            <w:r w:rsidR="00985559">
              <w:t>4</w:t>
            </w:r>
          </w:p>
        </w:tc>
        <w:tc>
          <w:tcPr>
            <w:tcW w:w="3368" w:type="pct"/>
            <w:tcBorders>
              <w:top w:val="dotted" w:sz="4" w:space="0" w:color="auto"/>
              <w:bottom w:val="dotted" w:sz="4" w:space="0" w:color="auto"/>
            </w:tcBorders>
          </w:tcPr>
          <w:p w:rsidR="00FA4BFF" w:rsidRPr="00525DF8" w:rsidRDefault="00FA4BFF" w:rsidP="00BD3AF7">
            <w:pPr>
              <w:pStyle w:val="Tabletext"/>
            </w:pPr>
            <w:r w:rsidRPr="00525DF8">
              <w:t xml:space="preserve">Improve the capacity to identify disability </w:t>
            </w:r>
            <w:r w:rsidR="00D76D59">
              <w:t xml:space="preserve">through use of a screening tool </w:t>
            </w:r>
            <w:r w:rsidRPr="00525DF8">
              <w:t>and provide enhanced rehabilitation and reintegration options for offenders on community corrections orders</w:t>
            </w:r>
            <w:r w:rsidR="00D76D59">
              <w:t xml:space="preserve"> through the case management model</w:t>
            </w:r>
          </w:p>
        </w:tc>
        <w:tc>
          <w:tcPr>
            <w:tcW w:w="1041" w:type="pct"/>
            <w:tcBorders>
              <w:top w:val="dotted" w:sz="4" w:space="0" w:color="auto"/>
              <w:bottom w:val="dotted" w:sz="4" w:space="0" w:color="auto"/>
            </w:tcBorders>
          </w:tcPr>
          <w:p w:rsidR="00FA4BFF" w:rsidRPr="00525DF8" w:rsidRDefault="00FA4BFF" w:rsidP="00BD3AF7">
            <w:pPr>
              <w:pStyle w:val="Tabletext"/>
              <w:ind w:right="108"/>
            </w:pPr>
            <w:r w:rsidRPr="00525DF8">
              <w:t>Community Corrections</w:t>
            </w:r>
          </w:p>
        </w:tc>
      </w:tr>
      <w:tr w:rsidR="00D76D59" w:rsidRPr="00525DF8" w:rsidTr="004711A8">
        <w:trPr>
          <w:cantSplit/>
        </w:trPr>
        <w:tc>
          <w:tcPr>
            <w:tcW w:w="591" w:type="pct"/>
            <w:tcBorders>
              <w:top w:val="dotted" w:sz="4" w:space="0" w:color="auto"/>
              <w:bottom w:val="dotted" w:sz="4" w:space="0" w:color="auto"/>
            </w:tcBorders>
          </w:tcPr>
          <w:p w:rsidR="00D76D59" w:rsidRDefault="00D76D59" w:rsidP="00BD3AF7">
            <w:pPr>
              <w:pStyle w:val="Tabletext"/>
              <w:ind w:right="176"/>
            </w:pPr>
            <w:r>
              <w:t>2</w:t>
            </w:r>
            <w:r w:rsidR="00985559">
              <w:t>5</w:t>
            </w:r>
          </w:p>
        </w:tc>
        <w:tc>
          <w:tcPr>
            <w:tcW w:w="3368" w:type="pct"/>
            <w:tcBorders>
              <w:top w:val="dotted" w:sz="4" w:space="0" w:color="auto"/>
              <w:bottom w:val="dotted" w:sz="4" w:space="0" w:color="auto"/>
            </w:tcBorders>
          </w:tcPr>
          <w:p w:rsidR="00D76D59" w:rsidRDefault="00D76D59" w:rsidP="00FA4BFF">
            <w:pPr>
              <w:pStyle w:val="Tabletext"/>
            </w:pPr>
            <w:r>
              <w:t>Train Community Corrections staff to recognise and better respond to offenders with disability</w:t>
            </w:r>
          </w:p>
          <w:p w:rsidR="00F46E42" w:rsidRPr="00525DF8" w:rsidRDefault="00F46E42" w:rsidP="00FA4BFF">
            <w:pPr>
              <w:pStyle w:val="Tabletext"/>
            </w:pPr>
          </w:p>
        </w:tc>
        <w:tc>
          <w:tcPr>
            <w:tcW w:w="1041" w:type="pct"/>
            <w:tcBorders>
              <w:top w:val="dotted" w:sz="4" w:space="0" w:color="auto"/>
              <w:bottom w:val="dotted" w:sz="4" w:space="0" w:color="auto"/>
            </w:tcBorders>
          </w:tcPr>
          <w:p w:rsidR="00D76D59" w:rsidRPr="00525DF8" w:rsidRDefault="00D76D59" w:rsidP="00BD3AF7">
            <w:pPr>
              <w:pStyle w:val="Tabletext"/>
              <w:ind w:right="108"/>
            </w:pPr>
            <w:r>
              <w:t>Community Corrections</w:t>
            </w:r>
          </w:p>
        </w:tc>
      </w:tr>
      <w:tr w:rsidR="00D76D59" w:rsidRPr="00525DF8" w:rsidTr="004711A8">
        <w:trPr>
          <w:cantSplit/>
        </w:trPr>
        <w:tc>
          <w:tcPr>
            <w:tcW w:w="591" w:type="pct"/>
            <w:tcBorders>
              <w:top w:val="dotted" w:sz="4" w:space="0" w:color="auto"/>
              <w:bottom w:val="dotted" w:sz="4" w:space="0" w:color="auto"/>
            </w:tcBorders>
          </w:tcPr>
          <w:p w:rsidR="00D76D59" w:rsidRDefault="00D76D59" w:rsidP="00BD3AF7">
            <w:pPr>
              <w:pStyle w:val="Tabletext"/>
              <w:ind w:right="176"/>
            </w:pPr>
            <w:r>
              <w:t>2</w:t>
            </w:r>
            <w:r w:rsidR="00985559">
              <w:t>6</w:t>
            </w:r>
          </w:p>
        </w:tc>
        <w:tc>
          <w:tcPr>
            <w:tcW w:w="3368" w:type="pct"/>
            <w:tcBorders>
              <w:top w:val="dotted" w:sz="4" w:space="0" w:color="auto"/>
              <w:bottom w:val="dotted" w:sz="4" w:space="0" w:color="auto"/>
            </w:tcBorders>
          </w:tcPr>
          <w:p w:rsidR="00D76D59" w:rsidRDefault="00D76D59" w:rsidP="00FA4BFF">
            <w:pPr>
              <w:pStyle w:val="Tabletext"/>
            </w:pPr>
            <w:r>
              <w:t>Include a focus on dis</w:t>
            </w:r>
            <w:r w:rsidR="00531787">
              <w:t>ability in the case management</w:t>
            </w:r>
            <w:r>
              <w:t xml:space="preserve"> model being developed and implemented</w:t>
            </w:r>
          </w:p>
          <w:p w:rsidR="00F46E42" w:rsidRDefault="00F46E42" w:rsidP="00FA4BFF">
            <w:pPr>
              <w:pStyle w:val="Tabletext"/>
            </w:pPr>
          </w:p>
        </w:tc>
        <w:tc>
          <w:tcPr>
            <w:tcW w:w="1041" w:type="pct"/>
            <w:tcBorders>
              <w:top w:val="dotted" w:sz="4" w:space="0" w:color="auto"/>
              <w:bottom w:val="dotted" w:sz="4" w:space="0" w:color="auto"/>
            </w:tcBorders>
          </w:tcPr>
          <w:p w:rsidR="00D76D59" w:rsidRPr="00525DF8" w:rsidRDefault="00D76D59" w:rsidP="00BD3AF7">
            <w:pPr>
              <w:pStyle w:val="Tabletext"/>
              <w:ind w:right="108"/>
            </w:pPr>
            <w:r>
              <w:t>Community Corrections</w:t>
            </w:r>
          </w:p>
        </w:tc>
      </w:tr>
    </w:tbl>
    <w:p w:rsidR="00FA4BFF" w:rsidRDefault="00FA4BFF" w:rsidP="00FA4BFF"/>
    <w:p w:rsidR="00FD4303" w:rsidRDefault="00772AF9" w:rsidP="00F03DEB">
      <w:pPr>
        <w:pStyle w:val="Heading1"/>
      </w:pPr>
      <w:bookmarkStart w:id="102" w:name="_Toc476819242"/>
      <w:bookmarkStart w:id="103" w:name="_Toc500835363"/>
      <w:bookmarkStart w:id="104" w:name="_Toc500835420"/>
      <w:bookmarkStart w:id="105" w:name="_Toc500835629"/>
      <w:bookmarkEnd w:id="101"/>
      <w:r>
        <w:t>Providing d</w:t>
      </w:r>
      <w:r w:rsidR="004D051F">
        <w:t>isability ready and responsive</w:t>
      </w:r>
      <w:r w:rsidR="004D051F">
        <w:br/>
      </w:r>
      <w:r w:rsidR="005D0AD7">
        <w:t>prison services</w:t>
      </w:r>
      <w:bookmarkEnd w:id="102"/>
      <w:bookmarkEnd w:id="103"/>
      <w:bookmarkEnd w:id="104"/>
      <w:bookmarkEnd w:id="105"/>
    </w:p>
    <w:p w:rsidR="0081135A" w:rsidRDefault="0081135A" w:rsidP="0081135A">
      <w:bookmarkStart w:id="106" w:name="_Toc476819243"/>
      <w:r>
        <w:t>The development of a more comprehensive approach to the screening and identification of prisoners with disability, including information about their type of disability, is the first step in developing a system that will better address issues associated with their condition and how they may be managed during their period of incarceration.</w:t>
      </w:r>
    </w:p>
    <w:p w:rsidR="00FA4BFF" w:rsidRDefault="004A5519" w:rsidP="008547C5">
      <w:pPr>
        <w:spacing w:after="400"/>
      </w:pPr>
      <w:r>
        <w:t>It is critical that correctional and associated services deliver the sorts of interventions to people with disability in prison that will reduce the risk of re-offending and encourage effective reintegration into the community on release.</w:t>
      </w:r>
    </w:p>
    <w:tbl>
      <w:tblPr>
        <w:tblW w:w="5000" w:type="pct"/>
        <w:tblLook w:val="04A0" w:firstRow="1" w:lastRow="0" w:firstColumn="1" w:lastColumn="0" w:noHBand="0" w:noVBand="1"/>
      </w:tblPr>
      <w:tblGrid>
        <w:gridCol w:w="1114"/>
        <w:gridCol w:w="5406"/>
        <w:gridCol w:w="2506"/>
      </w:tblGrid>
      <w:tr w:rsidR="00FA4BFF" w:rsidRPr="00525DF8" w:rsidTr="007424B8">
        <w:trPr>
          <w:tblHeader/>
        </w:trPr>
        <w:tc>
          <w:tcPr>
            <w:tcW w:w="617" w:type="pct"/>
            <w:tcBorders>
              <w:top w:val="single" w:sz="4" w:space="0" w:color="auto"/>
              <w:bottom w:val="dotted" w:sz="4" w:space="0" w:color="auto"/>
            </w:tcBorders>
          </w:tcPr>
          <w:p w:rsidR="00FA4BFF" w:rsidRPr="00525DF8" w:rsidRDefault="00FA4BFF" w:rsidP="00BD3AF7">
            <w:pPr>
              <w:pStyle w:val="Caption"/>
            </w:pPr>
          </w:p>
        </w:tc>
        <w:tc>
          <w:tcPr>
            <w:tcW w:w="2995" w:type="pct"/>
            <w:tcBorders>
              <w:top w:val="single" w:sz="4" w:space="0" w:color="auto"/>
              <w:bottom w:val="dotted" w:sz="4" w:space="0" w:color="auto"/>
            </w:tcBorders>
          </w:tcPr>
          <w:p w:rsidR="00FA4BFF" w:rsidRPr="00525DF8" w:rsidRDefault="005744A2" w:rsidP="00BD3AF7">
            <w:pPr>
              <w:pStyle w:val="Caption"/>
            </w:pPr>
            <w:r>
              <w:t>Actions</w:t>
            </w:r>
          </w:p>
        </w:tc>
        <w:tc>
          <w:tcPr>
            <w:tcW w:w="1388" w:type="pct"/>
            <w:tcBorders>
              <w:top w:val="single" w:sz="4" w:space="0" w:color="auto"/>
              <w:bottom w:val="dotted" w:sz="4" w:space="0" w:color="auto"/>
            </w:tcBorders>
          </w:tcPr>
          <w:p w:rsidR="00FA4BFF" w:rsidRPr="00525DF8" w:rsidRDefault="00FA4BFF" w:rsidP="00BD3AF7">
            <w:pPr>
              <w:pStyle w:val="Caption"/>
              <w:ind w:right="108"/>
            </w:pPr>
            <w:r w:rsidRPr="00525DF8">
              <w:t>Lead Agencies</w:t>
            </w:r>
          </w:p>
        </w:tc>
      </w:tr>
      <w:tr w:rsidR="00FA4BFF" w:rsidRPr="00525DF8" w:rsidTr="007424B8">
        <w:tc>
          <w:tcPr>
            <w:tcW w:w="617" w:type="pct"/>
            <w:tcBorders>
              <w:top w:val="dotted" w:sz="4" w:space="0" w:color="auto"/>
              <w:bottom w:val="dotted" w:sz="4" w:space="0" w:color="auto"/>
            </w:tcBorders>
          </w:tcPr>
          <w:p w:rsidR="00FA4BFF" w:rsidRPr="00525DF8" w:rsidRDefault="00B475A1" w:rsidP="00FA4BFF">
            <w:pPr>
              <w:pStyle w:val="Tabletext"/>
              <w:ind w:right="678"/>
            </w:pPr>
            <w:r>
              <w:t>2</w:t>
            </w:r>
            <w:r w:rsidR="00985559">
              <w:t>7</w:t>
            </w:r>
          </w:p>
        </w:tc>
        <w:tc>
          <w:tcPr>
            <w:tcW w:w="2995" w:type="pct"/>
            <w:tcBorders>
              <w:top w:val="dotted" w:sz="4" w:space="0" w:color="auto"/>
              <w:bottom w:val="dotted" w:sz="4" w:space="0" w:color="auto"/>
            </w:tcBorders>
          </w:tcPr>
          <w:p w:rsidR="00FA4BFF" w:rsidRPr="00525DF8" w:rsidRDefault="00FA4BFF" w:rsidP="00FA4BFF">
            <w:pPr>
              <w:pStyle w:val="Tabletext"/>
            </w:pPr>
            <w:bookmarkStart w:id="107" w:name="_Toc476819244"/>
            <w:r w:rsidRPr="00525DF8">
              <w:t>Improve screening and assessment of prisoners to identify the presence of disability</w:t>
            </w:r>
            <w:bookmarkEnd w:id="107"/>
          </w:p>
          <w:p w:rsidR="00FA4BFF" w:rsidRPr="00525DF8" w:rsidRDefault="00FA4BFF" w:rsidP="00BD3AF7">
            <w:pPr>
              <w:pStyle w:val="Tabletext"/>
              <w:ind w:right="678"/>
            </w:pPr>
          </w:p>
        </w:tc>
        <w:tc>
          <w:tcPr>
            <w:tcW w:w="1388" w:type="pct"/>
            <w:tcBorders>
              <w:top w:val="dotted" w:sz="4" w:space="0" w:color="auto"/>
              <w:bottom w:val="dotted" w:sz="4" w:space="0" w:color="auto"/>
            </w:tcBorders>
          </w:tcPr>
          <w:p w:rsidR="00FA4BFF" w:rsidRPr="00525DF8" w:rsidRDefault="00FA4BFF" w:rsidP="00BD3AF7">
            <w:pPr>
              <w:pStyle w:val="Tabletext"/>
              <w:ind w:right="108"/>
            </w:pPr>
            <w:r w:rsidRPr="00525DF8">
              <w:t>Tasmania Prison Service</w:t>
            </w:r>
          </w:p>
          <w:p w:rsidR="00FA4BFF" w:rsidRPr="00525DF8" w:rsidRDefault="00FA4BFF" w:rsidP="00BD3AF7">
            <w:pPr>
              <w:pStyle w:val="Tabletext"/>
              <w:ind w:right="108"/>
            </w:pPr>
            <w:r w:rsidRPr="00525DF8">
              <w:t>Correctional Primary Health Service</w:t>
            </w:r>
          </w:p>
        </w:tc>
      </w:tr>
      <w:tr w:rsidR="00FA4BFF" w:rsidRPr="00525DF8" w:rsidTr="007424B8">
        <w:tc>
          <w:tcPr>
            <w:tcW w:w="617" w:type="pct"/>
            <w:tcBorders>
              <w:top w:val="dotted" w:sz="4" w:space="0" w:color="auto"/>
              <w:bottom w:val="dotted" w:sz="4" w:space="0" w:color="auto"/>
            </w:tcBorders>
          </w:tcPr>
          <w:p w:rsidR="00FA4BFF" w:rsidRPr="00525DF8" w:rsidRDefault="00985559" w:rsidP="00BD3AF7">
            <w:pPr>
              <w:pStyle w:val="Tabletext"/>
              <w:ind w:right="678"/>
            </w:pPr>
            <w:r>
              <w:t>28</w:t>
            </w:r>
          </w:p>
        </w:tc>
        <w:tc>
          <w:tcPr>
            <w:tcW w:w="2995" w:type="pct"/>
            <w:tcBorders>
              <w:top w:val="dotted" w:sz="4" w:space="0" w:color="auto"/>
              <w:bottom w:val="dotted" w:sz="4" w:space="0" w:color="auto"/>
            </w:tcBorders>
          </w:tcPr>
          <w:p w:rsidR="00FA4BFF" w:rsidRPr="00525DF8" w:rsidRDefault="00FA4BFF" w:rsidP="00FA4BFF">
            <w:pPr>
              <w:pStyle w:val="Tabletext"/>
              <w:rPr>
                <w:shd w:val="clear" w:color="auto" w:fill="FFFFFF"/>
              </w:rPr>
            </w:pPr>
            <w:bookmarkStart w:id="108" w:name="_Toc476819245"/>
            <w:r w:rsidRPr="00525DF8">
              <w:rPr>
                <w:shd w:val="clear" w:color="auto" w:fill="FFFFFF"/>
              </w:rPr>
              <w:t>Make reasonable adjustments to enable prisoners with disability to engage with prison services</w:t>
            </w:r>
            <w:bookmarkEnd w:id="108"/>
          </w:p>
          <w:p w:rsidR="00FA4BFF" w:rsidRPr="00525DF8" w:rsidRDefault="00FA4BFF" w:rsidP="00BD3AF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p w:rsidR="00FA4BFF" w:rsidRPr="00525DF8" w:rsidRDefault="00FA4BFF" w:rsidP="00BD3AF7">
            <w:pPr>
              <w:pStyle w:val="Tabletext"/>
              <w:ind w:right="108"/>
            </w:pPr>
            <w:r w:rsidRPr="00525DF8">
              <w:t>Health and Human Services</w:t>
            </w:r>
          </w:p>
        </w:tc>
      </w:tr>
      <w:tr w:rsidR="00FA4BFF" w:rsidRPr="00525DF8" w:rsidTr="007424B8">
        <w:tc>
          <w:tcPr>
            <w:tcW w:w="617" w:type="pct"/>
            <w:tcBorders>
              <w:top w:val="dotted" w:sz="4" w:space="0" w:color="auto"/>
              <w:bottom w:val="dotted" w:sz="4" w:space="0" w:color="auto"/>
            </w:tcBorders>
          </w:tcPr>
          <w:p w:rsidR="00FA4BFF" w:rsidRPr="00525DF8" w:rsidRDefault="00985559" w:rsidP="00BD3AF7">
            <w:pPr>
              <w:pStyle w:val="Tabletext"/>
              <w:ind w:right="678"/>
            </w:pPr>
            <w:r>
              <w:t>29</w:t>
            </w:r>
          </w:p>
        </w:tc>
        <w:tc>
          <w:tcPr>
            <w:tcW w:w="2995" w:type="pct"/>
            <w:tcBorders>
              <w:top w:val="dotted" w:sz="4" w:space="0" w:color="auto"/>
              <w:bottom w:val="dotted" w:sz="4" w:space="0" w:color="auto"/>
            </w:tcBorders>
          </w:tcPr>
          <w:p w:rsidR="00A672A7" w:rsidRPr="00525DF8" w:rsidRDefault="00A672A7" w:rsidP="00A672A7">
            <w:pPr>
              <w:pStyle w:val="Tabletext"/>
            </w:pPr>
            <w:bookmarkStart w:id="109" w:name="_Toc476819246"/>
            <w:r w:rsidRPr="00525DF8">
              <w:t>Develop specialist services and interventions to address the needs of prisoners with disability</w:t>
            </w:r>
            <w:bookmarkEnd w:id="109"/>
          </w:p>
          <w:p w:rsidR="00FA4BFF" w:rsidRPr="00525DF8" w:rsidRDefault="00FA4BFF" w:rsidP="00BD3AF7">
            <w:pPr>
              <w:pStyle w:val="Tabletext"/>
            </w:pPr>
          </w:p>
        </w:tc>
        <w:tc>
          <w:tcPr>
            <w:tcW w:w="1388" w:type="pct"/>
            <w:tcBorders>
              <w:top w:val="dotted" w:sz="4" w:space="0" w:color="auto"/>
              <w:bottom w:val="dotted" w:sz="4" w:space="0" w:color="auto"/>
            </w:tcBorders>
          </w:tcPr>
          <w:p w:rsidR="00FA4BFF" w:rsidRPr="00525DF8" w:rsidRDefault="00A672A7" w:rsidP="00BD3AF7">
            <w:pPr>
              <w:pStyle w:val="Tabletext"/>
              <w:ind w:right="108"/>
            </w:pPr>
            <w:r w:rsidRPr="00525DF8">
              <w:t>Tasmania Prison Service</w:t>
            </w:r>
          </w:p>
        </w:tc>
      </w:tr>
      <w:tr w:rsidR="00FA4BFF" w:rsidRPr="00525DF8" w:rsidTr="007424B8">
        <w:tc>
          <w:tcPr>
            <w:tcW w:w="617" w:type="pct"/>
            <w:tcBorders>
              <w:top w:val="dotted" w:sz="4" w:space="0" w:color="auto"/>
              <w:bottom w:val="dotted" w:sz="4" w:space="0" w:color="auto"/>
            </w:tcBorders>
          </w:tcPr>
          <w:p w:rsidR="00FA4BFF" w:rsidRPr="00525DF8" w:rsidRDefault="00B475A1" w:rsidP="00BD3AF7">
            <w:pPr>
              <w:pStyle w:val="Tabletext"/>
              <w:ind w:right="678"/>
            </w:pPr>
            <w:r>
              <w:t>3</w:t>
            </w:r>
            <w:r w:rsidR="00985559">
              <w:t>0</w:t>
            </w:r>
          </w:p>
        </w:tc>
        <w:tc>
          <w:tcPr>
            <w:tcW w:w="2995" w:type="pct"/>
            <w:tcBorders>
              <w:top w:val="dotted" w:sz="4" w:space="0" w:color="auto"/>
              <w:bottom w:val="dotted" w:sz="4" w:space="0" w:color="auto"/>
            </w:tcBorders>
          </w:tcPr>
          <w:p w:rsidR="00A672A7" w:rsidRPr="00525DF8" w:rsidRDefault="00A672A7" w:rsidP="00A672A7">
            <w:pPr>
              <w:pStyle w:val="Tabletext"/>
            </w:pPr>
            <w:bookmarkStart w:id="110" w:name="_Toc476819247"/>
            <w:r w:rsidRPr="00525DF8">
              <w:t>Develop effective partnerships between corrections, health, disability and mental health services to address the particular needs of prisoners with disability</w:t>
            </w:r>
            <w:bookmarkEnd w:id="110"/>
          </w:p>
          <w:p w:rsidR="00FA4BFF" w:rsidRPr="00525DF8" w:rsidRDefault="00FA4BFF" w:rsidP="00BD3AF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p w:rsidR="00FA4BFF" w:rsidRPr="00525DF8" w:rsidRDefault="00FA4BFF" w:rsidP="00BD3AF7">
            <w:pPr>
              <w:pStyle w:val="Tabletext"/>
              <w:ind w:right="108"/>
            </w:pPr>
            <w:r w:rsidRPr="00525DF8">
              <w:t>Health and Human Services</w:t>
            </w:r>
          </w:p>
          <w:p w:rsidR="00A672A7" w:rsidRPr="00525DF8" w:rsidRDefault="00A672A7" w:rsidP="00BD3AF7">
            <w:pPr>
              <w:pStyle w:val="Tabletext"/>
              <w:ind w:right="108"/>
            </w:pPr>
            <w:r w:rsidRPr="00525DF8">
              <w:t>Tasmania Health Service</w:t>
            </w:r>
          </w:p>
        </w:tc>
      </w:tr>
      <w:tr w:rsidR="00A672A7" w:rsidRPr="00525DF8" w:rsidTr="007424B8">
        <w:tc>
          <w:tcPr>
            <w:tcW w:w="617" w:type="pct"/>
            <w:tcBorders>
              <w:top w:val="dotted" w:sz="4" w:space="0" w:color="auto"/>
              <w:bottom w:val="dotted" w:sz="4" w:space="0" w:color="auto"/>
            </w:tcBorders>
          </w:tcPr>
          <w:p w:rsidR="00A672A7" w:rsidRPr="00525DF8" w:rsidRDefault="00B475A1" w:rsidP="00B475A1">
            <w:pPr>
              <w:pStyle w:val="Tabletext"/>
              <w:ind w:right="678"/>
            </w:pPr>
            <w:r>
              <w:t>3</w:t>
            </w:r>
            <w:r w:rsidR="00985559">
              <w:t>1</w:t>
            </w:r>
          </w:p>
        </w:tc>
        <w:tc>
          <w:tcPr>
            <w:tcW w:w="2995" w:type="pct"/>
            <w:tcBorders>
              <w:top w:val="dotted" w:sz="4" w:space="0" w:color="auto"/>
              <w:bottom w:val="dotted" w:sz="4" w:space="0" w:color="auto"/>
            </w:tcBorders>
          </w:tcPr>
          <w:p w:rsidR="00A672A7" w:rsidRPr="00525DF8" w:rsidRDefault="00A672A7" w:rsidP="00A672A7">
            <w:pPr>
              <w:pStyle w:val="Tabletext"/>
            </w:pPr>
            <w:bookmarkStart w:id="111" w:name="_Toc476819249"/>
            <w:r w:rsidRPr="00525DF8">
              <w:t xml:space="preserve">Introduce screening for </w:t>
            </w:r>
            <w:r w:rsidR="00B475A1">
              <w:t xml:space="preserve">intellectual disability and </w:t>
            </w:r>
            <w:r w:rsidRPr="00525DF8">
              <w:t>acquired brain injury and address the specific needs of prisoners</w:t>
            </w:r>
            <w:bookmarkEnd w:id="111"/>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tc>
      </w:tr>
      <w:tr w:rsidR="00A672A7" w:rsidRPr="00525DF8" w:rsidTr="007424B8">
        <w:tc>
          <w:tcPr>
            <w:tcW w:w="617" w:type="pct"/>
            <w:tcBorders>
              <w:top w:val="dotted" w:sz="4" w:space="0" w:color="auto"/>
              <w:bottom w:val="dotted" w:sz="4" w:space="0" w:color="auto"/>
            </w:tcBorders>
          </w:tcPr>
          <w:p w:rsidR="00A672A7" w:rsidRPr="00525DF8" w:rsidRDefault="008D5C18" w:rsidP="00BD3AF7">
            <w:pPr>
              <w:pStyle w:val="Tabletext"/>
              <w:ind w:right="678"/>
            </w:pPr>
            <w:r>
              <w:t>3</w:t>
            </w:r>
            <w:r w:rsidR="00985559">
              <w:t>2</w:t>
            </w:r>
          </w:p>
        </w:tc>
        <w:tc>
          <w:tcPr>
            <w:tcW w:w="2995" w:type="pct"/>
            <w:tcBorders>
              <w:top w:val="dotted" w:sz="4" w:space="0" w:color="auto"/>
              <w:bottom w:val="dotted" w:sz="4" w:space="0" w:color="auto"/>
            </w:tcBorders>
          </w:tcPr>
          <w:p w:rsidR="00A672A7" w:rsidRPr="00525DF8" w:rsidRDefault="00A672A7" w:rsidP="00A672A7">
            <w:pPr>
              <w:pStyle w:val="Tabletext"/>
            </w:pPr>
            <w:bookmarkStart w:id="112" w:name="_Toc476819250"/>
            <w:r w:rsidRPr="00525DF8">
              <w:t>Ensure that reintegration and release planning take account of particular needs arising from a prisoner’s disability</w:t>
            </w:r>
            <w:bookmarkEnd w:id="112"/>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p w:rsidR="00A672A7" w:rsidRPr="00525DF8" w:rsidRDefault="00A672A7" w:rsidP="00BD3AF7">
            <w:pPr>
              <w:pStyle w:val="Tabletext"/>
              <w:ind w:right="108"/>
            </w:pPr>
            <w:r w:rsidRPr="00525DF8">
              <w:t>Health and Human Services</w:t>
            </w:r>
          </w:p>
          <w:p w:rsidR="00A672A7" w:rsidRPr="00525DF8" w:rsidRDefault="00A672A7" w:rsidP="00BD3AF7">
            <w:pPr>
              <w:pStyle w:val="Tabletext"/>
              <w:ind w:right="108"/>
            </w:pPr>
            <w:r w:rsidRPr="00525DF8">
              <w:t>Community Corrections</w:t>
            </w:r>
          </w:p>
        </w:tc>
      </w:tr>
      <w:tr w:rsidR="00A672A7" w:rsidRPr="00525DF8" w:rsidTr="007424B8">
        <w:tc>
          <w:tcPr>
            <w:tcW w:w="617" w:type="pct"/>
            <w:tcBorders>
              <w:top w:val="dotted" w:sz="4" w:space="0" w:color="auto"/>
              <w:bottom w:val="dotted" w:sz="4" w:space="0" w:color="auto"/>
            </w:tcBorders>
          </w:tcPr>
          <w:p w:rsidR="00A672A7" w:rsidRPr="00525DF8" w:rsidRDefault="008D5C18" w:rsidP="00BD3AF7">
            <w:pPr>
              <w:pStyle w:val="Tabletext"/>
              <w:ind w:right="678"/>
            </w:pPr>
            <w:r>
              <w:t>3</w:t>
            </w:r>
            <w:r w:rsidR="00985559">
              <w:t>3</w:t>
            </w:r>
          </w:p>
        </w:tc>
        <w:tc>
          <w:tcPr>
            <w:tcW w:w="2995" w:type="pct"/>
            <w:tcBorders>
              <w:top w:val="dotted" w:sz="4" w:space="0" w:color="auto"/>
              <w:bottom w:val="dotted" w:sz="4" w:space="0" w:color="auto"/>
            </w:tcBorders>
          </w:tcPr>
          <w:p w:rsidR="00A672A7" w:rsidRPr="00525DF8" w:rsidRDefault="00A672A7" w:rsidP="00A672A7">
            <w:pPr>
              <w:pStyle w:val="Tabletext"/>
            </w:pPr>
            <w:bookmarkStart w:id="113" w:name="_Toc476819251"/>
            <w:r w:rsidRPr="00525DF8">
              <w:t>Address the needs of people with disability on remand</w:t>
            </w:r>
            <w:bookmarkEnd w:id="113"/>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tc>
      </w:tr>
      <w:tr w:rsidR="00A672A7" w:rsidRPr="00525DF8" w:rsidTr="007424B8">
        <w:tc>
          <w:tcPr>
            <w:tcW w:w="617" w:type="pct"/>
            <w:tcBorders>
              <w:top w:val="dotted" w:sz="4" w:space="0" w:color="auto"/>
              <w:bottom w:val="dotted" w:sz="4" w:space="0" w:color="auto"/>
            </w:tcBorders>
          </w:tcPr>
          <w:p w:rsidR="00A672A7" w:rsidRPr="00525DF8" w:rsidRDefault="008D5C18" w:rsidP="00BD3AF7">
            <w:pPr>
              <w:pStyle w:val="Tabletext"/>
              <w:ind w:right="678"/>
            </w:pPr>
            <w:r>
              <w:t>3</w:t>
            </w:r>
            <w:r w:rsidR="00985559">
              <w:t>4</w:t>
            </w:r>
          </w:p>
        </w:tc>
        <w:tc>
          <w:tcPr>
            <w:tcW w:w="2995" w:type="pct"/>
            <w:tcBorders>
              <w:top w:val="dotted" w:sz="4" w:space="0" w:color="auto"/>
              <w:bottom w:val="dotted" w:sz="4" w:space="0" w:color="auto"/>
            </w:tcBorders>
          </w:tcPr>
          <w:p w:rsidR="00A672A7" w:rsidRPr="00525DF8" w:rsidRDefault="00A672A7" w:rsidP="00A672A7">
            <w:pPr>
              <w:pStyle w:val="Tabletext"/>
            </w:pPr>
            <w:bookmarkStart w:id="114" w:name="_Toc476819252"/>
            <w:r w:rsidRPr="00525DF8">
              <w:t>Establish streamlined service delivery arrangements for prisoners who were in receipt of a National Disability Insurance Scheme package prior to incarceration or who are eligible for a National Disability Insurance Scheme package on release</w:t>
            </w:r>
            <w:bookmarkEnd w:id="114"/>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tc>
      </w:tr>
    </w:tbl>
    <w:p w:rsidR="00625559" w:rsidRDefault="00625559" w:rsidP="008547C5">
      <w:pPr>
        <w:pStyle w:val="Heading1"/>
      </w:pPr>
      <w:bookmarkStart w:id="115" w:name="_Toc476819253"/>
      <w:bookmarkStart w:id="116" w:name="_Toc500835364"/>
      <w:bookmarkStart w:id="117" w:name="_Toc500835421"/>
      <w:bookmarkStart w:id="118" w:name="_Toc500835630"/>
      <w:bookmarkEnd w:id="106"/>
      <w:r>
        <w:t>Safeguard</w:t>
      </w:r>
      <w:r w:rsidR="00C81B3C">
        <w:t>ing</w:t>
      </w:r>
      <w:r w:rsidR="00CD63E9">
        <w:t xml:space="preserve"> the rights of forensic mental</w:t>
      </w:r>
      <w:r w:rsidR="00CD63E9">
        <w:br/>
      </w:r>
      <w:r>
        <w:t>health patients</w:t>
      </w:r>
      <w:bookmarkEnd w:id="115"/>
      <w:bookmarkEnd w:id="116"/>
      <w:bookmarkEnd w:id="117"/>
      <w:bookmarkEnd w:id="118"/>
    </w:p>
    <w:p w:rsidR="0081135A" w:rsidRDefault="0081135A" w:rsidP="0081135A">
      <w:bookmarkStart w:id="119" w:name="_Toc476819254"/>
      <w:r w:rsidRPr="00F32463">
        <w:t xml:space="preserve">Under current laws and practices in Australia, people with cognitive and/or psychiatric impairment who are charged with a crime, but found not guilty or ‘unfit to stand trial’ because of impairment, may be detained for indefinite and prolonged periods. </w:t>
      </w:r>
    </w:p>
    <w:p w:rsidR="0081135A" w:rsidRDefault="0081135A" w:rsidP="0081135A">
      <w:r w:rsidRPr="00F32463">
        <w:t>In practical terms, this has meant detention for longer than if they had been convicted</w:t>
      </w:r>
      <w:r>
        <w:t>.</w:t>
      </w:r>
    </w:p>
    <w:p w:rsidR="0081135A" w:rsidRDefault="0081135A" w:rsidP="0081135A">
      <w:r>
        <w:t>The Australian Law Reform Commission and others have recommended reform of the current legal test for unfitness to stand trial to avoid unfairness and to maintain the integrity of criminal trials.</w:t>
      </w:r>
      <w:r w:rsidRPr="00F32463">
        <w:t xml:space="preserve"> </w:t>
      </w:r>
    </w:p>
    <w:p w:rsidR="00A672A7" w:rsidRDefault="0081135A" w:rsidP="003C08AA">
      <w:pPr>
        <w:spacing w:after="400"/>
      </w:pPr>
      <w:r>
        <w:t>Work is also being done by all state, territory and federal Attorneys General as part of the Law, Crime and Community Safety Council on the treatment of people unfit to plead or found not guilty by reason of mental impairment. It is proposed to develop a n</w:t>
      </w:r>
      <w:r w:rsidRPr="000F1F83">
        <w:t>a</w:t>
      </w:r>
      <w:r>
        <w:t>tional s</w:t>
      </w:r>
      <w:r w:rsidRPr="000F1F83">
        <w:t xml:space="preserve">tatement of </w:t>
      </w:r>
      <w:r>
        <w:t>p</w:t>
      </w:r>
      <w:r w:rsidRPr="000F1F83">
        <w:t>rinciples</w:t>
      </w:r>
      <w:r>
        <w:t xml:space="preserve"> in relation to this issue.</w:t>
      </w:r>
    </w:p>
    <w:tbl>
      <w:tblPr>
        <w:tblW w:w="5000" w:type="pct"/>
        <w:tblLook w:val="04A0" w:firstRow="1" w:lastRow="0" w:firstColumn="1" w:lastColumn="0" w:noHBand="0" w:noVBand="1"/>
      </w:tblPr>
      <w:tblGrid>
        <w:gridCol w:w="1114"/>
        <w:gridCol w:w="6050"/>
        <w:gridCol w:w="1862"/>
      </w:tblGrid>
      <w:tr w:rsidR="00A672A7" w:rsidRPr="00525DF8" w:rsidTr="008547C5">
        <w:trPr>
          <w:tblHeader/>
        </w:trPr>
        <w:tc>
          <w:tcPr>
            <w:tcW w:w="600" w:type="pct"/>
            <w:tcBorders>
              <w:top w:val="single" w:sz="4" w:space="0" w:color="auto"/>
              <w:bottom w:val="dotted" w:sz="4" w:space="0" w:color="auto"/>
            </w:tcBorders>
          </w:tcPr>
          <w:p w:rsidR="00A672A7" w:rsidRPr="00525DF8" w:rsidRDefault="00A672A7" w:rsidP="00BD3AF7">
            <w:pPr>
              <w:pStyle w:val="Caption"/>
            </w:pPr>
          </w:p>
        </w:tc>
        <w:tc>
          <w:tcPr>
            <w:tcW w:w="3359" w:type="pct"/>
            <w:tcBorders>
              <w:top w:val="single" w:sz="4" w:space="0" w:color="auto"/>
              <w:bottom w:val="dotted" w:sz="4" w:space="0" w:color="auto"/>
            </w:tcBorders>
          </w:tcPr>
          <w:p w:rsidR="00A672A7" w:rsidRPr="00525DF8" w:rsidRDefault="005744A2" w:rsidP="00BD3AF7">
            <w:pPr>
              <w:pStyle w:val="Caption"/>
            </w:pPr>
            <w:r>
              <w:t>Actions</w:t>
            </w:r>
          </w:p>
        </w:tc>
        <w:tc>
          <w:tcPr>
            <w:tcW w:w="1040" w:type="pct"/>
            <w:tcBorders>
              <w:top w:val="single" w:sz="4" w:space="0" w:color="auto"/>
              <w:bottom w:val="dotted" w:sz="4" w:space="0" w:color="auto"/>
            </w:tcBorders>
          </w:tcPr>
          <w:p w:rsidR="00A672A7" w:rsidRPr="00525DF8" w:rsidRDefault="00A672A7" w:rsidP="00BD3AF7">
            <w:pPr>
              <w:pStyle w:val="Caption"/>
              <w:ind w:right="108"/>
            </w:pPr>
            <w:r w:rsidRPr="00525DF8">
              <w:t>Lead Agencies</w:t>
            </w:r>
          </w:p>
        </w:tc>
      </w:tr>
      <w:tr w:rsidR="00A672A7" w:rsidRPr="00525DF8" w:rsidTr="008547C5">
        <w:trPr>
          <w:cantSplit/>
        </w:trPr>
        <w:tc>
          <w:tcPr>
            <w:tcW w:w="600" w:type="pct"/>
            <w:tcBorders>
              <w:top w:val="dotted" w:sz="4" w:space="0" w:color="auto"/>
              <w:bottom w:val="dotted" w:sz="4" w:space="0" w:color="auto"/>
            </w:tcBorders>
          </w:tcPr>
          <w:p w:rsidR="00A672A7" w:rsidRPr="00525DF8" w:rsidRDefault="008D5C18" w:rsidP="00BD3AF7">
            <w:pPr>
              <w:pStyle w:val="Tabletext"/>
              <w:ind w:right="678"/>
            </w:pPr>
            <w:r>
              <w:t>3</w:t>
            </w:r>
            <w:r w:rsidR="00985559">
              <w:t>5</w:t>
            </w:r>
          </w:p>
        </w:tc>
        <w:tc>
          <w:tcPr>
            <w:tcW w:w="3359" w:type="pct"/>
            <w:tcBorders>
              <w:top w:val="dotted" w:sz="4" w:space="0" w:color="auto"/>
              <w:bottom w:val="dotted" w:sz="4" w:space="0" w:color="auto"/>
            </w:tcBorders>
          </w:tcPr>
          <w:p w:rsidR="00A672A7" w:rsidRPr="00525DF8" w:rsidRDefault="00A672A7" w:rsidP="00A672A7">
            <w:pPr>
              <w:pStyle w:val="Tabletext"/>
            </w:pPr>
            <w:bookmarkStart w:id="120" w:name="_Toc476819257"/>
            <w:r w:rsidRPr="00525DF8">
              <w:t>Ensure patients subject to forensic orders have access to advocacy support and legal assistance services</w:t>
            </w:r>
            <w:bookmarkEnd w:id="120"/>
          </w:p>
          <w:p w:rsidR="00A672A7" w:rsidRPr="00525DF8" w:rsidRDefault="00A672A7" w:rsidP="00BD3AF7">
            <w:pPr>
              <w:pStyle w:val="Tabletext"/>
            </w:pPr>
          </w:p>
        </w:tc>
        <w:tc>
          <w:tcPr>
            <w:tcW w:w="1040" w:type="pct"/>
            <w:tcBorders>
              <w:top w:val="dotted" w:sz="4" w:space="0" w:color="auto"/>
              <w:bottom w:val="dotted" w:sz="4" w:space="0" w:color="auto"/>
            </w:tcBorders>
          </w:tcPr>
          <w:p w:rsidR="00A672A7" w:rsidRPr="00525DF8" w:rsidRDefault="008D5C18" w:rsidP="008D5C18">
            <w:pPr>
              <w:pStyle w:val="Tabletext"/>
              <w:ind w:right="108"/>
            </w:pPr>
            <w:r>
              <w:t>Mental Health Tribunal</w:t>
            </w:r>
          </w:p>
        </w:tc>
      </w:tr>
      <w:tr w:rsidR="00F46E42" w:rsidRPr="00525DF8" w:rsidTr="008547C5">
        <w:trPr>
          <w:cantSplit/>
        </w:trPr>
        <w:tc>
          <w:tcPr>
            <w:tcW w:w="600" w:type="pct"/>
            <w:tcBorders>
              <w:top w:val="dotted" w:sz="4" w:space="0" w:color="auto"/>
              <w:bottom w:val="dotted" w:sz="4" w:space="0" w:color="auto"/>
            </w:tcBorders>
          </w:tcPr>
          <w:p w:rsidR="00F46E42" w:rsidRDefault="00F46E42" w:rsidP="00BD3AF7">
            <w:pPr>
              <w:pStyle w:val="Tabletext"/>
              <w:ind w:right="678"/>
            </w:pPr>
            <w:r>
              <w:t>36</w:t>
            </w:r>
          </w:p>
        </w:tc>
        <w:tc>
          <w:tcPr>
            <w:tcW w:w="3359" w:type="pct"/>
            <w:tcBorders>
              <w:top w:val="dotted" w:sz="4" w:space="0" w:color="auto"/>
              <w:bottom w:val="dotted" w:sz="4" w:space="0" w:color="auto"/>
            </w:tcBorders>
          </w:tcPr>
          <w:p w:rsidR="00F46E42" w:rsidRPr="00F46E42" w:rsidRDefault="00F46E42" w:rsidP="00A672A7">
            <w:pPr>
              <w:pStyle w:val="Tabletext"/>
            </w:pPr>
            <w:r>
              <w:t xml:space="preserve">Review the operation of the fitness to stand trial provisions in the </w:t>
            </w:r>
            <w:r>
              <w:rPr>
                <w:i/>
              </w:rPr>
              <w:t>Criminal Justice (Mental Impairment) 1999</w:t>
            </w:r>
            <w:r>
              <w:t xml:space="preserve"> Act</w:t>
            </w:r>
          </w:p>
        </w:tc>
        <w:tc>
          <w:tcPr>
            <w:tcW w:w="1040" w:type="pct"/>
            <w:tcBorders>
              <w:top w:val="dotted" w:sz="4" w:space="0" w:color="auto"/>
              <w:bottom w:val="dotted" w:sz="4" w:space="0" w:color="auto"/>
            </w:tcBorders>
          </w:tcPr>
          <w:p w:rsidR="00F46E42" w:rsidRDefault="00F46E42" w:rsidP="008D5C18">
            <w:pPr>
              <w:pStyle w:val="Tabletext"/>
              <w:ind w:right="108"/>
            </w:pPr>
            <w:r>
              <w:t>Tasmanian Law Reform Institute</w:t>
            </w:r>
          </w:p>
          <w:p w:rsidR="00F46E42" w:rsidRDefault="00F46E42" w:rsidP="008D5C18">
            <w:pPr>
              <w:pStyle w:val="Tabletext"/>
              <w:ind w:right="108"/>
            </w:pPr>
          </w:p>
        </w:tc>
      </w:tr>
    </w:tbl>
    <w:p w:rsidR="00A672A7" w:rsidRDefault="00A672A7" w:rsidP="00A672A7"/>
    <w:p w:rsidR="00121913" w:rsidRDefault="00C81B3C" w:rsidP="00F03DEB">
      <w:pPr>
        <w:pStyle w:val="Heading1"/>
      </w:pPr>
      <w:bookmarkStart w:id="121" w:name="_Toc476819261"/>
      <w:bookmarkStart w:id="122" w:name="_Toc500835365"/>
      <w:bookmarkStart w:id="123" w:name="_Toc500835422"/>
      <w:bookmarkStart w:id="124" w:name="_Toc500835631"/>
      <w:bookmarkEnd w:id="119"/>
      <w:r>
        <w:t>Continuously m</w:t>
      </w:r>
      <w:r w:rsidR="00121913">
        <w:t xml:space="preserve">onitor </w:t>
      </w:r>
      <w:r>
        <w:t>and improve performance</w:t>
      </w:r>
      <w:bookmarkEnd w:id="121"/>
      <w:bookmarkEnd w:id="122"/>
      <w:bookmarkEnd w:id="123"/>
      <w:bookmarkEnd w:id="124"/>
    </w:p>
    <w:p w:rsidR="0081135A" w:rsidRDefault="0081135A" w:rsidP="0081135A">
      <w:bookmarkStart w:id="125" w:name="_Toc476819262"/>
      <w:r>
        <w:t>The Disability Justice Plan outlines a range of measures aimed at promoting equality before the law for people with disability in Tasmania.</w:t>
      </w:r>
    </w:p>
    <w:p w:rsidR="0081135A" w:rsidRDefault="0081135A" w:rsidP="0081135A">
      <w:r>
        <w:t>They are a complex set of actions that will take time and coordination to achieve.</w:t>
      </w:r>
    </w:p>
    <w:p w:rsidR="00100052" w:rsidRDefault="0081135A" w:rsidP="003C08AA">
      <w:pPr>
        <w:spacing w:after="400"/>
      </w:pPr>
      <w:r>
        <w:t xml:space="preserve">Delivering on these outcomes will represent significant advancement toward meeting the actions set by the Tasmanian Government under its </w:t>
      </w:r>
      <w:r w:rsidRPr="00DE1A2F">
        <w:rPr>
          <w:i/>
        </w:rPr>
        <w:t>Disability Framework for Action</w:t>
      </w:r>
      <w:r>
        <w:t xml:space="preserve"> and will bring the State into line with commitments under the </w:t>
      </w:r>
      <w:r w:rsidRPr="00DE1A2F">
        <w:rPr>
          <w:i/>
        </w:rPr>
        <w:t>National Disability Strategy</w:t>
      </w:r>
      <w:r>
        <w:t xml:space="preserve"> and the United Nations </w:t>
      </w:r>
      <w:r w:rsidRPr="00DE1A2F">
        <w:rPr>
          <w:i/>
        </w:rPr>
        <w:t>Convention on the Rights of Persons with Disabilities</w:t>
      </w:r>
      <w:r>
        <w:t>.</w:t>
      </w:r>
    </w:p>
    <w:tbl>
      <w:tblPr>
        <w:tblW w:w="5000" w:type="pct"/>
        <w:tblLook w:val="04A0" w:firstRow="1" w:lastRow="0" w:firstColumn="1" w:lastColumn="0" w:noHBand="0" w:noVBand="1"/>
      </w:tblPr>
      <w:tblGrid>
        <w:gridCol w:w="1066"/>
        <w:gridCol w:w="5454"/>
        <w:gridCol w:w="2506"/>
      </w:tblGrid>
      <w:tr w:rsidR="00100052" w:rsidRPr="00525DF8" w:rsidTr="00CE2EFE">
        <w:trPr>
          <w:tblHeader/>
        </w:trPr>
        <w:tc>
          <w:tcPr>
            <w:tcW w:w="591" w:type="pct"/>
            <w:tcBorders>
              <w:top w:val="single" w:sz="4" w:space="0" w:color="auto"/>
              <w:bottom w:val="dotted" w:sz="4" w:space="0" w:color="auto"/>
            </w:tcBorders>
          </w:tcPr>
          <w:p w:rsidR="00100052" w:rsidRPr="00525DF8" w:rsidRDefault="00100052" w:rsidP="00BD3AF7">
            <w:pPr>
              <w:pStyle w:val="Caption"/>
            </w:pPr>
          </w:p>
        </w:tc>
        <w:tc>
          <w:tcPr>
            <w:tcW w:w="3021" w:type="pct"/>
            <w:tcBorders>
              <w:top w:val="single" w:sz="4" w:space="0" w:color="auto"/>
              <w:bottom w:val="dotted" w:sz="4" w:space="0" w:color="auto"/>
            </w:tcBorders>
          </w:tcPr>
          <w:p w:rsidR="00100052" w:rsidRPr="00525DF8" w:rsidRDefault="005744A2" w:rsidP="00BD3AF7">
            <w:pPr>
              <w:pStyle w:val="Caption"/>
            </w:pPr>
            <w:r>
              <w:t>Action</w:t>
            </w:r>
          </w:p>
        </w:tc>
        <w:tc>
          <w:tcPr>
            <w:tcW w:w="1388" w:type="pct"/>
            <w:tcBorders>
              <w:top w:val="single" w:sz="4" w:space="0" w:color="auto"/>
              <w:bottom w:val="dotted" w:sz="4" w:space="0" w:color="auto"/>
            </w:tcBorders>
          </w:tcPr>
          <w:p w:rsidR="00100052" w:rsidRPr="00525DF8" w:rsidRDefault="00100052" w:rsidP="00BD3AF7">
            <w:pPr>
              <w:pStyle w:val="Caption"/>
              <w:ind w:right="108"/>
            </w:pPr>
            <w:r w:rsidRPr="00525DF8">
              <w:t>Lead Agencies</w:t>
            </w:r>
          </w:p>
        </w:tc>
      </w:tr>
      <w:tr w:rsidR="00100052" w:rsidRPr="00525DF8" w:rsidTr="00CE2EFE">
        <w:trPr>
          <w:cantSplit/>
        </w:trPr>
        <w:tc>
          <w:tcPr>
            <w:tcW w:w="591" w:type="pct"/>
            <w:tcBorders>
              <w:top w:val="dotted" w:sz="4" w:space="0" w:color="auto"/>
              <w:bottom w:val="dotted" w:sz="4" w:space="0" w:color="auto"/>
            </w:tcBorders>
          </w:tcPr>
          <w:p w:rsidR="00100052" w:rsidRPr="00525DF8" w:rsidRDefault="008D5C18" w:rsidP="00BD3AF7">
            <w:pPr>
              <w:pStyle w:val="Tabletext"/>
              <w:ind w:right="176"/>
            </w:pPr>
            <w:r>
              <w:t>3</w:t>
            </w:r>
            <w:r w:rsidR="00F46E42">
              <w:t>7</w:t>
            </w:r>
          </w:p>
        </w:tc>
        <w:tc>
          <w:tcPr>
            <w:tcW w:w="3021" w:type="pct"/>
            <w:tcBorders>
              <w:top w:val="dotted" w:sz="4" w:space="0" w:color="auto"/>
              <w:bottom w:val="dotted" w:sz="4" w:space="0" w:color="auto"/>
            </w:tcBorders>
          </w:tcPr>
          <w:p w:rsidR="00100052" w:rsidRPr="00525DF8" w:rsidRDefault="00100052" w:rsidP="00100052">
            <w:pPr>
              <w:pStyle w:val="Tabletext"/>
            </w:pPr>
            <w:r w:rsidRPr="00525DF8">
              <w:t xml:space="preserve">Co-ordinate </w:t>
            </w:r>
            <w:r w:rsidR="008D5C18">
              <w:t xml:space="preserve">and monitor </w:t>
            </w:r>
            <w:r w:rsidRPr="00525DF8">
              <w:t>the implementation of measures outlined in the Disability Justice Plan</w:t>
            </w:r>
          </w:p>
          <w:p w:rsidR="00100052" w:rsidRPr="00525DF8" w:rsidRDefault="00100052" w:rsidP="00BD3AF7">
            <w:pPr>
              <w:pStyle w:val="Tabletext"/>
            </w:pPr>
          </w:p>
        </w:tc>
        <w:tc>
          <w:tcPr>
            <w:tcW w:w="1388" w:type="pct"/>
            <w:tcBorders>
              <w:top w:val="dotted" w:sz="4" w:space="0" w:color="auto"/>
              <w:bottom w:val="dotted" w:sz="4" w:space="0" w:color="auto"/>
            </w:tcBorders>
          </w:tcPr>
          <w:p w:rsidR="00100052" w:rsidRPr="00525DF8" w:rsidRDefault="00100052" w:rsidP="00BD3AF7">
            <w:pPr>
              <w:pStyle w:val="Tabletext"/>
              <w:ind w:right="108"/>
            </w:pPr>
            <w:r w:rsidRPr="00525DF8">
              <w:t>Justice</w:t>
            </w:r>
          </w:p>
          <w:p w:rsidR="00100052" w:rsidRPr="00525DF8" w:rsidRDefault="00100052" w:rsidP="00BD3AF7">
            <w:pPr>
              <w:pStyle w:val="Tabletext"/>
              <w:ind w:right="108"/>
            </w:pPr>
          </w:p>
          <w:p w:rsidR="00100052" w:rsidRPr="00525DF8" w:rsidRDefault="00100052" w:rsidP="00BD3AF7">
            <w:pPr>
              <w:pStyle w:val="Tabletext"/>
              <w:ind w:right="108"/>
            </w:pPr>
            <w:r w:rsidRPr="00525DF8">
              <w:t xml:space="preserve">Premier and Cabinet (Premier’s Disability Advisory Council) </w:t>
            </w:r>
          </w:p>
          <w:p w:rsidR="00100052" w:rsidRPr="00525DF8" w:rsidRDefault="00100052" w:rsidP="00BD3AF7">
            <w:pPr>
              <w:pStyle w:val="Tabletext"/>
              <w:ind w:right="108"/>
            </w:pPr>
          </w:p>
        </w:tc>
      </w:tr>
      <w:bookmarkEnd w:id="125"/>
    </w:tbl>
    <w:p w:rsidR="000E70A6" w:rsidRPr="00C10499" w:rsidRDefault="000E70A6" w:rsidP="00C777B3">
      <w:pPr>
        <w:pStyle w:val="Relatedframeworks-italics"/>
      </w:pPr>
    </w:p>
    <w:sectPr w:rsidR="000E70A6" w:rsidRPr="00C10499" w:rsidSect="007424B8">
      <w:headerReference w:type="default" r:id="rId10"/>
      <w:footerReference w:type="default" r:id="rId11"/>
      <w:footerReference w:type="first" r:id="rId12"/>
      <w:pgSz w:w="11906" w:h="16838" w:code="9"/>
      <w:pgMar w:top="102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61" w:rsidRDefault="00D12061" w:rsidP="00BE541F">
      <w:r>
        <w:separator/>
      </w:r>
    </w:p>
  </w:endnote>
  <w:endnote w:type="continuationSeparator" w:id="0">
    <w:p w:rsidR="00D12061" w:rsidRDefault="00D12061" w:rsidP="00BE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B5F" w:rsidRDefault="00D81B5F" w:rsidP="003C08AA">
    <w:pPr>
      <w:pStyle w:val="Footer"/>
      <w:ind w:left="-454"/>
    </w:pPr>
    <w:r>
      <w:t>Department of Justice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201943"/>
      <w:docPartObj>
        <w:docPartGallery w:val="Page Numbers (Bottom of Page)"/>
        <w:docPartUnique/>
      </w:docPartObj>
    </w:sdtPr>
    <w:sdtEndPr/>
    <w:sdtContent>
      <w:sdt>
        <w:sdtPr>
          <w:id w:val="-1769616900"/>
          <w:docPartObj>
            <w:docPartGallery w:val="Page Numbers (Top of Page)"/>
            <w:docPartUnique/>
          </w:docPartObj>
        </w:sdtPr>
        <w:sdtEndPr/>
        <w:sdtContent>
          <w:p w:rsidR="00D81B5F" w:rsidRDefault="00D81B5F" w:rsidP="006B1674">
            <w:pPr>
              <w:pStyle w:val="Footer"/>
              <w:jc w:val="right"/>
            </w:pPr>
            <w:r w:rsidRPr="00BD4428">
              <w:t>Disability Justice Plan for Tasmania</w:t>
            </w:r>
            <w:r w:rsidRPr="00BD4428">
              <w:tab/>
            </w:r>
            <w:r w:rsidRPr="00BD4428">
              <w:tab/>
            </w:r>
            <w:r>
              <w:t xml:space="preserve">Page </w:t>
            </w:r>
            <w:r>
              <w:rPr>
                <w:b/>
                <w:bCs/>
                <w:sz w:val="24"/>
                <w:szCs w:val="24"/>
              </w:rPr>
              <w:fldChar w:fldCharType="begin"/>
            </w:r>
            <w:r>
              <w:rPr>
                <w:b/>
                <w:bCs/>
              </w:rPr>
              <w:instrText xml:space="preserve"> PAGE </w:instrText>
            </w:r>
            <w:r>
              <w:rPr>
                <w:b/>
                <w:bCs/>
                <w:sz w:val="24"/>
                <w:szCs w:val="24"/>
              </w:rPr>
              <w:fldChar w:fldCharType="separate"/>
            </w:r>
            <w:r w:rsidR="00BA57B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57B9">
              <w:rPr>
                <w:b/>
                <w:bCs/>
                <w:noProof/>
              </w:rPr>
              <w:t>20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440487"/>
      <w:docPartObj>
        <w:docPartGallery w:val="Page Numbers (Bottom of Page)"/>
        <w:docPartUnique/>
      </w:docPartObj>
    </w:sdtPr>
    <w:sdtEndPr/>
    <w:sdtContent>
      <w:sdt>
        <w:sdtPr>
          <w:id w:val="1585175478"/>
          <w:docPartObj>
            <w:docPartGallery w:val="Page Numbers (Top of Page)"/>
            <w:docPartUnique/>
          </w:docPartObj>
        </w:sdtPr>
        <w:sdtEndPr/>
        <w:sdtContent>
          <w:p w:rsidR="00D81B5F" w:rsidRPr="00BD4428" w:rsidRDefault="00D81B5F" w:rsidP="006B1674">
            <w:pPr>
              <w:pStyle w:val="Footer"/>
              <w:jc w:val="right"/>
            </w:pPr>
            <w:r w:rsidRPr="00BD4428">
              <w:t>Disability Justice Plan for Tasmania</w:t>
            </w:r>
            <w:r w:rsidRPr="00BD4428">
              <w:tab/>
            </w:r>
            <w:r w:rsidRPr="00BD4428">
              <w:tab/>
              <w:t xml:space="preserve">Page </w:t>
            </w:r>
            <w:r w:rsidRPr="00BD4428">
              <w:rPr>
                <w:b/>
                <w:bCs/>
                <w:sz w:val="24"/>
                <w:szCs w:val="24"/>
              </w:rPr>
              <w:fldChar w:fldCharType="begin"/>
            </w:r>
            <w:r w:rsidRPr="00BD4428">
              <w:rPr>
                <w:b/>
                <w:bCs/>
              </w:rPr>
              <w:instrText xml:space="preserve"> PAGE </w:instrText>
            </w:r>
            <w:r w:rsidRPr="00BD4428">
              <w:rPr>
                <w:b/>
                <w:bCs/>
                <w:sz w:val="24"/>
                <w:szCs w:val="24"/>
              </w:rPr>
              <w:fldChar w:fldCharType="separate"/>
            </w:r>
            <w:r w:rsidR="00BA57B9">
              <w:rPr>
                <w:b/>
                <w:bCs/>
                <w:noProof/>
              </w:rPr>
              <w:t>2</w:t>
            </w:r>
            <w:r w:rsidRPr="00BD4428">
              <w:rPr>
                <w:b/>
                <w:bCs/>
                <w:sz w:val="24"/>
                <w:szCs w:val="24"/>
              </w:rPr>
              <w:fldChar w:fldCharType="end"/>
            </w:r>
            <w:r w:rsidRPr="00BD4428">
              <w:t xml:space="preserve"> of </w:t>
            </w:r>
            <w:r w:rsidRPr="00BD4428">
              <w:rPr>
                <w:b/>
                <w:bCs/>
                <w:sz w:val="24"/>
                <w:szCs w:val="24"/>
              </w:rPr>
              <w:fldChar w:fldCharType="begin"/>
            </w:r>
            <w:r w:rsidRPr="00BD4428">
              <w:rPr>
                <w:b/>
                <w:bCs/>
              </w:rPr>
              <w:instrText xml:space="preserve"> NUMPAGES  </w:instrText>
            </w:r>
            <w:r w:rsidRPr="00BD4428">
              <w:rPr>
                <w:b/>
                <w:bCs/>
                <w:sz w:val="24"/>
                <w:szCs w:val="24"/>
              </w:rPr>
              <w:fldChar w:fldCharType="separate"/>
            </w:r>
            <w:r w:rsidR="00BA57B9">
              <w:rPr>
                <w:b/>
                <w:bCs/>
                <w:noProof/>
              </w:rPr>
              <w:t>20</w:t>
            </w:r>
            <w:r w:rsidRPr="00BD442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61" w:rsidRDefault="00D12061" w:rsidP="00BE541F">
      <w:r>
        <w:separator/>
      </w:r>
    </w:p>
  </w:footnote>
  <w:footnote w:type="continuationSeparator" w:id="0">
    <w:p w:rsidR="00D12061" w:rsidRDefault="00D12061" w:rsidP="00BE541F">
      <w:r>
        <w:continuationSeparator/>
      </w:r>
    </w:p>
  </w:footnote>
  <w:footnote w:id="1">
    <w:p w:rsidR="00D81B5F" w:rsidRDefault="00D81B5F" w:rsidP="00BD3AF7">
      <w:pPr>
        <w:pStyle w:val="FootnoteText"/>
      </w:pPr>
      <w:r>
        <w:rPr>
          <w:rStyle w:val="FootnoteReference"/>
        </w:rPr>
        <w:footnoteRef/>
      </w:r>
      <w:r>
        <w:t xml:space="preserve"> </w:t>
      </w:r>
      <w:r>
        <w:tab/>
      </w:r>
      <w:r w:rsidRPr="00321C06">
        <w:rPr>
          <w:i/>
        </w:rPr>
        <w:t>Convention on the Rights of Persons with Disabilities</w:t>
      </w:r>
      <w:r w:rsidRPr="00321C06">
        <w:t>, opened for signature, 2515 UNTS 3 (entered into force 3 May 2008); [2008] ATS 12, (entered into force for Australia 16 August 2008).</w:t>
      </w:r>
    </w:p>
  </w:footnote>
  <w:footnote w:id="2">
    <w:p w:rsidR="00D81B5F" w:rsidRDefault="00D81B5F" w:rsidP="004711A8">
      <w:pPr>
        <w:pStyle w:val="FootnoteText"/>
        <w:spacing w:after="0"/>
      </w:pPr>
      <w:r>
        <w:rPr>
          <w:rStyle w:val="FootnoteReference"/>
        </w:rPr>
        <w:footnoteRef/>
      </w:r>
      <w:r>
        <w:t xml:space="preserve"> </w:t>
      </w:r>
      <w:r>
        <w:tab/>
        <w:t>Ibid Articles 5(1), 13, 14 &amp; 16</w:t>
      </w:r>
    </w:p>
  </w:footnote>
  <w:footnote w:id="3">
    <w:p w:rsidR="00D81B5F" w:rsidRDefault="00D81B5F" w:rsidP="004711A8">
      <w:pPr>
        <w:pStyle w:val="FootnoteText"/>
        <w:spacing w:after="0"/>
      </w:pPr>
      <w:r>
        <w:rPr>
          <w:rStyle w:val="FootnoteReference"/>
        </w:rPr>
        <w:footnoteRef/>
      </w:r>
      <w:r>
        <w:t xml:space="preserve"> </w:t>
      </w:r>
      <w:r>
        <w:tab/>
        <w:t xml:space="preserve">Council of Australian Governments, </w:t>
      </w:r>
      <w:r w:rsidRPr="00BA0289">
        <w:rPr>
          <w:i/>
        </w:rPr>
        <w:t>Na</w:t>
      </w:r>
      <w:r>
        <w:rPr>
          <w:i/>
        </w:rPr>
        <w:t>tional Disability Strategy 2010–</w:t>
      </w:r>
      <w:r w:rsidRPr="00BA0289">
        <w:rPr>
          <w:i/>
        </w:rPr>
        <w:t>2020</w:t>
      </w:r>
      <w:r>
        <w:rPr>
          <w:i/>
        </w:rPr>
        <w:t xml:space="preserve"> </w:t>
      </w:r>
      <w:r>
        <w:t>(2011)</w:t>
      </w:r>
      <w:r w:rsidRPr="00BA0289">
        <w:rPr>
          <w:i/>
        </w:rPr>
        <w:t xml:space="preserve"> </w:t>
      </w:r>
      <w:r>
        <w:t>39.</w:t>
      </w:r>
    </w:p>
  </w:footnote>
  <w:footnote w:id="4">
    <w:p w:rsidR="00D81B5F" w:rsidRDefault="00D81B5F" w:rsidP="004711A8">
      <w:pPr>
        <w:pStyle w:val="FootnoteText"/>
        <w:spacing w:after="0"/>
      </w:pPr>
      <w:r>
        <w:rPr>
          <w:rStyle w:val="FootnoteReference"/>
        </w:rPr>
        <w:footnoteRef/>
      </w:r>
      <w:r>
        <w:t xml:space="preserve"> </w:t>
      </w:r>
      <w:r>
        <w:tab/>
        <w:t xml:space="preserve">Department of Premier and Cabinet (Tas), </w:t>
      </w:r>
      <w:r w:rsidRPr="001D06D8">
        <w:rPr>
          <w:i/>
        </w:rPr>
        <w:t>Disability Framework for Action 2013–2017</w:t>
      </w:r>
      <w:r>
        <w:rPr>
          <w:i/>
        </w:rPr>
        <w:t xml:space="preserve"> </w:t>
      </w:r>
      <w:r>
        <w:t>(2012).</w:t>
      </w:r>
    </w:p>
  </w:footnote>
  <w:footnote w:id="5">
    <w:p w:rsidR="00D81B5F" w:rsidRDefault="00D81B5F" w:rsidP="00234C55">
      <w:pPr>
        <w:pStyle w:val="FootnoteText"/>
      </w:pPr>
      <w:r>
        <w:rPr>
          <w:rStyle w:val="FootnoteReference"/>
        </w:rPr>
        <w:footnoteRef/>
      </w:r>
      <w:r>
        <w:t xml:space="preserve"> </w:t>
      </w:r>
      <w:r>
        <w:tab/>
        <w:t xml:space="preserve">Australian Human Rights Commission, </w:t>
      </w:r>
      <w:r w:rsidRPr="009959EF">
        <w:rPr>
          <w:i/>
        </w:rPr>
        <w:t xml:space="preserve">Equal Before the Law: Towards Disability Justice Strategies </w:t>
      </w:r>
      <w:r>
        <w:t>(February 2014).</w:t>
      </w:r>
    </w:p>
  </w:footnote>
  <w:footnote w:id="6">
    <w:p w:rsidR="00D81B5F" w:rsidRDefault="00D81B5F" w:rsidP="00234C55">
      <w:pPr>
        <w:pStyle w:val="FootnoteText"/>
      </w:pPr>
      <w:r>
        <w:rPr>
          <w:rStyle w:val="FootnoteReference"/>
        </w:rPr>
        <w:footnoteRef/>
      </w:r>
      <w:r>
        <w:t xml:space="preserve"> </w:t>
      </w:r>
      <w:r>
        <w:tab/>
        <w:t xml:space="preserve">Senate Community Affairs References Committee, Parliament of Australia, </w:t>
      </w:r>
      <w:r w:rsidRPr="00B64C0C">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xml:space="preserve"> </w:t>
      </w:r>
      <w:r w:rsidRPr="00836A86">
        <w:t>(November 2015)</w:t>
      </w:r>
      <w:r>
        <w:t>.</w:t>
      </w:r>
    </w:p>
  </w:footnote>
  <w:footnote w:id="7">
    <w:p w:rsidR="00D81B5F" w:rsidRDefault="00D81B5F" w:rsidP="00BD4428">
      <w:pPr>
        <w:pStyle w:val="FootnoteText"/>
        <w:spacing w:after="0"/>
      </w:pPr>
      <w:r>
        <w:rPr>
          <w:rStyle w:val="FootnoteReference"/>
        </w:rPr>
        <w:footnoteRef/>
      </w:r>
      <w:r>
        <w:t xml:space="preserve"> </w:t>
      </w:r>
      <w:r>
        <w:tab/>
        <w:t xml:space="preserve">See, </w:t>
      </w:r>
      <w:r w:rsidRPr="006C70A3">
        <w:t xml:space="preserve">Victorian Equal Opportunity and Human Rights Commission, </w:t>
      </w:r>
      <w:r w:rsidRPr="006C70A3">
        <w:rPr>
          <w:i/>
        </w:rPr>
        <w:t>Beyond Doubt: The Experiences of People with Disabilities Reporting Crime</w:t>
      </w:r>
      <w:r w:rsidRPr="006C70A3">
        <w:t xml:space="preserve"> (2014)</w:t>
      </w:r>
      <w:r>
        <w:t xml:space="preserve">; and </w:t>
      </w:r>
      <w:r w:rsidRPr="00D822EC">
        <w:t xml:space="preserve">Delanie Woodlock, Lucy Healey, Keran Howe, Magdalena McGuire, Vig Geddes and Sharon Granek, </w:t>
      </w:r>
      <w:r w:rsidRPr="00D822EC">
        <w:rPr>
          <w:i/>
        </w:rPr>
        <w:t>Voices against Violence Paper One: Summary Report and Recommendations</w:t>
      </w:r>
      <w:r w:rsidRPr="00D822EC">
        <w:t xml:space="preserve"> (Women with Disabilities Victoria, 2014)</w:t>
      </w:r>
      <w:r>
        <w:t>.</w:t>
      </w:r>
    </w:p>
  </w:footnote>
  <w:footnote w:id="8">
    <w:p w:rsidR="00D81B5F" w:rsidRDefault="00D81B5F" w:rsidP="00BD4428">
      <w:pPr>
        <w:pStyle w:val="FootnoteText"/>
        <w:spacing w:after="0"/>
      </w:pPr>
      <w:r>
        <w:rPr>
          <w:rStyle w:val="FootnoteReference"/>
        </w:rPr>
        <w:footnoteRef/>
      </w:r>
      <w:r>
        <w:t xml:space="preserve"> </w:t>
      </w:r>
      <w:r>
        <w:tab/>
      </w:r>
      <w:r w:rsidRPr="00051E19">
        <w:t xml:space="preserve">Commonwealth of Australia, </w:t>
      </w:r>
      <w:r w:rsidRPr="00051E19">
        <w:rPr>
          <w:i/>
        </w:rPr>
        <w:t>Third Action Plan 2016–2019 of the National Plan to Reduce Violence against Women and their Children 2010–2022</w:t>
      </w:r>
      <w:r w:rsidRPr="00051E19">
        <w:t xml:space="preserve"> (Department of Social Services (Cth), 2016).</w:t>
      </w:r>
    </w:p>
  </w:footnote>
  <w:footnote w:id="9">
    <w:p w:rsidR="00D81B5F" w:rsidRDefault="00D81B5F" w:rsidP="00234C55">
      <w:pPr>
        <w:pStyle w:val="FootnoteText"/>
      </w:pPr>
      <w:r>
        <w:rPr>
          <w:rStyle w:val="FootnoteReference"/>
        </w:rPr>
        <w:footnoteRef/>
      </w:r>
      <w:r>
        <w:t xml:space="preserve"> </w:t>
      </w:r>
      <w:r>
        <w:tab/>
        <w:t xml:space="preserve">Tasmanian Law Reform Institute, </w:t>
      </w:r>
      <w:r w:rsidRPr="006E02B0">
        <w:rPr>
          <w:i/>
        </w:rPr>
        <w:t>Facilitating Equal Access to Justice: An Intermediary/Communication Assistant Scheme for Tasmania?</w:t>
      </w:r>
      <w:r>
        <w:t xml:space="preserve"> Issues Paper No  22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B5F" w:rsidRDefault="003C47DC">
    <w:pPr>
      <w:pStyle w:val="Header"/>
    </w:pPr>
    <w:r>
      <w:rPr>
        <w:noProof/>
      </w:rPr>
      <w:drawing>
        <wp:anchor distT="0" distB="0" distL="114300" distR="114300" simplePos="0" relativeHeight="251659264" behindDoc="1" locked="0" layoutInCell="1" allowOverlap="1" wp14:anchorId="0EF5052D" wp14:editId="68D440E0">
          <wp:simplePos x="0" y="0"/>
          <wp:positionH relativeFrom="page">
            <wp:align>left</wp:align>
          </wp:positionH>
          <wp:positionV relativeFrom="page">
            <wp:align>bottom</wp:align>
          </wp:positionV>
          <wp:extent cx="7564755" cy="774065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74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B5F" w:rsidRDefault="00D81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185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22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A6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A1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149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82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82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DAD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02A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0C4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0F07"/>
    <w:multiLevelType w:val="hybridMultilevel"/>
    <w:tmpl w:val="55A4FE96"/>
    <w:lvl w:ilvl="0" w:tplc="5E3A3A94">
      <w:start w:val="1"/>
      <w:numFmt w:val="bullet"/>
      <w:pStyle w:val="Action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06C44B66"/>
    <w:multiLevelType w:val="hybridMultilevel"/>
    <w:tmpl w:val="BC10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712D07"/>
    <w:multiLevelType w:val="hybridMultilevel"/>
    <w:tmpl w:val="4C444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B5B76"/>
    <w:multiLevelType w:val="hybridMultilevel"/>
    <w:tmpl w:val="EA30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530A78"/>
    <w:multiLevelType w:val="hybridMultilevel"/>
    <w:tmpl w:val="B4EC3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385AF9"/>
    <w:multiLevelType w:val="hybridMultilevel"/>
    <w:tmpl w:val="A068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B93B74"/>
    <w:multiLevelType w:val="hybridMultilevel"/>
    <w:tmpl w:val="1206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094713"/>
    <w:multiLevelType w:val="multilevel"/>
    <w:tmpl w:val="CDA265DE"/>
    <w:lvl w:ilvl="0">
      <w:start w:val="1"/>
      <w:numFmt w:val="decimal"/>
      <w:pStyle w:val="Quotebullet"/>
      <w:lvlText w:val="%1."/>
      <w:lvlJc w:val="left"/>
      <w:pPr>
        <w:ind w:left="360" w:hanging="360"/>
      </w:pPr>
      <w:rPr>
        <w:rFonts w:hint="default"/>
        <w:b w:val="0"/>
      </w:rPr>
    </w:lvl>
    <w:lvl w:ilvl="1">
      <w:start w:val="1"/>
      <w:numFmt w:val="bullet"/>
      <w:lvlText w:val=""/>
      <w:lvlJc w:val="left"/>
      <w:pPr>
        <w:ind w:left="-453" w:hanging="420"/>
      </w:pPr>
      <w:rPr>
        <w:rFonts w:ascii="Symbol" w:hAnsi="Symbol" w:hint="default"/>
        <w:b w:val="0"/>
        <w:sz w:val="23"/>
      </w:rPr>
    </w:lvl>
    <w:lvl w:ilvl="2">
      <w:start w:val="1"/>
      <w:numFmt w:val="decimal"/>
      <w:isLgl/>
      <w:lvlText w:val="%1.%2.%3"/>
      <w:lvlJc w:val="left"/>
      <w:pPr>
        <w:ind w:left="1288" w:hanging="720"/>
      </w:pPr>
      <w:rPr>
        <w:rFonts w:hint="default"/>
        <w:b w:val="0"/>
        <w:sz w:val="23"/>
      </w:rPr>
    </w:lvl>
    <w:lvl w:ilvl="3">
      <w:start w:val="1"/>
      <w:numFmt w:val="decimal"/>
      <w:isLgl/>
      <w:lvlText w:val="%1.%2.%3.%4"/>
      <w:lvlJc w:val="left"/>
      <w:pPr>
        <w:ind w:left="1572" w:hanging="720"/>
      </w:pPr>
      <w:rPr>
        <w:rFonts w:hint="default"/>
        <w:b w:val="0"/>
        <w:sz w:val="23"/>
      </w:rPr>
    </w:lvl>
    <w:lvl w:ilvl="4">
      <w:start w:val="1"/>
      <w:numFmt w:val="decimal"/>
      <w:isLgl/>
      <w:lvlText w:val="%1.%2.%3.%4.%5"/>
      <w:lvlJc w:val="left"/>
      <w:pPr>
        <w:ind w:left="2216" w:hanging="1080"/>
      </w:pPr>
      <w:rPr>
        <w:rFonts w:hint="default"/>
        <w:b w:val="0"/>
        <w:sz w:val="23"/>
      </w:rPr>
    </w:lvl>
    <w:lvl w:ilvl="5">
      <w:start w:val="1"/>
      <w:numFmt w:val="decimal"/>
      <w:isLgl/>
      <w:lvlText w:val="%1.%2.%3.%4.%5.%6"/>
      <w:lvlJc w:val="left"/>
      <w:pPr>
        <w:ind w:left="2500" w:hanging="1080"/>
      </w:pPr>
      <w:rPr>
        <w:rFonts w:hint="default"/>
        <w:b w:val="0"/>
        <w:sz w:val="23"/>
      </w:rPr>
    </w:lvl>
    <w:lvl w:ilvl="6">
      <w:start w:val="1"/>
      <w:numFmt w:val="decimal"/>
      <w:isLgl/>
      <w:lvlText w:val="%1.%2.%3.%4.%5.%6.%7"/>
      <w:lvlJc w:val="left"/>
      <w:pPr>
        <w:ind w:left="3144" w:hanging="1440"/>
      </w:pPr>
      <w:rPr>
        <w:rFonts w:hint="default"/>
        <w:b w:val="0"/>
        <w:sz w:val="23"/>
      </w:rPr>
    </w:lvl>
    <w:lvl w:ilvl="7">
      <w:start w:val="1"/>
      <w:numFmt w:val="decimal"/>
      <w:isLgl/>
      <w:lvlText w:val="%1.%2.%3.%4.%5.%6.%7.%8"/>
      <w:lvlJc w:val="left"/>
      <w:pPr>
        <w:ind w:left="3428" w:hanging="1440"/>
      </w:pPr>
      <w:rPr>
        <w:rFonts w:hint="default"/>
        <w:b w:val="0"/>
        <w:sz w:val="23"/>
      </w:rPr>
    </w:lvl>
    <w:lvl w:ilvl="8">
      <w:start w:val="1"/>
      <w:numFmt w:val="decimal"/>
      <w:isLgl/>
      <w:lvlText w:val="%1.%2.%3.%4.%5.%6.%7.%8.%9"/>
      <w:lvlJc w:val="left"/>
      <w:pPr>
        <w:ind w:left="4072" w:hanging="1800"/>
      </w:pPr>
      <w:rPr>
        <w:rFonts w:hint="default"/>
        <w:b w:val="0"/>
        <w:sz w:val="23"/>
      </w:rPr>
    </w:lvl>
  </w:abstractNum>
  <w:abstractNum w:abstractNumId="18" w15:restartNumberingAfterBreak="0">
    <w:nsid w:val="1DAF024F"/>
    <w:multiLevelType w:val="hybridMultilevel"/>
    <w:tmpl w:val="8940F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7826C7"/>
    <w:multiLevelType w:val="hybridMultilevel"/>
    <w:tmpl w:val="631820D4"/>
    <w:lvl w:ilvl="0" w:tplc="ED36EEA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761862"/>
    <w:multiLevelType w:val="hybridMultilevel"/>
    <w:tmpl w:val="000C3C14"/>
    <w:lvl w:ilvl="0" w:tplc="0C090001">
      <w:start w:val="1"/>
      <w:numFmt w:val="bullet"/>
      <w:pStyle w:val="Normal-numbered"/>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D025E0A">
      <w:start w:val="2"/>
      <w:numFmt w:val="bullet"/>
      <w:lvlText w:val="•"/>
      <w:lvlJc w:val="left"/>
      <w:pPr>
        <w:ind w:left="2235" w:hanging="435"/>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5D25B7"/>
    <w:multiLevelType w:val="hybridMultilevel"/>
    <w:tmpl w:val="49E6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A928D5"/>
    <w:multiLevelType w:val="hybridMultilevel"/>
    <w:tmpl w:val="3538F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48227E"/>
    <w:multiLevelType w:val="hybridMultilevel"/>
    <w:tmpl w:val="E32EF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2D5C17"/>
    <w:multiLevelType w:val="hybridMultilevel"/>
    <w:tmpl w:val="31BA0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26" w15:restartNumberingAfterBreak="0">
    <w:nsid w:val="37893EEE"/>
    <w:multiLevelType w:val="hybridMultilevel"/>
    <w:tmpl w:val="D71C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B4253B"/>
    <w:multiLevelType w:val="hybridMultilevel"/>
    <w:tmpl w:val="2966B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FB646B"/>
    <w:multiLevelType w:val="hybridMultilevel"/>
    <w:tmpl w:val="B2842878"/>
    <w:lvl w:ilvl="0" w:tplc="645CAC76">
      <w:start w:val="1"/>
      <w:numFmt w:val="decimal"/>
      <w:pStyle w:val="Quote-subsectio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67E1BFF"/>
    <w:multiLevelType w:val="hybridMultilevel"/>
    <w:tmpl w:val="8C8A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AC79A7"/>
    <w:multiLevelType w:val="hybridMultilevel"/>
    <w:tmpl w:val="EE689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8246274"/>
    <w:multiLevelType w:val="hybridMultilevel"/>
    <w:tmpl w:val="8BA26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D772AF"/>
    <w:multiLevelType w:val="hybridMultilevel"/>
    <w:tmpl w:val="C586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F3066B"/>
    <w:multiLevelType w:val="hybridMultilevel"/>
    <w:tmpl w:val="ADD2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2C4643"/>
    <w:multiLevelType w:val="hybridMultilevel"/>
    <w:tmpl w:val="0B82E74E"/>
    <w:lvl w:ilvl="0" w:tplc="0C09000F">
      <w:start w:val="1"/>
      <w:numFmt w:val="decimal"/>
      <w:pStyle w:val="Recommendation-numbered"/>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952400"/>
    <w:multiLevelType w:val="hybridMultilevel"/>
    <w:tmpl w:val="81DE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52A48"/>
    <w:multiLevelType w:val="hybridMultilevel"/>
    <w:tmpl w:val="9868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D51640"/>
    <w:multiLevelType w:val="hybridMultilevel"/>
    <w:tmpl w:val="9DC2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BD79C4"/>
    <w:multiLevelType w:val="hybridMultilevel"/>
    <w:tmpl w:val="523E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9D64B9"/>
    <w:multiLevelType w:val="hybridMultilevel"/>
    <w:tmpl w:val="A7C4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390771"/>
    <w:multiLevelType w:val="hybridMultilevel"/>
    <w:tmpl w:val="5A04B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1C531F"/>
    <w:multiLevelType w:val="hybridMultilevel"/>
    <w:tmpl w:val="3716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AC5B95"/>
    <w:multiLevelType w:val="hybridMultilevel"/>
    <w:tmpl w:val="AF1EBB12"/>
    <w:lvl w:ilvl="0" w:tplc="41024A98">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28"/>
  </w:num>
  <w:num w:numId="2">
    <w:abstractNumId w:val="20"/>
  </w:num>
  <w:num w:numId="3">
    <w:abstractNumId w:val="17"/>
  </w:num>
  <w:num w:numId="4">
    <w:abstractNumId w:val="42"/>
  </w:num>
  <w:num w:numId="5">
    <w:abstractNumId w:val="34"/>
  </w:num>
  <w:num w:numId="6">
    <w:abstractNumId w:val="25"/>
  </w:num>
  <w:num w:numId="7">
    <w:abstractNumId w:val="30"/>
  </w:num>
  <w:num w:numId="8">
    <w:abstractNumId w:val="22"/>
  </w:num>
  <w:num w:numId="9">
    <w:abstractNumId w:val="40"/>
  </w:num>
  <w:num w:numId="10">
    <w:abstractNumId w:val="24"/>
  </w:num>
  <w:num w:numId="11">
    <w:abstractNumId w:val="15"/>
  </w:num>
  <w:num w:numId="12">
    <w:abstractNumId w:val="14"/>
  </w:num>
  <w:num w:numId="13">
    <w:abstractNumId w:val="31"/>
  </w:num>
  <w:num w:numId="14">
    <w:abstractNumId w:val="23"/>
  </w:num>
  <w:num w:numId="15">
    <w:abstractNumId w:val="29"/>
  </w:num>
  <w:num w:numId="16">
    <w:abstractNumId w:val="25"/>
  </w:num>
  <w:num w:numId="17">
    <w:abstractNumId w:val="18"/>
  </w:num>
  <w:num w:numId="18">
    <w:abstractNumId w:val="11"/>
  </w:num>
  <w:num w:numId="19">
    <w:abstractNumId w:val="39"/>
  </w:num>
  <w:num w:numId="20">
    <w:abstractNumId w:val="36"/>
  </w:num>
  <w:num w:numId="21">
    <w:abstractNumId w:val="27"/>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2"/>
  </w:num>
  <w:num w:numId="35">
    <w:abstractNumId w:val="41"/>
  </w:num>
  <w:num w:numId="36">
    <w:abstractNumId w:val="26"/>
  </w:num>
  <w:num w:numId="37">
    <w:abstractNumId w:val="33"/>
  </w:num>
  <w:num w:numId="38">
    <w:abstractNumId w:val="10"/>
  </w:num>
  <w:num w:numId="39">
    <w:abstractNumId w:val="37"/>
  </w:num>
  <w:num w:numId="40">
    <w:abstractNumId w:val="35"/>
  </w:num>
  <w:num w:numId="41">
    <w:abstractNumId w:val="21"/>
  </w:num>
  <w:num w:numId="42">
    <w:abstractNumId w:val="16"/>
  </w:num>
  <w:num w:numId="43">
    <w:abstractNumId w:val="13"/>
  </w:num>
  <w:num w:numId="44">
    <w:abstractNumId w:val="38"/>
  </w:num>
  <w:num w:numId="4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6D"/>
    <w:rsid w:val="00000A9D"/>
    <w:rsid w:val="00000AE9"/>
    <w:rsid w:val="00001525"/>
    <w:rsid w:val="0000236D"/>
    <w:rsid w:val="0000237F"/>
    <w:rsid w:val="0000274F"/>
    <w:rsid w:val="000136C3"/>
    <w:rsid w:val="000173AB"/>
    <w:rsid w:val="00020273"/>
    <w:rsid w:val="000218F7"/>
    <w:rsid w:val="00025E54"/>
    <w:rsid w:val="00030968"/>
    <w:rsid w:val="00030D9C"/>
    <w:rsid w:val="00032CD5"/>
    <w:rsid w:val="0003382F"/>
    <w:rsid w:val="00037376"/>
    <w:rsid w:val="000373CD"/>
    <w:rsid w:val="00037F3F"/>
    <w:rsid w:val="00041575"/>
    <w:rsid w:val="000418AA"/>
    <w:rsid w:val="0004292E"/>
    <w:rsid w:val="000429C9"/>
    <w:rsid w:val="00043169"/>
    <w:rsid w:val="0005163B"/>
    <w:rsid w:val="00051B87"/>
    <w:rsid w:val="00052335"/>
    <w:rsid w:val="0005301F"/>
    <w:rsid w:val="00055C62"/>
    <w:rsid w:val="00057DC2"/>
    <w:rsid w:val="00067536"/>
    <w:rsid w:val="00071D91"/>
    <w:rsid w:val="000772E6"/>
    <w:rsid w:val="0008018F"/>
    <w:rsid w:val="00080C3C"/>
    <w:rsid w:val="00082A54"/>
    <w:rsid w:val="000830DC"/>
    <w:rsid w:val="000840FF"/>
    <w:rsid w:val="000845A8"/>
    <w:rsid w:val="00086A45"/>
    <w:rsid w:val="00092D4E"/>
    <w:rsid w:val="0009518F"/>
    <w:rsid w:val="00095768"/>
    <w:rsid w:val="0009710B"/>
    <w:rsid w:val="00097FC3"/>
    <w:rsid w:val="000A4CA9"/>
    <w:rsid w:val="000A5176"/>
    <w:rsid w:val="000A5283"/>
    <w:rsid w:val="000B5653"/>
    <w:rsid w:val="000B5B4C"/>
    <w:rsid w:val="000C78F8"/>
    <w:rsid w:val="000D0C90"/>
    <w:rsid w:val="000D23B9"/>
    <w:rsid w:val="000E31D9"/>
    <w:rsid w:val="000E3410"/>
    <w:rsid w:val="000E492F"/>
    <w:rsid w:val="000E70A6"/>
    <w:rsid w:val="000E759C"/>
    <w:rsid w:val="000E7939"/>
    <w:rsid w:val="000F5E56"/>
    <w:rsid w:val="000F697B"/>
    <w:rsid w:val="00100052"/>
    <w:rsid w:val="001031B6"/>
    <w:rsid w:val="00105B49"/>
    <w:rsid w:val="0010679B"/>
    <w:rsid w:val="00107E0A"/>
    <w:rsid w:val="00112698"/>
    <w:rsid w:val="00115EAB"/>
    <w:rsid w:val="00116874"/>
    <w:rsid w:val="00116F0C"/>
    <w:rsid w:val="0012006E"/>
    <w:rsid w:val="001209F8"/>
    <w:rsid w:val="00121913"/>
    <w:rsid w:val="001240F9"/>
    <w:rsid w:val="00134CF5"/>
    <w:rsid w:val="00134FFB"/>
    <w:rsid w:val="001353A2"/>
    <w:rsid w:val="00136968"/>
    <w:rsid w:val="00142FBD"/>
    <w:rsid w:val="00143045"/>
    <w:rsid w:val="00144A11"/>
    <w:rsid w:val="00145086"/>
    <w:rsid w:val="00155C36"/>
    <w:rsid w:val="00157D34"/>
    <w:rsid w:val="00160CAA"/>
    <w:rsid w:val="0016498B"/>
    <w:rsid w:val="001654C6"/>
    <w:rsid w:val="001674A3"/>
    <w:rsid w:val="001700B2"/>
    <w:rsid w:val="001747D7"/>
    <w:rsid w:val="001757F5"/>
    <w:rsid w:val="0018092C"/>
    <w:rsid w:val="00182052"/>
    <w:rsid w:val="00182B28"/>
    <w:rsid w:val="00185C8B"/>
    <w:rsid w:val="00195ABF"/>
    <w:rsid w:val="001A1F9A"/>
    <w:rsid w:val="001A54A5"/>
    <w:rsid w:val="001B071D"/>
    <w:rsid w:val="001B3AFA"/>
    <w:rsid w:val="001C49BF"/>
    <w:rsid w:val="001D03E4"/>
    <w:rsid w:val="001E20C5"/>
    <w:rsid w:val="001E256B"/>
    <w:rsid w:val="001E2BF8"/>
    <w:rsid w:val="001E3C69"/>
    <w:rsid w:val="001E6265"/>
    <w:rsid w:val="001F2063"/>
    <w:rsid w:val="001F5D00"/>
    <w:rsid w:val="0020049A"/>
    <w:rsid w:val="00201A0D"/>
    <w:rsid w:val="00205670"/>
    <w:rsid w:val="00205F2C"/>
    <w:rsid w:val="00211246"/>
    <w:rsid w:val="0021143E"/>
    <w:rsid w:val="00214B4A"/>
    <w:rsid w:val="00215335"/>
    <w:rsid w:val="0022025E"/>
    <w:rsid w:val="00221FDC"/>
    <w:rsid w:val="0022263C"/>
    <w:rsid w:val="00223C06"/>
    <w:rsid w:val="002313D0"/>
    <w:rsid w:val="0023375C"/>
    <w:rsid w:val="00233840"/>
    <w:rsid w:val="00234C55"/>
    <w:rsid w:val="002356FD"/>
    <w:rsid w:val="0023771B"/>
    <w:rsid w:val="002422FC"/>
    <w:rsid w:val="002449E2"/>
    <w:rsid w:val="00250ECC"/>
    <w:rsid w:val="00251F8B"/>
    <w:rsid w:val="00255BDB"/>
    <w:rsid w:val="002575CC"/>
    <w:rsid w:val="00282146"/>
    <w:rsid w:val="00282355"/>
    <w:rsid w:val="00284403"/>
    <w:rsid w:val="002859E9"/>
    <w:rsid w:val="00285A2F"/>
    <w:rsid w:val="00290950"/>
    <w:rsid w:val="00297DC5"/>
    <w:rsid w:val="002A1F68"/>
    <w:rsid w:val="002A483A"/>
    <w:rsid w:val="002A6B3E"/>
    <w:rsid w:val="002B18A9"/>
    <w:rsid w:val="002B30EB"/>
    <w:rsid w:val="002B32AA"/>
    <w:rsid w:val="002B3D1D"/>
    <w:rsid w:val="002B5111"/>
    <w:rsid w:val="002B5A82"/>
    <w:rsid w:val="002B6AA0"/>
    <w:rsid w:val="002B6C0B"/>
    <w:rsid w:val="002B6FC3"/>
    <w:rsid w:val="002C0A25"/>
    <w:rsid w:val="002C0D44"/>
    <w:rsid w:val="002C1F9A"/>
    <w:rsid w:val="002C2D5F"/>
    <w:rsid w:val="002C3B9F"/>
    <w:rsid w:val="002C448E"/>
    <w:rsid w:val="002C6462"/>
    <w:rsid w:val="002C6D5E"/>
    <w:rsid w:val="002D27A8"/>
    <w:rsid w:val="002D5144"/>
    <w:rsid w:val="002D5762"/>
    <w:rsid w:val="002D77FA"/>
    <w:rsid w:val="002E5313"/>
    <w:rsid w:val="002E785F"/>
    <w:rsid w:val="002F035D"/>
    <w:rsid w:val="002F1545"/>
    <w:rsid w:val="002F157C"/>
    <w:rsid w:val="002F53AA"/>
    <w:rsid w:val="002F5F67"/>
    <w:rsid w:val="002F7562"/>
    <w:rsid w:val="003016CA"/>
    <w:rsid w:val="00302B80"/>
    <w:rsid w:val="003043A8"/>
    <w:rsid w:val="00306D70"/>
    <w:rsid w:val="00311828"/>
    <w:rsid w:val="003141DA"/>
    <w:rsid w:val="00314764"/>
    <w:rsid w:val="00322CD2"/>
    <w:rsid w:val="00323129"/>
    <w:rsid w:val="003344EE"/>
    <w:rsid w:val="00334BCE"/>
    <w:rsid w:val="00337F1D"/>
    <w:rsid w:val="00342B55"/>
    <w:rsid w:val="00343275"/>
    <w:rsid w:val="00343B30"/>
    <w:rsid w:val="00345485"/>
    <w:rsid w:val="00346913"/>
    <w:rsid w:val="00353F84"/>
    <w:rsid w:val="00363E9D"/>
    <w:rsid w:val="003651B9"/>
    <w:rsid w:val="00367939"/>
    <w:rsid w:val="003718E1"/>
    <w:rsid w:val="00371D6C"/>
    <w:rsid w:val="00373ABA"/>
    <w:rsid w:val="00377C61"/>
    <w:rsid w:val="00380D3A"/>
    <w:rsid w:val="00381A51"/>
    <w:rsid w:val="00381F1E"/>
    <w:rsid w:val="00385719"/>
    <w:rsid w:val="00386241"/>
    <w:rsid w:val="00390ED8"/>
    <w:rsid w:val="003972A3"/>
    <w:rsid w:val="00397330"/>
    <w:rsid w:val="003976BE"/>
    <w:rsid w:val="003A45C3"/>
    <w:rsid w:val="003A6814"/>
    <w:rsid w:val="003B4E80"/>
    <w:rsid w:val="003B6552"/>
    <w:rsid w:val="003C08AA"/>
    <w:rsid w:val="003C2DEE"/>
    <w:rsid w:val="003C4195"/>
    <w:rsid w:val="003C47DC"/>
    <w:rsid w:val="003C4D1C"/>
    <w:rsid w:val="003C6CF2"/>
    <w:rsid w:val="003D22ED"/>
    <w:rsid w:val="003D2519"/>
    <w:rsid w:val="003E07CF"/>
    <w:rsid w:val="003E0898"/>
    <w:rsid w:val="003E3B27"/>
    <w:rsid w:val="003F0039"/>
    <w:rsid w:val="003F34EA"/>
    <w:rsid w:val="003F41F2"/>
    <w:rsid w:val="003F6F1F"/>
    <w:rsid w:val="003F6FA0"/>
    <w:rsid w:val="0040076F"/>
    <w:rsid w:val="004042DE"/>
    <w:rsid w:val="00404ECA"/>
    <w:rsid w:val="004101E3"/>
    <w:rsid w:val="0041404F"/>
    <w:rsid w:val="00421CDD"/>
    <w:rsid w:val="004233B9"/>
    <w:rsid w:val="0042360D"/>
    <w:rsid w:val="00426A61"/>
    <w:rsid w:val="0042776F"/>
    <w:rsid w:val="0043094E"/>
    <w:rsid w:val="00431270"/>
    <w:rsid w:val="004320A8"/>
    <w:rsid w:val="0043566D"/>
    <w:rsid w:val="00440916"/>
    <w:rsid w:val="004417C0"/>
    <w:rsid w:val="00442CA4"/>
    <w:rsid w:val="00445794"/>
    <w:rsid w:val="00446A6A"/>
    <w:rsid w:val="0044717A"/>
    <w:rsid w:val="004479C6"/>
    <w:rsid w:val="00454B66"/>
    <w:rsid w:val="00455440"/>
    <w:rsid w:val="0045575E"/>
    <w:rsid w:val="00465003"/>
    <w:rsid w:val="0046691C"/>
    <w:rsid w:val="004669F7"/>
    <w:rsid w:val="004711A8"/>
    <w:rsid w:val="0047269A"/>
    <w:rsid w:val="00473770"/>
    <w:rsid w:val="00481A59"/>
    <w:rsid w:val="0048217D"/>
    <w:rsid w:val="0048366D"/>
    <w:rsid w:val="0048480A"/>
    <w:rsid w:val="00484839"/>
    <w:rsid w:val="00484AA8"/>
    <w:rsid w:val="00492CF4"/>
    <w:rsid w:val="00493CBD"/>
    <w:rsid w:val="00496F31"/>
    <w:rsid w:val="00497E0F"/>
    <w:rsid w:val="004A0828"/>
    <w:rsid w:val="004A47A1"/>
    <w:rsid w:val="004A5519"/>
    <w:rsid w:val="004B0C80"/>
    <w:rsid w:val="004B522A"/>
    <w:rsid w:val="004B5A4F"/>
    <w:rsid w:val="004B5F16"/>
    <w:rsid w:val="004B62C9"/>
    <w:rsid w:val="004C4B6F"/>
    <w:rsid w:val="004C626C"/>
    <w:rsid w:val="004C676E"/>
    <w:rsid w:val="004D051F"/>
    <w:rsid w:val="004D1842"/>
    <w:rsid w:val="004D4EC9"/>
    <w:rsid w:val="004D55BD"/>
    <w:rsid w:val="004D57F2"/>
    <w:rsid w:val="004E199B"/>
    <w:rsid w:val="004E209B"/>
    <w:rsid w:val="004E381F"/>
    <w:rsid w:val="004E471A"/>
    <w:rsid w:val="004E5DF8"/>
    <w:rsid w:val="004E77F2"/>
    <w:rsid w:val="004E7DFF"/>
    <w:rsid w:val="004F64D8"/>
    <w:rsid w:val="0050291C"/>
    <w:rsid w:val="00503250"/>
    <w:rsid w:val="00506FA9"/>
    <w:rsid w:val="00507D55"/>
    <w:rsid w:val="00510209"/>
    <w:rsid w:val="00514DCA"/>
    <w:rsid w:val="00525DF8"/>
    <w:rsid w:val="005310C1"/>
    <w:rsid w:val="00531787"/>
    <w:rsid w:val="005336E2"/>
    <w:rsid w:val="005347DF"/>
    <w:rsid w:val="00535519"/>
    <w:rsid w:val="005356AD"/>
    <w:rsid w:val="00546455"/>
    <w:rsid w:val="00546EDA"/>
    <w:rsid w:val="005478DB"/>
    <w:rsid w:val="00547F15"/>
    <w:rsid w:val="00560C06"/>
    <w:rsid w:val="00562C50"/>
    <w:rsid w:val="00570B04"/>
    <w:rsid w:val="005728D2"/>
    <w:rsid w:val="00572FE4"/>
    <w:rsid w:val="005744A2"/>
    <w:rsid w:val="00581F9A"/>
    <w:rsid w:val="005874A8"/>
    <w:rsid w:val="005877ED"/>
    <w:rsid w:val="005958B0"/>
    <w:rsid w:val="005968AB"/>
    <w:rsid w:val="005A13E9"/>
    <w:rsid w:val="005A4F34"/>
    <w:rsid w:val="005A6AAE"/>
    <w:rsid w:val="005B60FC"/>
    <w:rsid w:val="005B7245"/>
    <w:rsid w:val="005C16B8"/>
    <w:rsid w:val="005C74C9"/>
    <w:rsid w:val="005D0569"/>
    <w:rsid w:val="005D0AD7"/>
    <w:rsid w:val="005D3650"/>
    <w:rsid w:val="005D71D1"/>
    <w:rsid w:val="005E1F80"/>
    <w:rsid w:val="005E50FC"/>
    <w:rsid w:val="005E7954"/>
    <w:rsid w:val="005F035F"/>
    <w:rsid w:val="005F2457"/>
    <w:rsid w:val="005F6EBE"/>
    <w:rsid w:val="005F7CBB"/>
    <w:rsid w:val="00602454"/>
    <w:rsid w:val="00602C68"/>
    <w:rsid w:val="00603C6A"/>
    <w:rsid w:val="00603F0D"/>
    <w:rsid w:val="00603F9B"/>
    <w:rsid w:val="006047B3"/>
    <w:rsid w:val="00605F67"/>
    <w:rsid w:val="00607A7D"/>
    <w:rsid w:val="006214E5"/>
    <w:rsid w:val="00622240"/>
    <w:rsid w:val="006241C6"/>
    <w:rsid w:val="00625234"/>
    <w:rsid w:val="00625559"/>
    <w:rsid w:val="00631670"/>
    <w:rsid w:val="006325B7"/>
    <w:rsid w:val="006332D3"/>
    <w:rsid w:val="0063335A"/>
    <w:rsid w:val="00634F9A"/>
    <w:rsid w:val="00635804"/>
    <w:rsid w:val="00641B00"/>
    <w:rsid w:val="00642F00"/>
    <w:rsid w:val="00645A2E"/>
    <w:rsid w:val="00646F5E"/>
    <w:rsid w:val="006472B7"/>
    <w:rsid w:val="0065450D"/>
    <w:rsid w:val="00655250"/>
    <w:rsid w:val="006555EE"/>
    <w:rsid w:val="00656EFA"/>
    <w:rsid w:val="0065766B"/>
    <w:rsid w:val="00662C0F"/>
    <w:rsid w:val="0067000A"/>
    <w:rsid w:val="00672698"/>
    <w:rsid w:val="00677068"/>
    <w:rsid w:val="006772C2"/>
    <w:rsid w:val="00677F3C"/>
    <w:rsid w:val="0068155E"/>
    <w:rsid w:val="006824AA"/>
    <w:rsid w:val="00683112"/>
    <w:rsid w:val="00684B59"/>
    <w:rsid w:val="00685843"/>
    <w:rsid w:val="006876A0"/>
    <w:rsid w:val="00687885"/>
    <w:rsid w:val="00691988"/>
    <w:rsid w:val="00693E65"/>
    <w:rsid w:val="00694D14"/>
    <w:rsid w:val="006A2CD7"/>
    <w:rsid w:val="006A3B33"/>
    <w:rsid w:val="006B1674"/>
    <w:rsid w:val="006B3CA0"/>
    <w:rsid w:val="006C33E3"/>
    <w:rsid w:val="006C4181"/>
    <w:rsid w:val="006C49E7"/>
    <w:rsid w:val="006D42CE"/>
    <w:rsid w:val="006E0F98"/>
    <w:rsid w:val="006E197F"/>
    <w:rsid w:val="006E2EAE"/>
    <w:rsid w:val="006E3F11"/>
    <w:rsid w:val="006E56F5"/>
    <w:rsid w:val="006F1458"/>
    <w:rsid w:val="006F1854"/>
    <w:rsid w:val="006F6ECD"/>
    <w:rsid w:val="00701A3D"/>
    <w:rsid w:val="007034C9"/>
    <w:rsid w:val="00703D45"/>
    <w:rsid w:val="00704F75"/>
    <w:rsid w:val="00710419"/>
    <w:rsid w:val="00712B86"/>
    <w:rsid w:val="00716F59"/>
    <w:rsid w:val="007209F2"/>
    <w:rsid w:val="00720FEA"/>
    <w:rsid w:val="00723D94"/>
    <w:rsid w:val="00724A27"/>
    <w:rsid w:val="0072509C"/>
    <w:rsid w:val="00731477"/>
    <w:rsid w:val="007317D6"/>
    <w:rsid w:val="00733D91"/>
    <w:rsid w:val="007342AF"/>
    <w:rsid w:val="007424B8"/>
    <w:rsid w:val="00744242"/>
    <w:rsid w:val="0074584A"/>
    <w:rsid w:val="00746AA9"/>
    <w:rsid w:val="00747236"/>
    <w:rsid w:val="0075319E"/>
    <w:rsid w:val="00765966"/>
    <w:rsid w:val="007666D8"/>
    <w:rsid w:val="00770A8A"/>
    <w:rsid w:val="0077165C"/>
    <w:rsid w:val="00772AF9"/>
    <w:rsid w:val="00773444"/>
    <w:rsid w:val="00775E85"/>
    <w:rsid w:val="00780A99"/>
    <w:rsid w:val="00784D00"/>
    <w:rsid w:val="0078568F"/>
    <w:rsid w:val="007879BC"/>
    <w:rsid w:val="00790495"/>
    <w:rsid w:val="00790AE3"/>
    <w:rsid w:val="007913D9"/>
    <w:rsid w:val="00793974"/>
    <w:rsid w:val="00794BF0"/>
    <w:rsid w:val="007A0FEF"/>
    <w:rsid w:val="007A1FFC"/>
    <w:rsid w:val="007A2C16"/>
    <w:rsid w:val="007A32B2"/>
    <w:rsid w:val="007A43B7"/>
    <w:rsid w:val="007B2682"/>
    <w:rsid w:val="007B5C90"/>
    <w:rsid w:val="007B74C1"/>
    <w:rsid w:val="007B7805"/>
    <w:rsid w:val="007C39AB"/>
    <w:rsid w:val="007C6317"/>
    <w:rsid w:val="007C716F"/>
    <w:rsid w:val="007D0997"/>
    <w:rsid w:val="007D2950"/>
    <w:rsid w:val="007D49B1"/>
    <w:rsid w:val="007D5FA4"/>
    <w:rsid w:val="007E2CF2"/>
    <w:rsid w:val="007E3420"/>
    <w:rsid w:val="007E55F0"/>
    <w:rsid w:val="007E734D"/>
    <w:rsid w:val="007F45DC"/>
    <w:rsid w:val="007F6498"/>
    <w:rsid w:val="0080094F"/>
    <w:rsid w:val="00802D6C"/>
    <w:rsid w:val="00803805"/>
    <w:rsid w:val="00803D5E"/>
    <w:rsid w:val="00804A7D"/>
    <w:rsid w:val="00806176"/>
    <w:rsid w:val="008071AD"/>
    <w:rsid w:val="00810253"/>
    <w:rsid w:val="00810874"/>
    <w:rsid w:val="00811320"/>
    <w:rsid w:val="0081135A"/>
    <w:rsid w:val="00811870"/>
    <w:rsid w:val="00811DA1"/>
    <w:rsid w:val="0081250F"/>
    <w:rsid w:val="008131DA"/>
    <w:rsid w:val="00816670"/>
    <w:rsid w:val="0082190B"/>
    <w:rsid w:val="00823079"/>
    <w:rsid w:val="00827E96"/>
    <w:rsid w:val="00832EE2"/>
    <w:rsid w:val="008332F9"/>
    <w:rsid w:val="00834F5D"/>
    <w:rsid w:val="00835BB3"/>
    <w:rsid w:val="008415C5"/>
    <w:rsid w:val="00841989"/>
    <w:rsid w:val="00845E4E"/>
    <w:rsid w:val="0084788C"/>
    <w:rsid w:val="00850840"/>
    <w:rsid w:val="008547C5"/>
    <w:rsid w:val="0085718F"/>
    <w:rsid w:val="00857F4D"/>
    <w:rsid w:val="0086155D"/>
    <w:rsid w:val="008625FF"/>
    <w:rsid w:val="00863670"/>
    <w:rsid w:val="0087586D"/>
    <w:rsid w:val="00875A28"/>
    <w:rsid w:val="00880871"/>
    <w:rsid w:val="00883B76"/>
    <w:rsid w:val="00886493"/>
    <w:rsid w:val="0089043C"/>
    <w:rsid w:val="00890A8A"/>
    <w:rsid w:val="00892762"/>
    <w:rsid w:val="008940D6"/>
    <w:rsid w:val="00894E7A"/>
    <w:rsid w:val="00895A8B"/>
    <w:rsid w:val="008A0F04"/>
    <w:rsid w:val="008A1238"/>
    <w:rsid w:val="008A265C"/>
    <w:rsid w:val="008A4036"/>
    <w:rsid w:val="008A408A"/>
    <w:rsid w:val="008A58C1"/>
    <w:rsid w:val="008A7902"/>
    <w:rsid w:val="008B021B"/>
    <w:rsid w:val="008B74A0"/>
    <w:rsid w:val="008C005F"/>
    <w:rsid w:val="008C10BA"/>
    <w:rsid w:val="008C5BA4"/>
    <w:rsid w:val="008D14AE"/>
    <w:rsid w:val="008D24BE"/>
    <w:rsid w:val="008D29E2"/>
    <w:rsid w:val="008D2A07"/>
    <w:rsid w:val="008D5C18"/>
    <w:rsid w:val="008E0333"/>
    <w:rsid w:val="008E2026"/>
    <w:rsid w:val="008E5ED8"/>
    <w:rsid w:val="008E658B"/>
    <w:rsid w:val="008E7E4D"/>
    <w:rsid w:val="008F1466"/>
    <w:rsid w:val="008F20DD"/>
    <w:rsid w:val="008F3994"/>
    <w:rsid w:val="008F499E"/>
    <w:rsid w:val="008F53AD"/>
    <w:rsid w:val="008F5FF4"/>
    <w:rsid w:val="008F6F0A"/>
    <w:rsid w:val="00903F72"/>
    <w:rsid w:val="009060E4"/>
    <w:rsid w:val="009070DC"/>
    <w:rsid w:val="00907F3D"/>
    <w:rsid w:val="00911423"/>
    <w:rsid w:val="00913B30"/>
    <w:rsid w:val="0091419A"/>
    <w:rsid w:val="00914B9E"/>
    <w:rsid w:val="00916820"/>
    <w:rsid w:val="00924E45"/>
    <w:rsid w:val="0092519B"/>
    <w:rsid w:val="0092614E"/>
    <w:rsid w:val="009265E9"/>
    <w:rsid w:val="00934DA9"/>
    <w:rsid w:val="00934DB4"/>
    <w:rsid w:val="00936FE7"/>
    <w:rsid w:val="0093777C"/>
    <w:rsid w:val="0094024F"/>
    <w:rsid w:val="00940579"/>
    <w:rsid w:val="00940856"/>
    <w:rsid w:val="00941017"/>
    <w:rsid w:val="009536A8"/>
    <w:rsid w:val="00954310"/>
    <w:rsid w:val="00960520"/>
    <w:rsid w:val="00961166"/>
    <w:rsid w:val="00961957"/>
    <w:rsid w:val="00964C2F"/>
    <w:rsid w:val="00977455"/>
    <w:rsid w:val="00981249"/>
    <w:rsid w:val="00985559"/>
    <w:rsid w:val="00987DE0"/>
    <w:rsid w:val="00992091"/>
    <w:rsid w:val="00993FD7"/>
    <w:rsid w:val="00994631"/>
    <w:rsid w:val="009A2978"/>
    <w:rsid w:val="009B38AE"/>
    <w:rsid w:val="009B3CC3"/>
    <w:rsid w:val="009B4594"/>
    <w:rsid w:val="009B5624"/>
    <w:rsid w:val="009C14DC"/>
    <w:rsid w:val="009C38F1"/>
    <w:rsid w:val="009D05F4"/>
    <w:rsid w:val="009D7438"/>
    <w:rsid w:val="009D7465"/>
    <w:rsid w:val="009E0506"/>
    <w:rsid w:val="009F205D"/>
    <w:rsid w:val="009F296E"/>
    <w:rsid w:val="009F5434"/>
    <w:rsid w:val="009F5F3C"/>
    <w:rsid w:val="009F7260"/>
    <w:rsid w:val="009F741F"/>
    <w:rsid w:val="00A00B27"/>
    <w:rsid w:val="00A01502"/>
    <w:rsid w:val="00A06F18"/>
    <w:rsid w:val="00A070D0"/>
    <w:rsid w:val="00A13E0C"/>
    <w:rsid w:val="00A14C73"/>
    <w:rsid w:val="00A2153B"/>
    <w:rsid w:val="00A22BBB"/>
    <w:rsid w:val="00A250CC"/>
    <w:rsid w:val="00A27306"/>
    <w:rsid w:val="00A30614"/>
    <w:rsid w:val="00A31962"/>
    <w:rsid w:val="00A31994"/>
    <w:rsid w:val="00A3426D"/>
    <w:rsid w:val="00A342AD"/>
    <w:rsid w:val="00A3764D"/>
    <w:rsid w:val="00A40EDB"/>
    <w:rsid w:val="00A437F3"/>
    <w:rsid w:val="00A441CE"/>
    <w:rsid w:val="00A46C39"/>
    <w:rsid w:val="00A5507C"/>
    <w:rsid w:val="00A55F5D"/>
    <w:rsid w:val="00A56544"/>
    <w:rsid w:val="00A672A7"/>
    <w:rsid w:val="00A802D3"/>
    <w:rsid w:val="00A82866"/>
    <w:rsid w:val="00A85980"/>
    <w:rsid w:val="00A93B3D"/>
    <w:rsid w:val="00A94C84"/>
    <w:rsid w:val="00AA44C7"/>
    <w:rsid w:val="00AA7DEC"/>
    <w:rsid w:val="00AB0C5A"/>
    <w:rsid w:val="00AB26E7"/>
    <w:rsid w:val="00AB4E08"/>
    <w:rsid w:val="00AC33A0"/>
    <w:rsid w:val="00AC34B0"/>
    <w:rsid w:val="00AC4A8E"/>
    <w:rsid w:val="00AD6D65"/>
    <w:rsid w:val="00AE3C43"/>
    <w:rsid w:val="00AE485B"/>
    <w:rsid w:val="00AE67DD"/>
    <w:rsid w:val="00AE7BAC"/>
    <w:rsid w:val="00AF2BC5"/>
    <w:rsid w:val="00AF2FC6"/>
    <w:rsid w:val="00AF5286"/>
    <w:rsid w:val="00AF7C29"/>
    <w:rsid w:val="00B02819"/>
    <w:rsid w:val="00B04C9C"/>
    <w:rsid w:val="00B05003"/>
    <w:rsid w:val="00B05F3D"/>
    <w:rsid w:val="00B11ED6"/>
    <w:rsid w:val="00B158E4"/>
    <w:rsid w:val="00B16052"/>
    <w:rsid w:val="00B202CF"/>
    <w:rsid w:val="00B20AA7"/>
    <w:rsid w:val="00B251FE"/>
    <w:rsid w:val="00B261FB"/>
    <w:rsid w:val="00B31FE0"/>
    <w:rsid w:val="00B32F9F"/>
    <w:rsid w:val="00B33A17"/>
    <w:rsid w:val="00B412FE"/>
    <w:rsid w:val="00B4315B"/>
    <w:rsid w:val="00B460AF"/>
    <w:rsid w:val="00B466CC"/>
    <w:rsid w:val="00B471E0"/>
    <w:rsid w:val="00B475A1"/>
    <w:rsid w:val="00B525FD"/>
    <w:rsid w:val="00B57E73"/>
    <w:rsid w:val="00B613DA"/>
    <w:rsid w:val="00B64728"/>
    <w:rsid w:val="00B64D1C"/>
    <w:rsid w:val="00B65909"/>
    <w:rsid w:val="00B71170"/>
    <w:rsid w:val="00B713C3"/>
    <w:rsid w:val="00B76803"/>
    <w:rsid w:val="00B81891"/>
    <w:rsid w:val="00B978FC"/>
    <w:rsid w:val="00BA12B1"/>
    <w:rsid w:val="00BA57B9"/>
    <w:rsid w:val="00BA6345"/>
    <w:rsid w:val="00BB1DA3"/>
    <w:rsid w:val="00BB20D4"/>
    <w:rsid w:val="00BB6149"/>
    <w:rsid w:val="00BB6BDF"/>
    <w:rsid w:val="00BC13C0"/>
    <w:rsid w:val="00BC3165"/>
    <w:rsid w:val="00BD3AF7"/>
    <w:rsid w:val="00BD43E0"/>
    <w:rsid w:val="00BD4428"/>
    <w:rsid w:val="00BE0A72"/>
    <w:rsid w:val="00BE18F4"/>
    <w:rsid w:val="00BE4A1F"/>
    <w:rsid w:val="00BE541F"/>
    <w:rsid w:val="00BE7FB4"/>
    <w:rsid w:val="00BF3BA6"/>
    <w:rsid w:val="00BF3C24"/>
    <w:rsid w:val="00BF422B"/>
    <w:rsid w:val="00BF5784"/>
    <w:rsid w:val="00BF6FD5"/>
    <w:rsid w:val="00C02AEB"/>
    <w:rsid w:val="00C04885"/>
    <w:rsid w:val="00C04B7F"/>
    <w:rsid w:val="00C05B57"/>
    <w:rsid w:val="00C07CF0"/>
    <w:rsid w:val="00C10499"/>
    <w:rsid w:val="00C10544"/>
    <w:rsid w:val="00C1144F"/>
    <w:rsid w:val="00C1286E"/>
    <w:rsid w:val="00C16EA3"/>
    <w:rsid w:val="00C17597"/>
    <w:rsid w:val="00C31320"/>
    <w:rsid w:val="00C31896"/>
    <w:rsid w:val="00C34EC1"/>
    <w:rsid w:val="00C45473"/>
    <w:rsid w:val="00C4641D"/>
    <w:rsid w:val="00C472D9"/>
    <w:rsid w:val="00C47634"/>
    <w:rsid w:val="00C51B60"/>
    <w:rsid w:val="00C52EE3"/>
    <w:rsid w:val="00C52EEF"/>
    <w:rsid w:val="00C52FA8"/>
    <w:rsid w:val="00C53A48"/>
    <w:rsid w:val="00C64261"/>
    <w:rsid w:val="00C66178"/>
    <w:rsid w:val="00C6783A"/>
    <w:rsid w:val="00C74DD0"/>
    <w:rsid w:val="00C777B3"/>
    <w:rsid w:val="00C81B3C"/>
    <w:rsid w:val="00C859AC"/>
    <w:rsid w:val="00C86050"/>
    <w:rsid w:val="00C866AA"/>
    <w:rsid w:val="00C87A83"/>
    <w:rsid w:val="00C906A5"/>
    <w:rsid w:val="00C92118"/>
    <w:rsid w:val="00C9218E"/>
    <w:rsid w:val="00CB34C9"/>
    <w:rsid w:val="00CB402A"/>
    <w:rsid w:val="00CC04F3"/>
    <w:rsid w:val="00CC07B7"/>
    <w:rsid w:val="00CC0964"/>
    <w:rsid w:val="00CC3934"/>
    <w:rsid w:val="00CC69D4"/>
    <w:rsid w:val="00CD0261"/>
    <w:rsid w:val="00CD2218"/>
    <w:rsid w:val="00CD3883"/>
    <w:rsid w:val="00CD5E93"/>
    <w:rsid w:val="00CD6040"/>
    <w:rsid w:val="00CD63E9"/>
    <w:rsid w:val="00CD66AD"/>
    <w:rsid w:val="00CD7507"/>
    <w:rsid w:val="00CE2EFE"/>
    <w:rsid w:val="00CE64A8"/>
    <w:rsid w:val="00CE7CCD"/>
    <w:rsid w:val="00CF0713"/>
    <w:rsid w:val="00CF1A3B"/>
    <w:rsid w:val="00CF2B6E"/>
    <w:rsid w:val="00D10CAF"/>
    <w:rsid w:val="00D12061"/>
    <w:rsid w:val="00D14B8A"/>
    <w:rsid w:val="00D14F39"/>
    <w:rsid w:val="00D207DC"/>
    <w:rsid w:val="00D240C2"/>
    <w:rsid w:val="00D248C0"/>
    <w:rsid w:val="00D2564F"/>
    <w:rsid w:val="00D27530"/>
    <w:rsid w:val="00D30022"/>
    <w:rsid w:val="00D34785"/>
    <w:rsid w:val="00D44FCD"/>
    <w:rsid w:val="00D45CA6"/>
    <w:rsid w:val="00D5037E"/>
    <w:rsid w:val="00D52E53"/>
    <w:rsid w:val="00D555DC"/>
    <w:rsid w:val="00D57AC6"/>
    <w:rsid w:val="00D6089A"/>
    <w:rsid w:val="00D610F1"/>
    <w:rsid w:val="00D62B8D"/>
    <w:rsid w:val="00D64AC9"/>
    <w:rsid w:val="00D65E01"/>
    <w:rsid w:val="00D73A80"/>
    <w:rsid w:val="00D74F6E"/>
    <w:rsid w:val="00D76D59"/>
    <w:rsid w:val="00D802A6"/>
    <w:rsid w:val="00D811EB"/>
    <w:rsid w:val="00D81A53"/>
    <w:rsid w:val="00D81B5F"/>
    <w:rsid w:val="00D90E4A"/>
    <w:rsid w:val="00D9283D"/>
    <w:rsid w:val="00DA0C6E"/>
    <w:rsid w:val="00DA2FC9"/>
    <w:rsid w:val="00DA4A3C"/>
    <w:rsid w:val="00DA52BC"/>
    <w:rsid w:val="00DA60CC"/>
    <w:rsid w:val="00DB3CFF"/>
    <w:rsid w:val="00DB4E46"/>
    <w:rsid w:val="00DB7299"/>
    <w:rsid w:val="00DC4925"/>
    <w:rsid w:val="00DC4FC9"/>
    <w:rsid w:val="00DC6AC8"/>
    <w:rsid w:val="00DC6D4E"/>
    <w:rsid w:val="00DD05D9"/>
    <w:rsid w:val="00DD2C31"/>
    <w:rsid w:val="00DD2D23"/>
    <w:rsid w:val="00DD3ADE"/>
    <w:rsid w:val="00DD503D"/>
    <w:rsid w:val="00DE1891"/>
    <w:rsid w:val="00DF4ED5"/>
    <w:rsid w:val="00DF5179"/>
    <w:rsid w:val="00DF7901"/>
    <w:rsid w:val="00DF7C63"/>
    <w:rsid w:val="00E037A9"/>
    <w:rsid w:val="00E03D2D"/>
    <w:rsid w:val="00E04973"/>
    <w:rsid w:val="00E07F4C"/>
    <w:rsid w:val="00E128D1"/>
    <w:rsid w:val="00E144CA"/>
    <w:rsid w:val="00E1782E"/>
    <w:rsid w:val="00E276C0"/>
    <w:rsid w:val="00E307A7"/>
    <w:rsid w:val="00E31CB7"/>
    <w:rsid w:val="00E342CF"/>
    <w:rsid w:val="00E35225"/>
    <w:rsid w:val="00E4043E"/>
    <w:rsid w:val="00E50FC0"/>
    <w:rsid w:val="00E63437"/>
    <w:rsid w:val="00E6382C"/>
    <w:rsid w:val="00E64766"/>
    <w:rsid w:val="00E65294"/>
    <w:rsid w:val="00E653AB"/>
    <w:rsid w:val="00E6679E"/>
    <w:rsid w:val="00E70FA5"/>
    <w:rsid w:val="00E71C9F"/>
    <w:rsid w:val="00E734DA"/>
    <w:rsid w:val="00E73769"/>
    <w:rsid w:val="00E7687D"/>
    <w:rsid w:val="00E80227"/>
    <w:rsid w:val="00E80515"/>
    <w:rsid w:val="00E823E0"/>
    <w:rsid w:val="00E82997"/>
    <w:rsid w:val="00E82CCB"/>
    <w:rsid w:val="00E84CFF"/>
    <w:rsid w:val="00E95D71"/>
    <w:rsid w:val="00E97451"/>
    <w:rsid w:val="00EA1513"/>
    <w:rsid w:val="00EA1826"/>
    <w:rsid w:val="00EA2394"/>
    <w:rsid w:val="00EA3FD6"/>
    <w:rsid w:val="00EA4EE2"/>
    <w:rsid w:val="00EA5690"/>
    <w:rsid w:val="00EA7C5E"/>
    <w:rsid w:val="00EB0B82"/>
    <w:rsid w:val="00EB4F73"/>
    <w:rsid w:val="00EB72F2"/>
    <w:rsid w:val="00EC2D41"/>
    <w:rsid w:val="00EC345A"/>
    <w:rsid w:val="00EC3F6D"/>
    <w:rsid w:val="00EC6884"/>
    <w:rsid w:val="00ED33D3"/>
    <w:rsid w:val="00ED7657"/>
    <w:rsid w:val="00ED793A"/>
    <w:rsid w:val="00EE3520"/>
    <w:rsid w:val="00EE545D"/>
    <w:rsid w:val="00EE64E5"/>
    <w:rsid w:val="00EE7792"/>
    <w:rsid w:val="00EF1207"/>
    <w:rsid w:val="00EF2254"/>
    <w:rsid w:val="00EF4B4B"/>
    <w:rsid w:val="00EF7F4A"/>
    <w:rsid w:val="00F026D3"/>
    <w:rsid w:val="00F0387A"/>
    <w:rsid w:val="00F03DEB"/>
    <w:rsid w:val="00F06D55"/>
    <w:rsid w:val="00F06FD4"/>
    <w:rsid w:val="00F14B8E"/>
    <w:rsid w:val="00F1503A"/>
    <w:rsid w:val="00F20D24"/>
    <w:rsid w:val="00F20D43"/>
    <w:rsid w:val="00F2548C"/>
    <w:rsid w:val="00F2653E"/>
    <w:rsid w:val="00F31A0D"/>
    <w:rsid w:val="00F32E12"/>
    <w:rsid w:val="00F34957"/>
    <w:rsid w:val="00F34AF2"/>
    <w:rsid w:val="00F42D5B"/>
    <w:rsid w:val="00F46662"/>
    <w:rsid w:val="00F46D70"/>
    <w:rsid w:val="00F46E42"/>
    <w:rsid w:val="00F47513"/>
    <w:rsid w:val="00F47C10"/>
    <w:rsid w:val="00F513F2"/>
    <w:rsid w:val="00F526DC"/>
    <w:rsid w:val="00F531C9"/>
    <w:rsid w:val="00F555CA"/>
    <w:rsid w:val="00F61D1A"/>
    <w:rsid w:val="00F63E5C"/>
    <w:rsid w:val="00F64396"/>
    <w:rsid w:val="00F672BE"/>
    <w:rsid w:val="00F75B40"/>
    <w:rsid w:val="00F81EC3"/>
    <w:rsid w:val="00F85DE9"/>
    <w:rsid w:val="00F86608"/>
    <w:rsid w:val="00F86F28"/>
    <w:rsid w:val="00F87B12"/>
    <w:rsid w:val="00F91F1E"/>
    <w:rsid w:val="00F93029"/>
    <w:rsid w:val="00FA2255"/>
    <w:rsid w:val="00FA435E"/>
    <w:rsid w:val="00FA4BFF"/>
    <w:rsid w:val="00FA6698"/>
    <w:rsid w:val="00FB0C22"/>
    <w:rsid w:val="00FB0D57"/>
    <w:rsid w:val="00FB2362"/>
    <w:rsid w:val="00FB5F75"/>
    <w:rsid w:val="00FC11FB"/>
    <w:rsid w:val="00FC2325"/>
    <w:rsid w:val="00FC4D25"/>
    <w:rsid w:val="00FC4ED8"/>
    <w:rsid w:val="00FC7E21"/>
    <w:rsid w:val="00FD15A8"/>
    <w:rsid w:val="00FD4303"/>
    <w:rsid w:val="00FD6C17"/>
    <w:rsid w:val="00FE0BF8"/>
    <w:rsid w:val="00FE0F9C"/>
    <w:rsid w:val="00FF10F6"/>
    <w:rsid w:val="00FF1C75"/>
    <w:rsid w:val="00FF1F32"/>
    <w:rsid w:val="00FF7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F502A5-2650-4F33-8083-6CF72BE0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F0039"/>
    <w:pPr>
      <w:spacing w:after="200" w:line="320" w:lineRule="exact"/>
    </w:pPr>
    <w:rPr>
      <w:rFonts w:ascii="Gill Sans MT" w:hAnsi="Gill Sans MT"/>
      <w:color w:val="000000" w:themeColor="text1"/>
      <w:sz w:val="22"/>
      <w:szCs w:val="22"/>
    </w:rPr>
  </w:style>
  <w:style w:type="paragraph" w:styleId="Heading1">
    <w:name w:val="heading 1"/>
    <w:link w:val="Heading1Char"/>
    <w:uiPriority w:val="1"/>
    <w:qFormat/>
    <w:rsid w:val="007424B8"/>
    <w:pPr>
      <w:keepNext/>
      <w:pageBreakBefore/>
      <w:spacing w:after="120"/>
      <w:outlineLvl w:val="0"/>
    </w:pPr>
    <w:rPr>
      <w:rFonts w:ascii="Gill Sans MT" w:hAnsi="Gill Sans MT" w:cs="Arial"/>
      <w:color w:val="0D4644"/>
      <w:sz w:val="40"/>
      <w:szCs w:val="40"/>
    </w:rPr>
  </w:style>
  <w:style w:type="paragraph" w:styleId="Heading2">
    <w:name w:val="heading 2"/>
    <w:basedOn w:val="EOTSubheading"/>
    <w:link w:val="Heading2Char"/>
    <w:uiPriority w:val="1"/>
    <w:qFormat/>
    <w:rsid w:val="007424B8"/>
    <w:pPr>
      <w:keepNext/>
      <w:tabs>
        <w:tab w:val="left" w:pos="1701"/>
      </w:tabs>
      <w:spacing w:before="240" w:after="240"/>
      <w:outlineLvl w:val="1"/>
    </w:pPr>
    <w:rPr>
      <w:rFonts w:ascii="Gill Sans MT" w:hAnsi="Gill Sans MT"/>
      <w:color w:val="000000" w:themeColor="text1"/>
      <w:sz w:val="28"/>
      <w:szCs w:val="28"/>
    </w:rPr>
  </w:style>
  <w:style w:type="paragraph" w:styleId="Heading3">
    <w:name w:val="heading 3"/>
    <w:basedOn w:val="Heading2"/>
    <w:next w:val="Normal"/>
    <w:link w:val="Heading3Char"/>
    <w:uiPriority w:val="9"/>
    <w:unhideWhenUsed/>
    <w:qFormat/>
    <w:rsid w:val="004D57F2"/>
    <w:pPr>
      <w:spacing w:before="180"/>
      <w:outlineLvl w:val="2"/>
    </w:pPr>
    <w:rPr>
      <w:sz w:val="24"/>
      <w:szCs w:val="24"/>
    </w:rPr>
  </w:style>
  <w:style w:type="paragraph" w:styleId="Heading4">
    <w:name w:val="heading 4"/>
    <w:basedOn w:val="Heading3"/>
    <w:next w:val="Normal"/>
    <w:link w:val="Heading4Char"/>
    <w:uiPriority w:val="9"/>
    <w:unhideWhenUsed/>
    <w:qFormat/>
    <w:rsid w:val="00454B66"/>
    <w:pPr>
      <w:outlineLvl w:val="3"/>
    </w:pPr>
    <w:rPr>
      <w:sz w:val="28"/>
      <w:szCs w:val="28"/>
    </w:rPr>
  </w:style>
  <w:style w:type="paragraph" w:styleId="Heading5">
    <w:name w:val="heading 5"/>
    <w:basedOn w:val="Normal"/>
    <w:next w:val="Normal"/>
    <w:link w:val="Heading5Char"/>
    <w:uiPriority w:val="9"/>
    <w:semiHidden/>
    <w:unhideWhenUsed/>
    <w:qFormat/>
    <w:rsid w:val="00454B66"/>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454B66"/>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454B66"/>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454B66"/>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54B66"/>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T-Subheadingunderlined">
    <w:name w:val="EOT - Subheading underlined"/>
    <w:uiPriority w:val="1"/>
    <w:qFormat/>
    <w:rsid w:val="00454B66"/>
    <w:pPr>
      <w:pBdr>
        <w:bottom w:val="single" w:sz="4" w:space="5" w:color="auto"/>
      </w:pBdr>
    </w:pPr>
    <w:rPr>
      <w:rFonts w:ascii="Arial" w:hAnsi="Arial" w:cs="Arial"/>
      <w:color w:val="0D4644"/>
      <w:sz w:val="40"/>
      <w:szCs w:val="40"/>
    </w:rPr>
  </w:style>
  <w:style w:type="character" w:customStyle="1" w:styleId="Heading1Char">
    <w:name w:val="Heading 1 Char"/>
    <w:link w:val="Heading1"/>
    <w:uiPriority w:val="1"/>
    <w:rsid w:val="007424B8"/>
    <w:rPr>
      <w:rFonts w:ascii="Gill Sans MT" w:hAnsi="Gill Sans MT" w:cs="Arial"/>
      <w:color w:val="0D4644"/>
      <w:sz w:val="40"/>
      <w:szCs w:val="40"/>
    </w:rPr>
  </w:style>
  <w:style w:type="paragraph" w:customStyle="1" w:styleId="EOTSubheading">
    <w:name w:val="EOT Subheading"/>
    <w:uiPriority w:val="1"/>
    <w:qFormat/>
    <w:rsid w:val="00454B66"/>
    <w:pPr>
      <w:widowControl w:val="0"/>
    </w:pPr>
    <w:rPr>
      <w:rFonts w:ascii="Arial" w:hAnsi="Arial" w:cs="Arial"/>
      <w:color w:val="0D4644"/>
      <w:sz w:val="40"/>
      <w:szCs w:val="40"/>
    </w:rPr>
  </w:style>
  <w:style w:type="character" w:customStyle="1" w:styleId="Heading2Char">
    <w:name w:val="Heading 2 Char"/>
    <w:link w:val="Heading2"/>
    <w:uiPriority w:val="1"/>
    <w:rsid w:val="007424B8"/>
    <w:rPr>
      <w:rFonts w:ascii="Gill Sans MT" w:hAnsi="Gill Sans MT" w:cs="Arial"/>
      <w:color w:val="000000" w:themeColor="text1"/>
      <w:sz w:val="28"/>
      <w:szCs w:val="28"/>
    </w:rPr>
  </w:style>
  <w:style w:type="character" w:customStyle="1" w:styleId="Heading3Char">
    <w:name w:val="Heading 3 Char"/>
    <w:link w:val="Heading3"/>
    <w:uiPriority w:val="9"/>
    <w:rsid w:val="004D57F2"/>
    <w:rPr>
      <w:rFonts w:ascii="Gill Sans MT" w:hAnsi="Gill Sans MT" w:cs="Arial"/>
      <w:color w:val="0D4644"/>
      <w:sz w:val="24"/>
      <w:szCs w:val="24"/>
    </w:rPr>
  </w:style>
  <w:style w:type="character" w:customStyle="1" w:styleId="Heading4Char">
    <w:name w:val="Heading 4 Char"/>
    <w:link w:val="Heading4"/>
    <w:uiPriority w:val="9"/>
    <w:rsid w:val="00454B66"/>
    <w:rPr>
      <w:rFonts w:ascii="Arial" w:hAnsi="Arial" w:cs="Arial"/>
      <w:color w:val="0D4644"/>
      <w:sz w:val="28"/>
      <w:szCs w:val="28"/>
    </w:rPr>
  </w:style>
  <w:style w:type="character" w:customStyle="1" w:styleId="Heading5Char">
    <w:name w:val="Heading 5 Char"/>
    <w:link w:val="Heading5"/>
    <w:uiPriority w:val="9"/>
    <w:semiHidden/>
    <w:rsid w:val="00454B66"/>
    <w:rPr>
      <w:rFonts w:ascii="Cambria" w:eastAsia="MS Gothic" w:hAnsi="Cambria"/>
      <w:color w:val="243F60"/>
    </w:rPr>
  </w:style>
  <w:style w:type="character" w:customStyle="1" w:styleId="Heading6Char">
    <w:name w:val="Heading 6 Char"/>
    <w:link w:val="Heading6"/>
    <w:uiPriority w:val="9"/>
    <w:semiHidden/>
    <w:rsid w:val="00454B66"/>
    <w:rPr>
      <w:rFonts w:ascii="Cambria" w:eastAsia="MS Gothic" w:hAnsi="Cambria"/>
      <w:i/>
      <w:iCs/>
      <w:color w:val="243F60"/>
    </w:rPr>
  </w:style>
  <w:style w:type="character" w:customStyle="1" w:styleId="Heading7Char">
    <w:name w:val="Heading 7 Char"/>
    <w:link w:val="Heading7"/>
    <w:uiPriority w:val="9"/>
    <w:semiHidden/>
    <w:rsid w:val="00454B66"/>
    <w:rPr>
      <w:rFonts w:ascii="Cambria" w:eastAsia="MS Gothic" w:hAnsi="Cambria"/>
      <w:i/>
      <w:iCs/>
      <w:color w:val="404040"/>
    </w:rPr>
  </w:style>
  <w:style w:type="character" w:customStyle="1" w:styleId="Heading8Char">
    <w:name w:val="Heading 8 Char"/>
    <w:link w:val="Heading8"/>
    <w:uiPriority w:val="9"/>
    <w:semiHidden/>
    <w:rsid w:val="00454B66"/>
    <w:rPr>
      <w:rFonts w:ascii="Cambria" w:eastAsia="MS Gothic" w:hAnsi="Cambria"/>
      <w:color w:val="404040"/>
      <w:sz w:val="20"/>
      <w:szCs w:val="20"/>
    </w:rPr>
  </w:style>
  <w:style w:type="character" w:customStyle="1" w:styleId="Heading9Char">
    <w:name w:val="Heading 9 Char"/>
    <w:link w:val="Heading9"/>
    <w:uiPriority w:val="9"/>
    <w:semiHidden/>
    <w:rsid w:val="00454B66"/>
    <w:rPr>
      <w:rFonts w:ascii="Cambria" w:eastAsia="MS Gothic" w:hAnsi="Cambria"/>
      <w:i/>
      <w:iCs/>
      <w:color w:val="404040"/>
      <w:sz w:val="20"/>
      <w:szCs w:val="20"/>
    </w:rPr>
  </w:style>
  <w:style w:type="paragraph" w:styleId="Title">
    <w:name w:val="Title"/>
    <w:basedOn w:val="Normal"/>
    <w:next w:val="Normal"/>
    <w:link w:val="TitleChar"/>
    <w:uiPriority w:val="10"/>
    <w:qFormat/>
    <w:rsid w:val="00EB4F73"/>
    <w:pPr>
      <w:pBdr>
        <w:top w:val="single" w:sz="4" w:space="1" w:color="auto"/>
      </w:pBdr>
      <w:spacing w:before="240" w:after="60" w:line="240" w:lineRule="auto"/>
      <w:outlineLvl w:val="0"/>
    </w:pPr>
    <w:rPr>
      <w:rFonts w:eastAsia="Times New Roman"/>
      <w:b/>
      <w:bCs/>
      <w:kern w:val="28"/>
      <w:sz w:val="56"/>
      <w:szCs w:val="56"/>
    </w:rPr>
  </w:style>
  <w:style w:type="character" w:customStyle="1" w:styleId="TitleChar">
    <w:name w:val="Title Char"/>
    <w:link w:val="Title"/>
    <w:uiPriority w:val="10"/>
    <w:rsid w:val="00EB4F73"/>
    <w:rPr>
      <w:rFonts w:ascii="Gill Sans MT" w:eastAsia="Times New Roman" w:hAnsi="Gill Sans MT"/>
      <w:b/>
      <w:bCs/>
      <w:color w:val="0D4644"/>
      <w:kern w:val="28"/>
      <w:sz w:val="56"/>
      <w:szCs w:val="56"/>
    </w:rPr>
  </w:style>
  <w:style w:type="paragraph" w:styleId="Subtitle">
    <w:name w:val="Subtitle"/>
    <w:basedOn w:val="Title"/>
    <w:next w:val="Normal"/>
    <w:link w:val="SubtitleChar"/>
    <w:uiPriority w:val="11"/>
    <w:qFormat/>
    <w:rsid w:val="00A441CE"/>
    <w:pPr>
      <w:pBdr>
        <w:top w:val="none" w:sz="0" w:space="0" w:color="auto"/>
      </w:pBdr>
      <w:spacing w:before="0" w:after="0"/>
      <w:jc w:val="right"/>
      <w:outlineLvl w:val="9"/>
    </w:pPr>
    <w:rPr>
      <w:rFonts w:eastAsia="MS Gothic"/>
      <w:b w:val="0"/>
      <w:color w:val="auto"/>
      <w:sz w:val="32"/>
      <w:szCs w:val="32"/>
      <w:lang w:val="en-US" w:eastAsia="en-US"/>
    </w:rPr>
  </w:style>
  <w:style w:type="character" w:customStyle="1" w:styleId="SubtitleChar">
    <w:name w:val="Subtitle Char"/>
    <w:link w:val="Subtitle"/>
    <w:uiPriority w:val="11"/>
    <w:rsid w:val="00A441CE"/>
    <w:rPr>
      <w:rFonts w:ascii="Gill Sans MT" w:eastAsia="MS Gothic" w:hAnsi="Gill Sans MT"/>
      <w:bCs/>
      <w:kern w:val="28"/>
      <w:sz w:val="32"/>
      <w:szCs w:val="32"/>
      <w:lang w:val="en-US" w:eastAsia="en-US"/>
    </w:rPr>
  </w:style>
  <w:style w:type="character" w:styleId="Strong">
    <w:name w:val="Strong"/>
    <w:uiPriority w:val="22"/>
    <w:rsid w:val="007879BC"/>
    <w:rPr>
      <w:b/>
      <w:bCs/>
    </w:rPr>
  </w:style>
  <w:style w:type="character" w:styleId="Emphasis">
    <w:name w:val="Emphasis"/>
    <w:uiPriority w:val="20"/>
    <w:rsid w:val="007879BC"/>
    <w:rPr>
      <w:rFonts w:ascii="Calibri" w:hAnsi="Calibri"/>
      <w:b/>
      <w:i/>
      <w:iCs/>
    </w:rPr>
  </w:style>
  <w:style w:type="paragraph" w:styleId="NoSpacing">
    <w:name w:val="No Spacing"/>
    <w:basedOn w:val="Normal"/>
    <w:link w:val="NoSpacingChar"/>
    <w:uiPriority w:val="1"/>
    <w:qFormat/>
    <w:rsid w:val="00454B66"/>
    <w:rPr>
      <w:rFonts w:ascii="Calibri" w:hAnsi="Calibri"/>
      <w:color w:val="auto"/>
    </w:rPr>
  </w:style>
  <w:style w:type="character" w:customStyle="1" w:styleId="NoSpacingChar">
    <w:name w:val="No Spacing Char"/>
    <w:link w:val="NoSpacing"/>
    <w:uiPriority w:val="1"/>
    <w:rsid w:val="00454B66"/>
  </w:style>
  <w:style w:type="paragraph" w:styleId="ListParagraph">
    <w:name w:val="List Paragraph"/>
    <w:aliases w:val="EOT List Paragraph,List Paragraph1,List Paragraph11,L,Bullet point"/>
    <w:link w:val="ListParagraphChar"/>
    <w:uiPriority w:val="1"/>
    <w:qFormat/>
    <w:rsid w:val="00454B66"/>
    <w:pPr>
      <w:widowControl w:val="0"/>
      <w:spacing w:after="200" w:line="280" w:lineRule="exact"/>
      <w:ind w:left="720" w:hanging="360"/>
      <w:contextualSpacing/>
    </w:pPr>
    <w:rPr>
      <w:rFonts w:ascii="Arial" w:hAnsi="Arial"/>
      <w:color w:val="0D4644"/>
      <w:sz w:val="22"/>
      <w:szCs w:val="22"/>
    </w:rPr>
  </w:style>
  <w:style w:type="character" w:customStyle="1" w:styleId="ListParagraphChar">
    <w:name w:val="List Paragraph Char"/>
    <w:aliases w:val="EOT List Paragraph Char,List Paragraph1 Char,List Paragraph11 Char,L Char,Bullet point Char"/>
    <w:link w:val="ListParagraph"/>
    <w:uiPriority w:val="1"/>
    <w:rsid w:val="00454B66"/>
    <w:rPr>
      <w:rFonts w:ascii="Arial" w:hAnsi="Arial"/>
      <w:color w:val="0D4644"/>
    </w:rPr>
  </w:style>
  <w:style w:type="paragraph" w:styleId="Quote">
    <w:name w:val="Quote"/>
    <w:basedOn w:val="Normal"/>
    <w:next w:val="Normal"/>
    <w:link w:val="QuoteChar"/>
    <w:uiPriority w:val="29"/>
    <w:qFormat/>
    <w:rsid w:val="007424B8"/>
    <w:pPr>
      <w:spacing w:after="120"/>
      <w:ind w:left="567" w:right="567"/>
    </w:pPr>
    <w:rPr>
      <w:sz w:val="20"/>
      <w:szCs w:val="20"/>
    </w:rPr>
  </w:style>
  <w:style w:type="character" w:customStyle="1" w:styleId="QuoteChar">
    <w:name w:val="Quote Char"/>
    <w:link w:val="Quote"/>
    <w:uiPriority w:val="29"/>
    <w:rsid w:val="007424B8"/>
    <w:rPr>
      <w:rFonts w:ascii="Gill Sans MT" w:hAnsi="Gill Sans MT"/>
      <w:color w:val="000000" w:themeColor="text1"/>
    </w:rPr>
  </w:style>
  <w:style w:type="paragraph" w:styleId="IntenseQuote">
    <w:name w:val="Intense Quote"/>
    <w:basedOn w:val="Normal"/>
    <w:next w:val="Normal"/>
    <w:link w:val="IntenseQuoteChar"/>
    <w:uiPriority w:val="30"/>
    <w:rsid w:val="007879BC"/>
    <w:pPr>
      <w:ind w:left="720" w:right="720"/>
    </w:pPr>
    <w:rPr>
      <w:b/>
      <w:i/>
      <w:szCs w:val="20"/>
    </w:rPr>
  </w:style>
  <w:style w:type="character" w:customStyle="1" w:styleId="IntenseQuoteChar">
    <w:name w:val="Intense Quote Char"/>
    <w:link w:val="IntenseQuote"/>
    <w:uiPriority w:val="30"/>
    <w:rsid w:val="007879BC"/>
    <w:rPr>
      <w:b/>
      <w:i/>
      <w:sz w:val="24"/>
    </w:rPr>
  </w:style>
  <w:style w:type="character" w:styleId="SubtleEmphasis">
    <w:name w:val="Subtle Emphasis"/>
    <w:uiPriority w:val="19"/>
    <w:rsid w:val="007879BC"/>
    <w:rPr>
      <w:i/>
      <w:color w:val="5A5A5A"/>
    </w:rPr>
  </w:style>
  <w:style w:type="character" w:styleId="IntenseEmphasis">
    <w:name w:val="Intense Emphasis"/>
    <w:uiPriority w:val="21"/>
    <w:rsid w:val="007879BC"/>
    <w:rPr>
      <w:b/>
      <w:i/>
      <w:sz w:val="24"/>
      <w:szCs w:val="24"/>
      <w:u w:val="single"/>
    </w:rPr>
  </w:style>
  <w:style w:type="character" w:styleId="SubtleReference">
    <w:name w:val="Subtle Reference"/>
    <w:uiPriority w:val="31"/>
    <w:rsid w:val="007879BC"/>
    <w:rPr>
      <w:sz w:val="24"/>
      <w:szCs w:val="24"/>
      <w:u w:val="single"/>
    </w:rPr>
  </w:style>
  <w:style w:type="character" w:styleId="IntenseReference">
    <w:name w:val="Intense Reference"/>
    <w:uiPriority w:val="32"/>
    <w:rsid w:val="007879BC"/>
    <w:rPr>
      <w:b/>
      <w:sz w:val="24"/>
      <w:u w:val="single"/>
    </w:rPr>
  </w:style>
  <w:style w:type="character" w:styleId="BookTitle">
    <w:name w:val="Book Title"/>
    <w:uiPriority w:val="33"/>
    <w:rsid w:val="007879BC"/>
    <w:rPr>
      <w:rFonts w:ascii="Cambria" w:eastAsia="Times New Roman" w:hAnsi="Cambria"/>
      <w:b/>
      <w:i/>
      <w:sz w:val="24"/>
      <w:szCs w:val="24"/>
    </w:rPr>
  </w:style>
  <w:style w:type="paragraph" w:styleId="TOCHeading">
    <w:name w:val="TOC Heading"/>
    <w:basedOn w:val="Heading1"/>
    <w:next w:val="Normal"/>
    <w:uiPriority w:val="39"/>
    <w:unhideWhenUsed/>
    <w:qFormat/>
    <w:rsid w:val="00454B66"/>
    <w:pPr>
      <w:keepLines/>
      <w:spacing w:before="480"/>
      <w:outlineLvl w:val="9"/>
    </w:pPr>
    <w:rPr>
      <w:rFonts w:ascii="Cambria" w:eastAsia="MS Gothic" w:hAnsi="Cambria"/>
      <w:b/>
      <w:color w:val="365F91"/>
      <w:sz w:val="28"/>
      <w:szCs w:val="28"/>
    </w:rPr>
  </w:style>
  <w:style w:type="paragraph" w:customStyle="1" w:styleId="Normal-numbered">
    <w:name w:val="Normal-numbered"/>
    <w:basedOn w:val="Normal"/>
    <w:link w:val="Normal-numberedChar"/>
    <w:qFormat/>
    <w:rsid w:val="00454B66"/>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454B66"/>
    <w:rPr>
      <w:rFonts w:ascii="Arial" w:hAnsi="Arial" w:cs="Arial"/>
      <w:sz w:val="24"/>
      <w:szCs w:val="24"/>
    </w:rPr>
  </w:style>
  <w:style w:type="paragraph" w:customStyle="1" w:styleId="OADC">
    <w:name w:val="OADC"/>
    <w:basedOn w:val="BodyText"/>
    <w:link w:val="OADCChar"/>
    <w:rsid w:val="007879BC"/>
    <w:pPr>
      <w:ind w:left="993" w:right="-35"/>
      <w:jc w:val="center"/>
    </w:pPr>
    <w:rPr>
      <w:rFonts w:ascii="Century Schoolbook" w:eastAsia="Times New Roman" w:hAnsi="Century Schoolbook" w:cs="Arial"/>
      <w:b/>
      <w:noProof/>
      <w:sz w:val="32"/>
      <w:szCs w:val="32"/>
    </w:rPr>
  </w:style>
  <w:style w:type="paragraph" w:styleId="BodyText">
    <w:name w:val="Body Text"/>
    <w:basedOn w:val="Normal"/>
    <w:link w:val="BodyTextChar"/>
    <w:rsid w:val="007879BC"/>
    <w:pPr>
      <w:spacing w:after="120"/>
    </w:pPr>
  </w:style>
  <w:style w:type="character" w:customStyle="1" w:styleId="BodyTextChar">
    <w:name w:val="Body Text Char"/>
    <w:link w:val="BodyText"/>
    <w:rsid w:val="007879BC"/>
    <w:rPr>
      <w:sz w:val="24"/>
      <w:szCs w:val="24"/>
    </w:rPr>
  </w:style>
  <w:style w:type="character" w:customStyle="1" w:styleId="OADCChar">
    <w:name w:val="OADC Char"/>
    <w:link w:val="OADC"/>
    <w:rsid w:val="007879BC"/>
    <w:rPr>
      <w:rFonts w:ascii="Century Schoolbook" w:eastAsia="Times New Roman" w:hAnsi="Century Schoolbook" w:cs="Arial"/>
      <w:b/>
      <w:noProof/>
      <w:sz w:val="32"/>
      <w:szCs w:val="32"/>
    </w:rPr>
  </w:style>
  <w:style w:type="paragraph" w:customStyle="1" w:styleId="Tagline">
    <w:name w:val="Tagline"/>
    <w:basedOn w:val="Normal"/>
    <w:link w:val="TaglineChar"/>
    <w:rsid w:val="007879BC"/>
    <w:pPr>
      <w:spacing w:before="80" w:after="80" w:line="240" w:lineRule="exact"/>
      <w:ind w:left="851"/>
      <w:jc w:val="center"/>
    </w:pPr>
    <w:rPr>
      <w:rFonts w:ascii="Century Schoolbook" w:eastAsia="Times New Roman" w:hAnsi="Century Schoolbook"/>
      <w:i/>
      <w:sz w:val="26"/>
      <w:szCs w:val="26"/>
    </w:rPr>
  </w:style>
  <w:style w:type="character" w:customStyle="1" w:styleId="TaglineChar">
    <w:name w:val="Tagline Char"/>
    <w:link w:val="Tagline"/>
    <w:rsid w:val="007879BC"/>
    <w:rPr>
      <w:rFonts w:ascii="Century Schoolbook" w:eastAsia="Times New Roman" w:hAnsi="Century Schoolbook"/>
      <w:i/>
      <w:sz w:val="26"/>
      <w:szCs w:val="26"/>
    </w:rPr>
  </w:style>
  <w:style w:type="paragraph" w:customStyle="1" w:styleId="OADCAddressDetails">
    <w:name w:val="OADC Address Details"/>
    <w:basedOn w:val="Normal"/>
    <w:link w:val="OADCAddressDetailsChar"/>
    <w:rsid w:val="007879BC"/>
    <w:pPr>
      <w:ind w:left="1259" w:right="-471"/>
      <w:jc w:val="center"/>
    </w:pPr>
    <w:rPr>
      <w:rFonts w:ascii="Century Schoolbook" w:eastAsia="Times New Roman" w:hAnsi="Century Schoolbook"/>
      <w:sz w:val="18"/>
      <w:szCs w:val="20"/>
    </w:rPr>
  </w:style>
  <w:style w:type="character" w:customStyle="1" w:styleId="OADCAddressDetailsChar">
    <w:name w:val="OADC Address Details Char"/>
    <w:link w:val="OADCAddressDetails"/>
    <w:rsid w:val="007879BC"/>
    <w:rPr>
      <w:rFonts w:ascii="Century Schoolbook" w:eastAsia="Times New Roman" w:hAnsi="Century Schoolbook"/>
      <w:sz w:val="18"/>
    </w:rPr>
  </w:style>
  <w:style w:type="paragraph" w:customStyle="1" w:styleId="Recommendation-numbered">
    <w:name w:val="Recommendation - numbered"/>
    <w:basedOn w:val="Recommendation"/>
    <w:link w:val="Recommendation-numberedChar"/>
    <w:uiPriority w:val="1"/>
    <w:qFormat/>
    <w:rsid w:val="00454B66"/>
    <w:pPr>
      <w:numPr>
        <w:numId w:val="5"/>
      </w:numPr>
      <w:ind w:left="657" w:hanging="544"/>
    </w:pPr>
    <w:rPr>
      <w:rFonts w:cs="Arial"/>
    </w:rPr>
  </w:style>
  <w:style w:type="paragraph" w:customStyle="1" w:styleId="Recommendation">
    <w:name w:val="Recommendation"/>
    <w:basedOn w:val="Normal"/>
    <w:link w:val="RecommendationChar"/>
    <w:uiPriority w:val="1"/>
    <w:qFormat/>
    <w:rsid w:val="00454B66"/>
    <w:pPr>
      <w:pBdr>
        <w:left w:val="single" w:sz="4" w:space="5" w:color="0D4644"/>
      </w:pBdr>
      <w:ind w:left="113"/>
    </w:pPr>
  </w:style>
  <w:style w:type="character" w:customStyle="1" w:styleId="RecommendationChar">
    <w:name w:val="Recommendation Char"/>
    <w:link w:val="Recommendation"/>
    <w:uiPriority w:val="1"/>
    <w:rsid w:val="00454B66"/>
    <w:rPr>
      <w:rFonts w:ascii="Arial" w:hAnsi="Arial"/>
      <w:color w:val="0D4644"/>
    </w:rPr>
  </w:style>
  <w:style w:type="character" w:customStyle="1" w:styleId="Recommendation-numberedChar">
    <w:name w:val="Recommendation - numbered Char"/>
    <w:link w:val="Recommendation-numbered"/>
    <w:uiPriority w:val="1"/>
    <w:rsid w:val="00454B66"/>
    <w:rPr>
      <w:rFonts w:ascii="Arial" w:hAnsi="Arial" w:cs="Arial"/>
      <w:color w:val="0D4644"/>
    </w:rPr>
  </w:style>
  <w:style w:type="paragraph" w:customStyle="1" w:styleId="Recommendationa">
    <w:name w:val="Recommendation a."/>
    <w:basedOn w:val="Recommendation-numbered"/>
    <w:link w:val="RecommendationaChar"/>
    <w:uiPriority w:val="1"/>
    <w:qFormat/>
    <w:rsid w:val="00454B66"/>
    <w:pPr>
      <w:numPr>
        <w:ilvl w:val="1"/>
        <w:numId w:val="4"/>
      </w:numPr>
      <w:pBdr>
        <w:left w:val="single" w:sz="4" w:space="28" w:color="0D4644"/>
      </w:pBdr>
      <w:ind w:left="935" w:hanging="357"/>
    </w:pPr>
    <w:rPr>
      <w:rFonts w:cs="Times New Roman"/>
    </w:rPr>
  </w:style>
  <w:style w:type="character" w:customStyle="1" w:styleId="RecommendationaChar">
    <w:name w:val="Recommendation a. Char"/>
    <w:link w:val="Recommendationa"/>
    <w:uiPriority w:val="1"/>
    <w:rsid w:val="00454B66"/>
    <w:rPr>
      <w:rFonts w:ascii="Arial" w:hAnsi="Arial"/>
      <w:color w:val="0D4644"/>
    </w:rPr>
  </w:style>
  <w:style w:type="character" w:customStyle="1" w:styleId="apple-converted-space">
    <w:name w:val="apple-converted-space"/>
    <w:basedOn w:val="DefaultParagraphFont"/>
    <w:rsid w:val="0043566D"/>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22025E"/>
    <w:pPr>
      <w:spacing w:before="60" w:after="60" w:line="240" w:lineRule="auto"/>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22025E"/>
    <w:rPr>
      <w:rFonts w:ascii="Gill Sans MT" w:hAnsi="Gill Sans MT"/>
      <w:color w:val="000000" w:themeColor="text1"/>
      <w:sz w:val="18"/>
    </w:rPr>
  </w:style>
  <w:style w:type="character" w:styleId="FootnoteReference">
    <w:name w:val="footnote reference"/>
    <w:aliases w:val="4_G,Footnotes refss"/>
    <w:uiPriority w:val="99"/>
    <w:unhideWhenUsed/>
    <w:rsid w:val="0043566D"/>
    <w:rPr>
      <w:vertAlign w:val="superscript"/>
    </w:rPr>
  </w:style>
  <w:style w:type="paragraph" w:styleId="BalloonText">
    <w:name w:val="Balloon Text"/>
    <w:basedOn w:val="Normal"/>
    <w:link w:val="BalloonTextChar"/>
    <w:rsid w:val="00380D3A"/>
    <w:rPr>
      <w:rFonts w:ascii="Tahoma" w:hAnsi="Tahoma" w:cs="Tahoma"/>
      <w:sz w:val="16"/>
      <w:szCs w:val="16"/>
    </w:rPr>
  </w:style>
  <w:style w:type="character" w:customStyle="1" w:styleId="BalloonTextChar">
    <w:name w:val="Balloon Text Char"/>
    <w:link w:val="BalloonText"/>
    <w:rsid w:val="00380D3A"/>
    <w:rPr>
      <w:rFonts w:ascii="Tahoma" w:hAnsi="Tahoma" w:cs="Tahoma"/>
      <w:sz w:val="16"/>
      <w:szCs w:val="16"/>
    </w:rPr>
  </w:style>
  <w:style w:type="paragraph" w:customStyle="1" w:styleId="Inquiryquestions">
    <w:name w:val="Inquiry questions"/>
    <w:basedOn w:val="Normal"/>
    <w:uiPriority w:val="1"/>
    <w:qFormat/>
    <w:rsid w:val="00454B66"/>
    <w:pPr>
      <w:tabs>
        <w:tab w:val="left" w:pos="284"/>
        <w:tab w:val="right" w:pos="10773"/>
      </w:tabs>
      <w:spacing w:before="200"/>
    </w:pPr>
    <w:rPr>
      <w:b/>
      <w:bCs/>
    </w:rPr>
  </w:style>
  <w:style w:type="table" w:styleId="TableGrid">
    <w:name w:val="Table Grid"/>
    <w:basedOn w:val="TableNormal"/>
    <w:rsid w:val="0038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ub-section">
    <w:name w:val="Quote - sub-section"/>
    <w:basedOn w:val="Normal"/>
    <w:link w:val="Quote-sub-sectionChar"/>
    <w:qFormat/>
    <w:rsid w:val="00454B66"/>
    <w:pPr>
      <w:ind w:left="1134" w:right="520" w:hanging="567"/>
    </w:pPr>
    <w:rPr>
      <w:sz w:val="20"/>
      <w:szCs w:val="20"/>
    </w:rPr>
  </w:style>
  <w:style w:type="character" w:customStyle="1" w:styleId="Quote-sub-sectionChar">
    <w:name w:val="Quote - sub-section Char"/>
    <w:link w:val="Quote-sub-section"/>
    <w:rsid w:val="00454B66"/>
    <w:rPr>
      <w:rFonts w:ascii="Arial" w:hAnsi="Arial"/>
      <w:color w:val="0D4644"/>
      <w:sz w:val="20"/>
      <w:szCs w:val="20"/>
    </w:rPr>
  </w:style>
  <w:style w:type="paragraph" w:customStyle="1" w:styleId="Tabletext">
    <w:name w:val="Table text"/>
    <w:basedOn w:val="Normal"/>
    <w:link w:val="TabletextChar"/>
    <w:qFormat/>
    <w:rsid w:val="00484839"/>
    <w:pPr>
      <w:spacing w:before="60" w:after="40" w:line="240" w:lineRule="auto"/>
    </w:pPr>
  </w:style>
  <w:style w:type="character" w:customStyle="1" w:styleId="TabletextChar">
    <w:name w:val="Table text Char"/>
    <w:link w:val="Tabletext"/>
    <w:rsid w:val="00484839"/>
    <w:rPr>
      <w:rFonts w:ascii="Arial" w:hAnsi="Arial"/>
      <w:color w:val="0D4644"/>
    </w:rPr>
  </w:style>
  <w:style w:type="paragraph" w:customStyle="1" w:styleId="Name">
    <w:name w:val="Name"/>
    <w:basedOn w:val="BodyText"/>
    <w:link w:val="NameChar"/>
    <w:qFormat/>
    <w:rsid w:val="00454B66"/>
    <w:pPr>
      <w:spacing w:before="1200" w:after="0" w:line="240" w:lineRule="auto"/>
    </w:pPr>
    <w:rPr>
      <w:b/>
    </w:rPr>
  </w:style>
  <w:style w:type="character" w:customStyle="1" w:styleId="NameChar">
    <w:name w:val="Name Char"/>
    <w:link w:val="Name"/>
    <w:rsid w:val="00454B66"/>
    <w:rPr>
      <w:rFonts w:ascii="Arial" w:hAnsi="Arial"/>
      <w:b/>
      <w:color w:val="0D4644"/>
    </w:rPr>
  </w:style>
  <w:style w:type="paragraph" w:customStyle="1" w:styleId="JobTitle">
    <w:name w:val="Job Title"/>
    <w:basedOn w:val="BodyText"/>
    <w:link w:val="JobTitleChar"/>
    <w:qFormat/>
    <w:rsid w:val="00454B66"/>
    <w:pPr>
      <w:spacing w:after="200"/>
    </w:pPr>
    <w:rPr>
      <w:smallCaps/>
    </w:rPr>
  </w:style>
  <w:style w:type="character" w:customStyle="1" w:styleId="JobTitleChar">
    <w:name w:val="Job Title Char"/>
    <w:link w:val="JobTitle"/>
    <w:rsid w:val="00454B66"/>
    <w:rPr>
      <w:rFonts w:ascii="Arial" w:hAnsi="Arial"/>
      <w:smallCaps/>
      <w:color w:val="0D4644"/>
    </w:rPr>
  </w:style>
  <w:style w:type="paragraph" w:customStyle="1" w:styleId="Examplegap">
    <w:name w:val="Example gap"/>
    <w:basedOn w:val="Normal"/>
    <w:link w:val="ExamplegapChar"/>
    <w:qFormat/>
    <w:rsid w:val="00454B66"/>
    <w:pPr>
      <w:spacing w:after="0" w:line="240" w:lineRule="auto"/>
    </w:pPr>
    <w:rPr>
      <w:rFonts w:cs="Arial"/>
      <w:color w:val="auto"/>
      <w:sz w:val="16"/>
      <w:szCs w:val="16"/>
    </w:rPr>
  </w:style>
  <w:style w:type="character" w:customStyle="1" w:styleId="ExamplegapChar">
    <w:name w:val="Example gap Char"/>
    <w:link w:val="Examplegap"/>
    <w:rsid w:val="00454B66"/>
    <w:rPr>
      <w:rFonts w:ascii="Arial" w:hAnsi="Arial" w:cs="Arial"/>
      <w:sz w:val="16"/>
      <w:szCs w:val="16"/>
    </w:rPr>
  </w:style>
  <w:style w:type="paragraph" w:customStyle="1" w:styleId="EOTDocumenttitle">
    <w:name w:val="EOT Document title"/>
    <w:basedOn w:val="Normal"/>
    <w:uiPriority w:val="1"/>
    <w:qFormat/>
    <w:rsid w:val="00454B66"/>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454B66"/>
    <w:pPr>
      <w:keepNext/>
      <w:spacing w:line="440" w:lineRule="exact"/>
    </w:pPr>
    <w:rPr>
      <w:rFonts w:cs="Arial"/>
      <w:sz w:val="32"/>
      <w:szCs w:val="32"/>
    </w:rPr>
  </w:style>
  <w:style w:type="paragraph" w:customStyle="1" w:styleId="EOT-Actquote">
    <w:name w:val="EOT - Act quote"/>
    <w:uiPriority w:val="1"/>
    <w:qFormat/>
    <w:rsid w:val="00454B66"/>
    <w:pPr>
      <w:widowControl w:val="0"/>
      <w:numPr>
        <w:numId w:val="16"/>
      </w:numPr>
      <w:spacing w:line="280" w:lineRule="exact"/>
    </w:pPr>
    <w:rPr>
      <w:rFonts w:ascii="Arial" w:eastAsia="Times New Roman" w:hAnsi="Arial"/>
      <w:color w:val="0D4644"/>
      <w:sz w:val="22"/>
      <w:szCs w:val="22"/>
    </w:rPr>
  </w:style>
  <w:style w:type="paragraph" w:customStyle="1" w:styleId="EOTRecommendationpara">
    <w:name w:val="EOT Recommendation para"/>
    <w:uiPriority w:val="1"/>
    <w:qFormat/>
    <w:rsid w:val="00940856"/>
    <w:pPr>
      <w:widowControl w:val="0"/>
      <w:pBdr>
        <w:left w:val="single" w:sz="4" w:space="12" w:color="auto"/>
      </w:pBdr>
      <w:spacing w:after="200" w:line="280" w:lineRule="exact"/>
      <w:ind w:left="1418" w:hanging="1134"/>
    </w:pPr>
    <w:rPr>
      <w:rFonts w:ascii="Gill Sans MT" w:eastAsia="Arial" w:hAnsi="Gill Sans MT"/>
      <w:color w:val="0D4644"/>
      <w:sz w:val="22"/>
      <w:szCs w:val="22"/>
    </w:rPr>
  </w:style>
  <w:style w:type="paragraph" w:customStyle="1" w:styleId="EOTCaseStudyBody">
    <w:name w:val="EOT Case Study Body"/>
    <w:basedOn w:val="BodyText"/>
    <w:uiPriority w:val="1"/>
    <w:qFormat/>
    <w:rsid w:val="00454B66"/>
    <w:pPr>
      <w:pBdr>
        <w:top w:val="dotted" w:sz="8" w:space="20" w:color="BC1572"/>
        <w:bottom w:val="dotted" w:sz="8" w:space="20" w:color="BC1572"/>
      </w:pBdr>
      <w:spacing w:after="200"/>
    </w:pPr>
    <w:rPr>
      <w:rFonts w:eastAsia="Times New Roman"/>
      <w:color w:val="BC1572"/>
    </w:rPr>
  </w:style>
  <w:style w:type="paragraph" w:customStyle="1" w:styleId="EOTCaseStudyHeading">
    <w:name w:val="EOT Case Study Heading"/>
    <w:basedOn w:val="EOTCaseStudyBody"/>
    <w:uiPriority w:val="1"/>
    <w:qFormat/>
    <w:rsid w:val="00454B66"/>
    <w:pPr>
      <w:keepNext/>
    </w:pPr>
    <w:rPr>
      <w:color w:val="0D4644"/>
      <w:sz w:val="32"/>
      <w:szCs w:val="40"/>
    </w:rPr>
  </w:style>
  <w:style w:type="paragraph" w:customStyle="1" w:styleId="Frontpagefootertop">
    <w:name w:val="Front page footer top"/>
    <w:basedOn w:val="Normal"/>
    <w:link w:val="FrontpagefootertopChar"/>
    <w:uiPriority w:val="1"/>
    <w:qFormat/>
    <w:rsid w:val="00454B66"/>
    <w:pPr>
      <w:pBdr>
        <w:top w:val="single" w:sz="4" w:space="1" w:color="auto"/>
      </w:pBdr>
      <w:spacing w:before="840"/>
    </w:pPr>
    <w:rPr>
      <w:b/>
      <w:sz w:val="20"/>
      <w:szCs w:val="20"/>
    </w:rPr>
  </w:style>
  <w:style w:type="character" w:customStyle="1" w:styleId="FrontpagefootertopChar">
    <w:name w:val="Front page footer top Char"/>
    <w:link w:val="Frontpagefootertop"/>
    <w:uiPriority w:val="1"/>
    <w:rsid w:val="00454B66"/>
    <w:rPr>
      <w:rFonts w:ascii="Arial" w:hAnsi="Arial"/>
      <w:b/>
      <w:color w:val="0D4644"/>
      <w:sz w:val="20"/>
      <w:szCs w:val="20"/>
    </w:rPr>
  </w:style>
  <w:style w:type="paragraph" w:customStyle="1" w:styleId="FrontpageEOTname">
    <w:name w:val="Front page EOT name"/>
    <w:basedOn w:val="Normal"/>
    <w:link w:val="FrontpageEOTnameChar"/>
    <w:uiPriority w:val="1"/>
    <w:qFormat/>
    <w:rsid w:val="00454B66"/>
    <w:pPr>
      <w:pBdr>
        <w:top w:val="single" w:sz="4" w:space="31" w:color="auto"/>
      </w:pBdr>
      <w:spacing w:before="840" w:after="0" w:line="240" w:lineRule="auto"/>
    </w:pPr>
    <w:rPr>
      <w:b/>
      <w:sz w:val="20"/>
      <w:szCs w:val="20"/>
    </w:rPr>
  </w:style>
  <w:style w:type="character" w:customStyle="1" w:styleId="FrontpageEOTnameChar">
    <w:name w:val="Front page EOT name Char"/>
    <w:link w:val="FrontpageEOTname"/>
    <w:uiPriority w:val="1"/>
    <w:rsid w:val="00454B66"/>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454B66"/>
    <w:pPr>
      <w:spacing w:after="180" w:line="240" w:lineRule="auto"/>
    </w:pPr>
    <w:rPr>
      <w:spacing w:val="-4"/>
      <w:sz w:val="20"/>
      <w:szCs w:val="20"/>
    </w:rPr>
  </w:style>
  <w:style w:type="character" w:customStyle="1" w:styleId="FrontpagefootertextwithspacingChar">
    <w:name w:val="Front page footer text with spacing Char"/>
    <w:link w:val="Frontpagefootertextwithspacing"/>
    <w:uiPriority w:val="1"/>
    <w:rsid w:val="00454B66"/>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454B66"/>
    <w:pPr>
      <w:spacing w:after="0"/>
    </w:pPr>
    <w:rPr>
      <w:rFonts w:cs="Arial"/>
      <w:spacing w:val="0"/>
      <w:sz w:val="22"/>
      <w:szCs w:val="22"/>
    </w:rPr>
  </w:style>
  <w:style w:type="character" w:customStyle="1" w:styleId="Frontpagefooter-textwithoutspacingChar">
    <w:name w:val="Front page footer-text without spacing Char"/>
    <w:link w:val="Frontpagefooter-textwithoutspacing"/>
    <w:uiPriority w:val="1"/>
    <w:rsid w:val="00454B66"/>
    <w:rPr>
      <w:rFonts w:ascii="Arial" w:hAnsi="Arial" w:cs="Arial"/>
      <w:color w:val="0D4644"/>
    </w:rPr>
  </w:style>
  <w:style w:type="paragraph" w:customStyle="1" w:styleId="Frontpagefooter-website">
    <w:name w:val="Front page footer - website"/>
    <w:basedOn w:val="Normal"/>
    <w:link w:val="Frontpagefooter-websiteChar"/>
    <w:uiPriority w:val="1"/>
    <w:qFormat/>
    <w:rsid w:val="00454B66"/>
    <w:pPr>
      <w:spacing w:before="360" w:after="0" w:line="240" w:lineRule="auto"/>
    </w:pPr>
    <w:rPr>
      <w:b/>
      <w:color w:val="F034BF"/>
    </w:rPr>
  </w:style>
  <w:style w:type="character" w:customStyle="1" w:styleId="Frontpagefooter-websiteChar">
    <w:name w:val="Front page footer - website Char"/>
    <w:link w:val="Frontpagefooter-website"/>
    <w:uiPriority w:val="1"/>
    <w:rsid w:val="00454B66"/>
    <w:rPr>
      <w:rFonts w:ascii="Arial" w:hAnsi="Arial"/>
      <w:b/>
      <w:color w:val="F034BF"/>
    </w:rPr>
  </w:style>
  <w:style w:type="paragraph" w:customStyle="1" w:styleId="Quotebullet">
    <w:name w:val="Quote bullet"/>
    <w:basedOn w:val="Normal"/>
    <w:link w:val="QuotebulletChar"/>
    <w:uiPriority w:val="1"/>
    <w:qFormat/>
    <w:rsid w:val="00454B66"/>
    <w:pPr>
      <w:numPr>
        <w:numId w:val="3"/>
      </w:numPr>
      <w:spacing w:line="276" w:lineRule="auto"/>
      <w:ind w:left="993" w:right="567" w:hanging="426"/>
      <w:contextualSpacing/>
    </w:pPr>
    <w:rPr>
      <w:sz w:val="20"/>
      <w:szCs w:val="20"/>
    </w:rPr>
  </w:style>
  <w:style w:type="character" w:customStyle="1" w:styleId="QuotebulletChar">
    <w:name w:val="Quote bullet Char"/>
    <w:link w:val="Quotebullet"/>
    <w:uiPriority w:val="1"/>
    <w:rsid w:val="00454B66"/>
    <w:rPr>
      <w:rFonts w:ascii="Arial" w:hAnsi="Arial"/>
      <w:color w:val="0D4644"/>
      <w:sz w:val="20"/>
      <w:szCs w:val="20"/>
    </w:rPr>
  </w:style>
  <w:style w:type="paragraph" w:customStyle="1" w:styleId="Quote-subsection">
    <w:name w:val="Quote - subsection"/>
    <w:basedOn w:val="Quote-sub-section"/>
    <w:link w:val="Quote-subsectionChar"/>
    <w:uiPriority w:val="1"/>
    <w:qFormat/>
    <w:rsid w:val="00454B66"/>
    <w:pPr>
      <w:numPr>
        <w:numId w:val="1"/>
      </w:numPr>
      <w:ind w:left="1560" w:hanging="426"/>
    </w:pPr>
    <w:rPr>
      <w:rFonts w:ascii="Calibri" w:hAnsi="Calibri"/>
      <w:color w:val="auto"/>
      <w:sz w:val="22"/>
      <w:szCs w:val="22"/>
    </w:rPr>
  </w:style>
  <w:style w:type="character" w:customStyle="1" w:styleId="Quote-subsectionChar">
    <w:name w:val="Quote - subsection Char"/>
    <w:link w:val="Quote-subsection"/>
    <w:uiPriority w:val="1"/>
    <w:rsid w:val="00454B66"/>
  </w:style>
  <w:style w:type="paragraph" w:customStyle="1" w:styleId="Indent">
    <w:name w:val="Indent"/>
    <w:basedOn w:val="Normal"/>
    <w:qFormat/>
    <w:rsid w:val="00454B66"/>
    <w:pPr>
      <w:spacing w:after="240" w:line="281" w:lineRule="auto"/>
      <w:ind w:left="851"/>
      <w:contextualSpacing/>
      <w:jc w:val="both"/>
    </w:pPr>
    <w:rPr>
      <w:rFonts w:eastAsia="Times New Roman" w:cs="Arial"/>
      <w:sz w:val="24"/>
      <w:szCs w:val="24"/>
    </w:rPr>
  </w:style>
  <w:style w:type="paragraph" w:styleId="TOC1">
    <w:name w:val="toc 1"/>
    <w:basedOn w:val="Normal"/>
    <w:uiPriority w:val="39"/>
    <w:qFormat/>
    <w:rsid w:val="002A6B3E"/>
    <w:pPr>
      <w:keepNext/>
      <w:tabs>
        <w:tab w:val="right" w:pos="993"/>
        <w:tab w:val="right" w:pos="9356"/>
      </w:tabs>
      <w:spacing w:before="200"/>
      <w:ind w:left="993" w:hanging="993"/>
    </w:pPr>
    <w:rPr>
      <w:rFonts w:eastAsia="Arial"/>
      <w:noProof/>
      <w:szCs w:val="20"/>
    </w:rPr>
  </w:style>
  <w:style w:type="paragraph" w:styleId="TOC2">
    <w:name w:val="toc 2"/>
    <w:basedOn w:val="Normal"/>
    <w:uiPriority w:val="39"/>
    <w:qFormat/>
    <w:rsid w:val="002A6B3E"/>
    <w:pPr>
      <w:tabs>
        <w:tab w:val="right" w:pos="9356"/>
      </w:tabs>
      <w:spacing w:after="100"/>
      <w:ind w:left="1701" w:right="565" w:hanging="1275"/>
    </w:pPr>
    <w:rPr>
      <w:rFonts w:eastAsia="Arial"/>
      <w:bCs/>
      <w:noProof/>
    </w:rPr>
  </w:style>
  <w:style w:type="paragraph" w:styleId="TOC3">
    <w:name w:val="toc 3"/>
    <w:basedOn w:val="Normal"/>
    <w:uiPriority w:val="39"/>
    <w:qFormat/>
    <w:rsid w:val="00454B66"/>
    <w:pPr>
      <w:spacing w:before="178"/>
      <w:ind w:left="1098" w:hanging="535"/>
    </w:pPr>
    <w:rPr>
      <w:rFonts w:eastAsia="Arial"/>
    </w:rPr>
  </w:style>
  <w:style w:type="paragraph" w:styleId="TOC4">
    <w:name w:val="toc 4"/>
    <w:basedOn w:val="Normal"/>
    <w:uiPriority w:val="39"/>
    <w:qFormat/>
    <w:rsid w:val="00454B66"/>
    <w:pPr>
      <w:ind w:left="1130"/>
    </w:pPr>
    <w:rPr>
      <w:rFonts w:eastAsia="Arial"/>
      <w:sz w:val="20"/>
      <w:szCs w:val="20"/>
    </w:rPr>
  </w:style>
  <w:style w:type="paragraph" w:styleId="TOC5">
    <w:name w:val="toc 5"/>
    <w:basedOn w:val="Normal"/>
    <w:uiPriority w:val="39"/>
    <w:qFormat/>
    <w:rsid w:val="00454B66"/>
    <w:pPr>
      <w:ind w:left="1698"/>
    </w:pPr>
    <w:rPr>
      <w:rFonts w:eastAsia="Arial"/>
      <w:sz w:val="20"/>
      <w:szCs w:val="20"/>
    </w:rPr>
  </w:style>
  <w:style w:type="paragraph" w:styleId="TOC6">
    <w:name w:val="toc 6"/>
    <w:basedOn w:val="Normal"/>
    <w:uiPriority w:val="39"/>
    <w:qFormat/>
    <w:rsid w:val="00454B66"/>
    <w:pPr>
      <w:spacing w:before="598"/>
      <w:ind w:left="3672"/>
    </w:pPr>
    <w:rPr>
      <w:rFonts w:eastAsia="Arial"/>
      <w:sz w:val="18"/>
      <w:szCs w:val="18"/>
    </w:rPr>
  </w:style>
  <w:style w:type="paragraph" w:styleId="Caption">
    <w:name w:val="caption"/>
    <w:basedOn w:val="Normal"/>
    <w:next w:val="Normal"/>
    <w:uiPriority w:val="35"/>
    <w:unhideWhenUsed/>
    <w:qFormat/>
    <w:rsid w:val="00454B66"/>
    <w:pPr>
      <w:keepNext/>
    </w:pPr>
    <w:rPr>
      <w:b/>
      <w:bCs/>
      <w:sz w:val="20"/>
      <w:szCs w:val="20"/>
    </w:rPr>
  </w:style>
  <w:style w:type="paragraph" w:styleId="Header">
    <w:name w:val="header"/>
    <w:basedOn w:val="Heading1"/>
    <w:link w:val="HeaderChar"/>
    <w:uiPriority w:val="99"/>
    <w:rsid w:val="000C78F8"/>
    <w:rPr>
      <w:sz w:val="32"/>
      <w:szCs w:val="32"/>
    </w:rPr>
  </w:style>
  <w:style w:type="character" w:customStyle="1" w:styleId="HeaderChar">
    <w:name w:val="Header Char"/>
    <w:link w:val="Header"/>
    <w:uiPriority w:val="99"/>
    <w:rsid w:val="000C78F8"/>
    <w:rPr>
      <w:rFonts w:ascii="Gill Sans MT" w:hAnsi="Gill Sans MT" w:cs="Arial"/>
      <w:color w:val="0D4644"/>
      <w:sz w:val="32"/>
      <w:szCs w:val="32"/>
    </w:rPr>
  </w:style>
  <w:style w:type="paragraph" w:styleId="Footer">
    <w:name w:val="footer"/>
    <w:basedOn w:val="Normal"/>
    <w:link w:val="FooterChar"/>
    <w:uiPriority w:val="99"/>
    <w:rsid w:val="00493CBD"/>
    <w:pPr>
      <w:tabs>
        <w:tab w:val="center" w:pos="4513"/>
        <w:tab w:val="right" w:pos="9026"/>
      </w:tabs>
      <w:spacing w:after="0" w:line="240" w:lineRule="auto"/>
    </w:pPr>
  </w:style>
  <w:style w:type="character" w:customStyle="1" w:styleId="FooterChar">
    <w:name w:val="Footer Char"/>
    <w:link w:val="Footer"/>
    <w:uiPriority w:val="99"/>
    <w:rsid w:val="00493CBD"/>
    <w:rPr>
      <w:rFonts w:ascii="Arial" w:hAnsi="Arial"/>
      <w:color w:val="0D4644"/>
    </w:rPr>
  </w:style>
  <w:style w:type="paragraph" w:customStyle="1" w:styleId="ColorfulList-Accent11">
    <w:name w:val="Colorful List - Accent 11"/>
    <w:basedOn w:val="Normal"/>
    <w:uiPriority w:val="34"/>
    <w:rsid w:val="007D5FA4"/>
    <w:pPr>
      <w:spacing w:after="120"/>
      <w:ind w:left="720"/>
      <w:contextualSpacing/>
    </w:pPr>
    <w:rPr>
      <w:rFonts w:eastAsia="Times New Roman"/>
      <w:color w:val="auto"/>
      <w:sz w:val="24"/>
      <w:szCs w:val="24"/>
      <w:lang w:eastAsia="ja-JP"/>
    </w:rPr>
  </w:style>
  <w:style w:type="paragraph" w:styleId="ListBullet">
    <w:name w:val="List Bullet"/>
    <w:basedOn w:val="ListParagraph"/>
    <w:qFormat/>
    <w:rsid w:val="00BD4428"/>
    <w:pPr>
      <w:numPr>
        <w:numId w:val="22"/>
      </w:numPr>
    </w:pPr>
    <w:rPr>
      <w:rFonts w:ascii="Gill Sans MT" w:hAnsi="Gill Sans MT"/>
      <w:color w:val="000000" w:themeColor="text1"/>
    </w:rPr>
  </w:style>
  <w:style w:type="paragraph" w:styleId="Revision">
    <w:name w:val="Revision"/>
    <w:hidden/>
    <w:uiPriority w:val="99"/>
    <w:semiHidden/>
    <w:rsid w:val="00BE541F"/>
    <w:rPr>
      <w:rFonts w:ascii="Gill Sans MT" w:hAnsi="Gill Sans MT"/>
      <w:color w:val="0D4644"/>
      <w:sz w:val="22"/>
      <w:szCs w:val="22"/>
    </w:rPr>
  </w:style>
  <w:style w:type="character" w:styleId="Hyperlink">
    <w:name w:val="Hyperlink"/>
    <w:uiPriority w:val="99"/>
    <w:rsid w:val="008E5ED8"/>
    <w:rPr>
      <w:color w:val="0000FF"/>
      <w:u w:val="single"/>
    </w:rPr>
  </w:style>
  <w:style w:type="paragraph" w:styleId="Date">
    <w:name w:val="Date"/>
    <w:basedOn w:val="EOTSubheading"/>
    <w:next w:val="Normal"/>
    <w:link w:val="DateChar"/>
    <w:uiPriority w:val="99"/>
    <w:unhideWhenUsed/>
    <w:qFormat/>
    <w:rsid w:val="008E5ED8"/>
    <w:pPr>
      <w:pBdr>
        <w:bottom w:val="single" w:sz="4" w:space="1" w:color="auto"/>
      </w:pBdr>
    </w:pPr>
    <w:rPr>
      <w:rFonts w:ascii="Gill Sans MT" w:hAnsi="Gill Sans MT"/>
      <w:lang w:eastAsia="en-US"/>
    </w:rPr>
  </w:style>
  <w:style w:type="character" w:customStyle="1" w:styleId="DateChar">
    <w:name w:val="Date Char"/>
    <w:link w:val="Date"/>
    <w:uiPriority w:val="99"/>
    <w:rsid w:val="008E5ED8"/>
    <w:rPr>
      <w:rFonts w:ascii="Gill Sans MT" w:hAnsi="Gill Sans MT" w:cs="Arial"/>
      <w:color w:val="0D4644"/>
      <w:sz w:val="40"/>
      <w:szCs w:val="40"/>
      <w:lang w:eastAsia="en-US"/>
    </w:rPr>
  </w:style>
  <w:style w:type="paragraph" w:customStyle="1" w:styleId="Relatedframeworks-italics">
    <w:name w:val="Related frameworks-italics"/>
    <w:basedOn w:val="Normal"/>
    <w:link w:val="Relatedframeworks-italicsChar"/>
    <w:uiPriority w:val="1"/>
    <w:qFormat/>
    <w:rsid w:val="00CC69D4"/>
    <w:pPr>
      <w:spacing w:after="0"/>
    </w:pPr>
    <w:rPr>
      <w:i/>
      <w:lang w:eastAsia="en-US"/>
    </w:rPr>
  </w:style>
  <w:style w:type="character" w:customStyle="1" w:styleId="Relatedframeworks-italicsChar">
    <w:name w:val="Related frameworks-italics Char"/>
    <w:link w:val="Relatedframeworks-italics"/>
    <w:uiPriority w:val="1"/>
    <w:rsid w:val="00CC69D4"/>
    <w:rPr>
      <w:rFonts w:ascii="Gill Sans MT" w:hAnsi="Gill Sans MT"/>
      <w:i/>
      <w:color w:val="0D4644"/>
      <w:lang w:eastAsia="en-US"/>
    </w:rPr>
  </w:style>
  <w:style w:type="paragraph" w:customStyle="1" w:styleId="Relatedframeworks-notitalic">
    <w:name w:val="Related frameworks - not italic"/>
    <w:basedOn w:val="Relatedframeworks-italics"/>
    <w:link w:val="Relatedframeworks-notitalicChar"/>
    <w:uiPriority w:val="1"/>
    <w:qFormat/>
    <w:rsid w:val="00CC69D4"/>
    <w:rPr>
      <w:i w:val="0"/>
    </w:rPr>
  </w:style>
  <w:style w:type="paragraph" w:customStyle="1" w:styleId="Relatedframeworksnotitalics">
    <w:name w:val="Related frameworks: not italics"/>
    <w:basedOn w:val="Relatedframeworks-italics"/>
    <w:link w:val="RelatedframeworksnotitalicsChar"/>
    <w:uiPriority w:val="1"/>
    <w:qFormat/>
    <w:rsid w:val="00EF1207"/>
    <w:rPr>
      <w:i w:val="0"/>
    </w:rPr>
  </w:style>
  <w:style w:type="character" w:customStyle="1" w:styleId="Relatedframeworks-notitalicChar">
    <w:name w:val="Related frameworks - not italic Char"/>
    <w:link w:val="Relatedframeworks-notitalic"/>
    <w:uiPriority w:val="1"/>
    <w:rsid w:val="00CC69D4"/>
    <w:rPr>
      <w:rFonts w:ascii="Gill Sans MT" w:hAnsi="Gill Sans MT"/>
      <w:i w:val="0"/>
      <w:color w:val="0D4644"/>
      <w:lang w:eastAsia="en-US"/>
    </w:rPr>
  </w:style>
  <w:style w:type="character" w:customStyle="1" w:styleId="RelatedframeworksnotitalicsChar">
    <w:name w:val="Related frameworks: not italics Char"/>
    <w:link w:val="Relatedframeworksnotitalics"/>
    <w:uiPriority w:val="1"/>
    <w:rsid w:val="00EF1207"/>
    <w:rPr>
      <w:rFonts w:ascii="Gill Sans MT" w:hAnsi="Gill Sans MT"/>
      <w:i w:val="0"/>
      <w:color w:val="0D4644"/>
      <w:lang w:eastAsia="en-US"/>
    </w:rPr>
  </w:style>
  <w:style w:type="paragraph" w:customStyle="1" w:styleId="Normal-bulleted">
    <w:name w:val="Normal-bulleted"/>
    <w:basedOn w:val="Normal"/>
    <w:rsid w:val="002C448E"/>
    <w:pPr>
      <w:spacing w:line="276" w:lineRule="auto"/>
      <w:ind w:left="709" w:hanging="360"/>
    </w:pPr>
    <w:rPr>
      <w:lang w:eastAsia="en-US"/>
    </w:rPr>
  </w:style>
  <w:style w:type="paragraph" w:customStyle="1" w:styleId="StyleLeft0cmHanging125cm">
    <w:name w:val="Style Left:  0 cm Hanging:  1.25 cm"/>
    <w:basedOn w:val="Normal"/>
    <w:link w:val="StyleLeft0cmHanging125cmChar"/>
    <w:rsid w:val="002C448E"/>
    <w:pPr>
      <w:ind w:left="709" w:hanging="709"/>
    </w:pPr>
    <w:rPr>
      <w:rFonts w:eastAsia="Times New Roman"/>
      <w:szCs w:val="20"/>
      <w:lang w:eastAsia="en-US"/>
    </w:rPr>
  </w:style>
  <w:style w:type="paragraph" w:customStyle="1" w:styleId="Actionbullet">
    <w:name w:val="Action bullet"/>
    <w:basedOn w:val="ListParagraph"/>
    <w:link w:val="ActionbulletChar"/>
    <w:uiPriority w:val="1"/>
    <w:qFormat/>
    <w:rsid w:val="00E80515"/>
    <w:pPr>
      <w:numPr>
        <w:numId w:val="38"/>
      </w:numPr>
      <w:spacing w:after="240"/>
    </w:pPr>
    <w:rPr>
      <w:rFonts w:ascii="Gill Sans MT" w:hAnsi="Gill Sans MT"/>
      <w:lang w:eastAsia="en-US"/>
    </w:rPr>
  </w:style>
  <w:style w:type="character" w:customStyle="1" w:styleId="StyleLeft0cmHanging125cmChar">
    <w:name w:val="Style Left:  0 cm Hanging:  1.25 cm Char"/>
    <w:link w:val="StyleLeft0cmHanging125cm"/>
    <w:rsid w:val="002C448E"/>
    <w:rPr>
      <w:rFonts w:ascii="Gill Sans MT" w:eastAsia="Times New Roman" w:hAnsi="Gill Sans MT" w:cs="Times New Roman"/>
      <w:color w:val="0D4644"/>
      <w:szCs w:val="20"/>
      <w:lang w:eastAsia="en-US"/>
    </w:rPr>
  </w:style>
  <w:style w:type="character" w:customStyle="1" w:styleId="ActionbulletChar">
    <w:name w:val="Action bullet Char"/>
    <w:link w:val="Actionbullet"/>
    <w:uiPriority w:val="1"/>
    <w:rsid w:val="00E80515"/>
    <w:rPr>
      <w:rFonts w:ascii="Gill Sans MT" w:hAnsi="Gill Sans MT"/>
      <w:color w:val="0D4644"/>
      <w:lang w:eastAsia="en-US"/>
    </w:rPr>
  </w:style>
  <w:style w:type="paragraph" w:customStyle="1" w:styleId="Action">
    <w:name w:val="Action #"/>
    <w:basedOn w:val="StyleLeft0cmHanging125cm"/>
    <w:link w:val="ActionChar"/>
    <w:uiPriority w:val="1"/>
    <w:qFormat/>
    <w:rsid w:val="00E80515"/>
  </w:style>
  <w:style w:type="character" w:customStyle="1" w:styleId="ActionChar">
    <w:name w:val="Action # Char"/>
    <w:link w:val="Action"/>
    <w:uiPriority w:val="1"/>
    <w:rsid w:val="00E80515"/>
    <w:rPr>
      <w:rFonts w:ascii="Gill Sans MT" w:eastAsia="Times New Roman" w:hAnsi="Gill Sans MT" w:cs="Times New Roman"/>
      <w:color w:val="0D4644"/>
      <w:szCs w:val="20"/>
      <w:lang w:eastAsia="en-US"/>
    </w:rPr>
  </w:style>
  <w:style w:type="character" w:styleId="CommentReference">
    <w:name w:val="annotation reference"/>
    <w:rsid w:val="00CD6040"/>
    <w:rPr>
      <w:sz w:val="16"/>
      <w:szCs w:val="16"/>
    </w:rPr>
  </w:style>
  <w:style w:type="paragraph" w:styleId="CommentText">
    <w:name w:val="annotation text"/>
    <w:basedOn w:val="Normal"/>
    <w:link w:val="CommentTextChar"/>
    <w:rsid w:val="00CD6040"/>
    <w:pPr>
      <w:spacing w:line="240" w:lineRule="auto"/>
    </w:pPr>
    <w:rPr>
      <w:sz w:val="20"/>
      <w:szCs w:val="20"/>
    </w:rPr>
  </w:style>
  <w:style w:type="character" w:customStyle="1" w:styleId="CommentTextChar">
    <w:name w:val="Comment Text Char"/>
    <w:link w:val="CommentText"/>
    <w:rsid w:val="00CD6040"/>
    <w:rPr>
      <w:rFonts w:ascii="Gill Sans MT" w:hAnsi="Gill Sans MT"/>
      <w:color w:val="0D4644"/>
      <w:sz w:val="20"/>
      <w:szCs w:val="20"/>
    </w:rPr>
  </w:style>
  <w:style w:type="paragraph" w:styleId="CommentSubject">
    <w:name w:val="annotation subject"/>
    <w:basedOn w:val="CommentText"/>
    <w:next w:val="CommentText"/>
    <w:link w:val="CommentSubjectChar"/>
    <w:rsid w:val="00CD6040"/>
    <w:rPr>
      <w:b/>
      <w:bCs/>
    </w:rPr>
  </w:style>
  <w:style w:type="character" w:customStyle="1" w:styleId="CommentSubjectChar">
    <w:name w:val="Comment Subject Char"/>
    <w:link w:val="CommentSubject"/>
    <w:rsid w:val="00CD6040"/>
    <w:rPr>
      <w:rFonts w:ascii="Gill Sans MT" w:hAnsi="Gill Sans MT"/>
      <w:b/>
      <w:bCs/>
      <w:color w:val="0D4644"/>
      <w:sz w:val="20"/>
      <w:szCs w:val="20"/>
    </w:rPr>
  </w:style>
  <w:style w:type="paragraph" w:styleId="TOC7">
    <w:name w:val="toc 7"/>
    <w:basedOn w:val="Normal"/>
    <w:next w:val="Normal"/>
    <w:autoRedefine/>
    <w:uiPriority w:val="39"/>
    <w:unhideWhenUsed/>
    <w:rsid w:val="00B202CF"/>
    <w:pPr>
      <w:spacing w:after="100" w:line="276" w:lineRule="auto"/>
      <w:ind w:left="1320"/>
    </w:pPr>
    <w:rPr>
      <w:rFonts w:ascii="Calibri" w:eastAsia="Times New Roman" w:hAnsi="Calibri"/>
      <w:color w:val="auto"/>
    </w:rPr>
  </w:style>
  <w:style w:type="paragraph" w:styleId="TOC8">
    <w:name w:val="toc 8"/>
    <w:basedOn w:val="Normal"/>
    <w:next w:val="Normal"/>
    <w:autoRedefine/>
    <w:uiPriority w:val="39"/>
    <w:unhideWhenUsed/>
    <w:rsid w:val="00B202CF"/>
    <w:pPr>
      <w:spacing w:after="100" w:line="276" w:lineRule="auto"/>
      <w:ind w:left="1540"/>
    </w:pPr>
    <w:rPr>
      <w:rFonts w:ascii="Calibri" w:eastAsia="Times New Roman" w:hAnsi="Calibri"/>
      <w:color w:val="auto"/>
    </w:rPr>
  </w:style>
  <w:style w:type="paragraph" w:styleId="TOC9">
    <w:name w:val="toc 9"/>
    <w:basedOn w:val="Normal"/>
    <w:next w:val="Normal"/>
    <w:autoRedefine/>
    <w:uiPriority w:val="39"/>
    <w:unhideWhenUsed/>
    <w:rsid w:val="00B202CF"/>
    <w:pPr>
      <w:spacing w:after="100" w:line="276" w:lineRule="auto"/>
      <w:ind w:left="1760"/>
    </w:pPr>
    <w:rPr>
      <w:rFonts w:ascii="Calibri" w:eastAsia="Times New Roman" w:hAnsi="Calibri"/>
      <w:color w:val="auto"/>
    </w:rPr>
  </w:style>
  <w:style w:type="paragraph" w:customStyle="1" w:styleId="Default">
    <w:name w:val="Default"/>
    <w:rsid w:val="00F06D55"/>
    <w:pPr>
      <w:autoSpaceDE w:val="0"/>
      <w:autoSpaceDN w:val="0"/>
      <w:adjustRightInd w:val="0"/>
    </w:pPr>
    <w:rPr>
      <w:rFonts w:ascii="Gill Sans MT" w:hAnsi="Gill Sans MT" w:cs="Gill Sans MT"/>
      <w:color w:val="000000"/>
      <w:sz w:val="24"/>
      <w:szCs w:val="24"/>
    </w:rPr>
  </w:style>
  <w:style w:type="paragraph" w:customStyle="1" w:styleId="Department">
    <w:name w:val="Department"/>
    <w:basedOn w:val="Normal"/>
    <w:qFormat/>
    <w:rsid w:val="00EE64E5"/>
    <w:pPr>
      <w:spacing w:after="0" w:line="240" w:lineRule="auto"/>
    </w:pPr>
    <w:rPr>
      <w:rFonts w:asciiTheme="minorHAnsi" w:eastAsiaTheme="minorEastAsia" w:hAnsiTheme="minorHAnsi" w:cstheme="minorBidi"/>
      <w:color w:val="auto"/>
      <w:spacing w:val="22"/>
      <w:kern w:val="2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2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389E-3C42-43D8-85FC-393122FE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Disability Justice Plan for Tasmania 2017-2020</vt:lpstr>
    </vt:vector>
  </TitlesOfParts>
  <Company>Department of Justice</Company>
  <LinksUpToDate>false</LinksUpToDate>
  <CharactersWithSpaces>28935</CharactersWithSpaces>
  <SharedDoc>false</SharedDoc>
  <HLinks>
    <vt:vector size="132" baseType="variant">
      <vt:variant>
        <vt:i4>1835064</vt:i4>
      </vt:variant>
      <vt:variant>
        <vt:i4>125</vt:i4>
      </vt:variant>
      <vt:variant>
        <vt:i4>0</vt:i4>
      </vt:variant>
      <vt:variant>
        <vt:i4>5</vt:i4>
      </vt:variant>
      <vt:variant>
        <vt:lpwstr/>
      </vt:variant>
      <vt:variant>
        <vt:lpwstr>_Toc486784206</vt:lpwstr>
      </vt:variant>
      <vt:variant>
        <vt:i4>1835064</vt:i4>
      </vt:variant>
      <vt:variant>
        <vt:i4>119</vt:i4>
      </vt:variant>
      <vt:variant>
        <vt:i4>0</vt:i4>
      </vt:variant>
      <vt:variant>
        <vt:i4>5</vt:i4>
      </vt:variant>
      <vt:variant>
        <vt:lpwstr/>
      </vt:variant>
      <vt:variant>
        <vt:lpwstr>_Toc486784205</vt:lpwstr>
      </vt:variant>
      <vt:variant>
        <vt:i4>1835064</vt:i4>
      </vt:variant>
      <vt:variant>
        <vt:i4>113</vt:i4>
      </vt:variant>
      <vt:variant>
        <vt:i4>0</vt:i4>
      </vt:variant>
      <vt:variant>
        <vt:i4>5</vt:i4>
      </vt:variant>
      <vt:variant>
        <vt:lpwstr/>
      </vt:variant>
      <vt:variant>
        <vt:lpwstr>_Toc486784204</vt:lpwstr>
      </vt:variant>
      <vt:variant>
        <vt:i4>1835064</vt:i4>
      </vt:variant>
      <vt:variant>
        <vt:i4>107</vt:i4>
      </vt:variant>
      <vt:variant>
        <vt:i4>0</vt:i4>
      </vt:variant>
      <vt:variant>
        <vt:i4>5</vt:i4>
      </vt:variant>
      <vt:variant>
        <vt:lpwstr/>
      </vt:variant>
      <vt:variant>
        <vt:lpwstr>_Toc486784203</vt:lpwstr>
      </vt:variant>
      <vt:variant>
        <vt:i4>1835064</vt:i4>
      </vt:variant>
      <vt:variant>
        <vt:i4>101</vt:i4>
      </vt:variant>
      <vt:variant>
        <vt:i4>0</vt:i4>
      </vt:variant>
      <vt:variant>
        <vt:i4>5</vt:i4>
      </vt:variant>
      <vt:variant>
        <vt:lpwstr/>
      </vt:variant>
      <vt:variant>
        <vt:lpwstr>_Toc486784202</vt:lpwstr>
      </vt:variant>
      <vt:variant>
        <vt:i4>1835064</vt:i4>
      </vt:variant>
      <vt:variant>
        <vt:i4>95</vt:i4>
      </vt:variant>
      <vt:variant>
        <vt:i4>0</vt:i4>
      </vt:variant>
      <vt:variant>
        <vt:i4>5</vt:i4>
      </vt:variant>
      <vt:variant>
        <vt:lpwstr/>
      </vt:variant>
      <vt:variant>
        <vt:lpwstr>_Toc486784201</vt:lpwstr>
      </vt:variant>
      <vt:variant>
        <vt:i4>1835064</vt:i4>
      </vt:variant>
      <vt:variant>
        <vt:i4>89</vt:i4>
      </vt:variant>
      <vt:variant>
        <vt:i4>0</vt:i4>
      </vt:variant>
      <vt:variant>
        <vt:i4>5</vt:i4>
      </vt:variant>
      <vt:variant>
        <vt:lpwstr/>
      </vt:variant>
      <vt:variant>
        <vt:lpwstr>_Toc486784200</vt:lpwstr>
      </vt:variant>
      <vt:variant>
        <vt:i4>1376315</vt:i4>
      </vt:variant>
      <vt:variant>
        <vt:i4>83</vt:i4>
      </vt:variant>
      <vt:variant>
        <vt:i4>0</vt:i4>
      </vt:variant>
      <vt:variant>
        <vt:i4>5</vt:i4>
      </vt:variant>
      <vt:variant>
        <vt:lpwstr/>
      </vt:variant>
      <vt:variant>
        <vt:lpwstr>_Toc486784199</vt:lpwstr>
      </vt:variant>
      <vt:variant>
        <vt:i4>1376315</vt:i4>
      </vt:variant>
      <vt:variant>
        <vt:i4>77</vt:i4>
      </vt:variant>
      <vt:variant>
        <vt:i4>0</vt:i4>
      </vt:variant>
      <vt:variant>
        <vt:i4>5</vt:i4>
      </vt:variant>
      <vt:variant>
        <vt:lpwstr/>
      </vt:variant>
      <vt:variant>
        <vt:lpwstr>_Toc486784198</vt:lpwstr>
      </vt:variant>
      <vt:variant>
        <vt:i4>1376315</vt:i4>
      </vt:variant>
      <vt:variant>
        <vt:i4>71</vt:i4>
      </vt:variant>
      <vt:variant>
        <vt:i4>0</vt:i4>
      </vt:variant>
      <vt:variant>
        <vt:i4>5</vt:i4>
      </vt:variant>
      <vt:variant>
        <vt:lpwstr/>
      </vt:variant>
      <vt:variant>
        <vt:lpwstr>_Toc486784197</vt:lpwstr>
      </vt:variant>
      <vt:variant>
        <vt:i4>1376315</vt:i4>
      </vt:variant>
      <vt:variant>
        <vt:i4>65</vt:i4>
      </vt:variant>
      <vt:variant>
        <vt:i4>0</vt:i4>
      </vt:variant>
      <vt:variant>
        <vt:i4>5</vt:i4>
      </vt:variant>
      <vt:variant>
        <vt:lpwstr/>
      </vt:variant>
      <vt:variant>
        <vt:lpwstr>_Toc486784196</vt:lpwstr>
      </vt:variant>
      <vt:variant>
        <vt:i4>1376315</vt:i4>
      </vt:variant>
      <vt:variant>
        <vt:i4>59</vt:i4>
      </vt:variant>
      <vt:variant>
        <vt:i4>0</vt:i4>
      </vt:variant>
      <vt:variant>
        <vt:i4>5</vt:i4>
      </vt:variant>
      <vt:variant>
        <vt:lpwstr/>
      </vt:variant>
      <vt:variant>
        <vt:lpwstr>_Toc486784195</vt:lpwstr>
      </vt:variant>
      <vt:variant>
        <vt:i4>1376315</vt:i4>
      </vt:variant>
      <vt:variant>
        <vt:i4>53</vt:i4>
      </vt:variant>
      <vt:variant>
        <vt:i4>0</vt:i4>
      </vt:variant>
      <vt:variant>
        <vt:i4>5</vt:i4>
      </vt:variant>
      <vt:variant>
        <vt:lpwstr/>
      </vt:variant>
      <vt:variant>
        <vt:lpwstr>_Toc486784194</vt:lpwstr>
      </vt:variant>
      <vt:variant>
        <vt:i4>1376315</vt:i4>
      </vt:variant>
      <vt:variant>
        <vt:i4>47</vt:i4>
      </vt:variant>
      <vt:variant>
        <vt:i4>0</vt:i4>
      </vt:variant>
      <vt:variant>
        <vt:i4>5</vt:i4>
      </vt:variant>
      <vt:variant>
        <vt:lpwstr/>
      </vt:variant>
      <vt:variant>
        <vt:lpwstr>_Toc486784193</vt:lpwstr>
      </vt:variant>
      <vt:variant>
        <vt:i4>1376315</vt:i4>
      </vt:variant>
      <vt:variant>
        <vt:i4>41</vt:i4>
      </vt:variant>
      <vt:variant>
        <vt:i4>0</vt:i4>
      </vt:variant>
      <vt:variant>
        <vt:i4>5</vt:i4>
      </vt:variant>
      <vt:variant>
        <vt:lpwstr/>
      </vt:variant>
      <vt:variant>
        <vt:lpwstr>_Toc486784192</vt:lpwstr>
      </vt:variant>
      <vt:variant>
        <vt:i4>1376315</vt:i4>
      </vt:variant>
      <vt:variant>
        <vt:i4>35</vt:i4>
      </vt:variant>
      <vt:variant>
        <vt:i4>0</vt:i4>
      </vt:variant>
      <vt:variant>
        <vt:i4>5</vt:i4>
      </vt:variant>
      <vt:variant>
        <vt:lpwstr/>
      </vt:variant>
      <vt:variant>
        <vt:lpwstr>_Toc486784191</vt:lpwstr>
      </vt:variant>
      <vt:variant>
        <vt:i4>1376315</vt:i4>
      </vt:variant>
      <vt:variant>
        <vt:i4>29</vt:i4>
      </vt:variant>
      <vt:variant>
        <vt:i4>0</vt:i4>
      </vt:variant>
      <vt:variant>
        <vt:i4>5</vt:i4>
      </vt:variant>
      <vt:variant>
        <vt:lpwstr/>
      </vt:variant>
      <vt:variant>
        <vt:lpwstr>_Toc486784190</vt:lpwstr>
      </vt:variant>
      <vt:variant>
        <vt:i4>1310779</vt:i4>
      </vt:variant>
      <vt:variant>
        <vt:i4>23</vt:i4>
      </vt:variant>
      <vt:variant>
        <vt:i4>0</vt:i4>
      </vt:variant>
      <vt:variant>
        <vt:i4>5</vt:i4>
      </vt:variant>
      <vt:variant>
        <vt:lpwstr/>
      </vt:variant>
      <vt:variant>
        <vt:lpwstr>_Toc486784189</vt:lpwstr>
      </vt:variant>
      <vt:variant>
        <vt:i4>1310779</vt:i4>
      </vt:variant>
      <vt:variant>
        <vt:i4>17</vt:i4>
      </vt:variant>
      <vt:variant>
        <vt:i4>0</vt:i4>
      </vt:variant>
      <vt:variant>
        <vt:i4>5</vt:i4>
      </vt:variant>
      <vt:variant>
        <vt:lpwstr/>
      </vt:variant>
      <vt:variant>
        <vt:lpwstr>_Toc486784188</vt:lpwstr>
      </vt:variant>
      <vt:variant>
        <vt:i4>1310779</vt:i4>
      </vt:variant>
      <vt:variant>
        <vt:i4>14</vt:i4>
      </vt:variant>
      <vt:variant>
        <vt:i4>0</vt:i4>
      </vt:variant>
      <vt:variant>
        <vt:i4>5</vt:i4>
      </vt:variant>
      <vt:variant>
        <vt:lpwstr/>
      </vt:variant>
      <vt:variant>
        <vt:lpwstr>_Toc486784187</vt:lpwstr>
      </vt:variant>
      <vt:variant>
        <vt:i4>1310779</vt:i4>
      </vt:variant>
      <vt:variant>
        <vt:i4>8</vt:i4>
      </vt:variant>
      <vt:variant>
        <vt:i4>0</vt:i4>
      </vt:variant>
      <vt:variant>
        <vt:i4>5</vt:i4>
      </vt:variant>
      <vt:variant>
        <vt:lpwstr/>
      </vt:variant>
      <vt:variant>
        <vt:lpwstr>_Toc486784186</vt:lpwstr>
      </vt:variant>
      <vt:variant>
        <vt:i4>1310779</vt:i4>
      </vt:variant>
      <vt:variant>
        <vt:i4>2</vt:i4>
      </vt:variant>
      <vt:variant>
        <vt:i4>0</vt:i4>
      </vt:variant>
      <vt:variant>
        <vt:i4>5</vt:i4>
      </vt:variant>
      <vt:variant>
        <vt:lpwstr/>
      </vt:variant>
      <vt:variant>
        <vt:lpwstr>_Toc486784185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Justice Plan for Tasmania 2017-2020</dc:title>
  <dc:subject/>
  <dc:creator>Evans, Susan</dc:creator>
  <cp:keywords/>
  <cp:lastModifiedBy>Lewis, Tanzi T</cp:lastModifiedBy>
  <cp:revision>2</cp:revision>
  <cp:lastPrinted>2017-12-13T05:54:00Z</cp:lastPrinted>
  <dcterms:created xsi:type="dcterms:W3CDTF">2020-11-17T03:59:00Z</dcterms:created>
  <dcterms:modified xsi:type="dcterms:W3CDTF">2020-11-17T03:59:00Z</dcterms:modified>
</cp:coreProperties>
</file>