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C" w:rsidRPr="00CA2888" w:rsidRDefault="004B656E" w:rsidP="00CA2888">
      <w:pPr>
        <w:pStyle w:val="Heading-cover"/>
      </w:pPr>
      <w:bookmarkStart w:id="0" w:name="OLE_LINK1"/>
      <w:bookmarkStart w:id="1" w:name="_GoBack"/>
      <w:bookmarkEnd w:id="1"/>
      <w:r>
        <w:t>Factsheet</w:t>
      </w:r>
    </w:p>
    <w:p w:rsidR="00D4011C" w:rsidRPr="00CA2888" w:rsidRDefault="00D4011C" w:rsidP="00CA2888">
      <w:pPr>
        <w:pStyle w:val="Sub-heading-cover"/>
      </w:pPr>
      <w:r w:rsidRPr="00CA2888">
        <w:t>C</w:t>
      </w:r>
      <w:r w:rsidR="00A84D4E" w:rsidRPr="00CA2888">
        <w:t xml:space="preserve">ommon </w:t>
      </w:r>
      <w:r w:rsidR="00FD69ED">
        <w:t>R</w:t>
      </w:r>
      <w:r w:rsidR="00A84D4E" w:rsidRPr="00CA2888">
        <w:t xml:space="preserve">eactions to </w:t>
      </w:r>
      <w:r w:rsidR="00FD69ED">
        <w:t>C</w:t>
      </w:r>
      <w:r w:rsidR="00A84D4E" w:rsidRPr="00CA2888">
        <w:t xml:space="preserve">hange </w:t>
      </w:r>
    </w:p>
    <w:bookmarkEnd w:id="0"/>
    <w:p w:rsidR="00CB36DC" w:rsidRPr="00CA2888" w:rsidRDefault="00CB36DC" w:rsidP="00CA2888">
      <w:pPr>
        <w:spacing w:before="120" w:after="120" w:line="276" w:lineRule="auto"/>
        <w:rPr>
          <w:rFonts w:ascii="Gill Sans MT" w:hAnsi="Gill Sans MT" w:cs="Arial"/>
          <w:szCs w:val="20"/>
        </w:rPr>
      </w:pPr>
      <w:r w:rsidRPr="00CA2888">
        <w:rPr>
          <w:rFonts w:ascii="Gill Sans MT" w:hAnsi="Gill Sans MT" w:cs="Arial"/>
          <w:szCs w:val="20"/>
        </w:rPr>
        <w:t>Remember that everyone is different and therefore will experience change and the change process differently. There is no ‘right’ or ‘wrong’ to the process and different people may move through each stage at a different pace. The key is to be aware of where people may be and help them through that stage with clear information, consultation and support.</w:t>
      </w:r>
    </w:p>
    <w:p w:rsidR="00CB36DC" w:rsidRPr="008E7216" w:rsidRDefault="00CB36DC" w:rsidP="008E7216">
      <w:pPr>
        <w:pStyle w:val="HeadingThree"/>
      </w:pPr>
      <w:r w:rsidRPr="008E7216">
        <w:t>Figure 1: Stages of reactions to change</w:t>
      </w:r>
    </w:p>
    <w:p w:rsidR="00CB36DC" w:rsidRDefault="00CB36DC" w:rsidP="008E7216">
      <w:pPr>
        <w:spacing w:line="276" w:lineRule="auto"/>
        <w:ind w:right="-8"/>
        <w:rPr>
          <w:rFonts w:ascii="Gill Sans MT" w:hAnsi="Gill Sans MT" w:cs="Arial"/>
          <w:b/>
          <w:color w:val="1F497D" w:themeColor="text2"/>
        </w:rPr>
      </w:pPr>
      <w:r>
        <w:rPr>
          <w:noProof/>
          <w:lang w:eastAsia="en-AU"/>
        </w:rPr>
        <w:drawing>
          <wp:inline distT="0" distB="0" distL="0" distR="0" wp14:anchorId="1E15199A" wp14:editId="2A83DE72">
            <wp:extent cx="6410580" cy="3028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054" cy="3029647"/>
                    </a:xfrm>
                    <a:prstGeom prst="rect">
                      <a:avLst/>
                    </a:prstGeom>
                    <a:noFill/>
                  </pic:spPr>
                </pic:pic>
              </a:graphicData>
            </a:graphic>
          </wp:inline>
        </w:drawing>
      </w:r>
    </w:p>
    <w:p w:rsidR="00CB36DC" w:rsidRPr="004D5F8C" w:rsidRDefault="00CB36DC" w:rsidP="008E7216">
      <w:pPr>
        <w:pStyle w:val="HeadingThree"/>
      </w:pPr>
      <w:r w:rsidRPr="004D5F8C">
        <w:t xml:space="preserve">STAGE: DENIAL </w:t>
      </w:r>
    </w:p>
    <w:p w:rsidR="00CB36DC" w:rsidRDefault="00CB36DC" w:rsidP="00CA2888">
      <w:pPr>
        <w:spacing w:after="200" w:line="276" w:lineRule="auto"/>
        <w:ind w:right="-8"/>
      </w:pPr>
      <w:r w:rsidRPr="009870DE">
        <w:rPr>
          <w:rFonts w:ascii="Gill Sans MT" w:hAnsi="Gill Sans MT"/>
        </w:rPr>
        <w:t>The stage of denial can be prolonged if employees are not encouraged to register their reaction, or if management acts like employees should just move directly into the new ways.  Denial is harmful because it impedes the natural progression of healing from loss (i.e. the old way of doing things) to moving forward … Because people are often blind to problems during the denial phase, a manager can mistakenly think that he or she has jumped directly to the final phase of commitment.</w:t>
      </w:r>
    </w:p>
    <w:tbl>
      <w:tblPr>
        <w:tblStyle w:val="TableGrid"/>
        <w:tblW w:w="10206" w:type="dxa"/>
        <w:tblInd w:w="10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600" w:firstRow="0" w:lastRow="0" w:firstColumn="0" w:lastColumn="0" w:noHBand="1" w:noVBand="1"/>
      </w:tblPr>
      <w:tblGrid>
        <w:gridCol w:w="5103"/>
        <w:gridCol w:w="5103"/>
      </w:tblGrid>
      <w:tr w:rsidR="00CB36DC" w:rsidRPr="00CE59C2" w:rsidTr="008E7216">
        <w:trPr>
          <w:cantSplit/>
          <w:tblHeader/>
        </w:trPr>
        <w:tc>
          <w:tcPr>
            <w:tcW w:w="5103" w:type="dxa"/>
            <w:tcBorders>
              <w:left w:val="single" w:sz="8" w:space="0" w:color="1F497D" w:themeColor="text2"/>
              <w:right w:val="single" w:sz="8" w:space="0" w:color="FFFFFF" w:themeColor="background1"/>
            </w:tcBorders>
            <w:shd w:val="clear" w:color="auto" w:fill="1F497D" w:themeFill="text2"/>
            <w:vAlign w:val="center"/>
          </w:tcPr>
          <w:p w:rsidR="00CB36DC" w:rsidRPr="00CE59C2" w:rsidRDefault="00CB36DC" w:rsidP="008E7216">
            <w:pPr>
              <w:spacing w:before="60" w:after="60" w:line="276" w:lineRule="auto"/>
              <w:ind w:right="-8"/>
              <w:rPr>
                <w:rFonts w:ascii="Gill Sans MT" w:hAnsi="Gill Sans MT"/>
                <w:b/>
                <w:color w:val="FFFFFF" w:themeColor="background1"/>
              </w:rPr>
            </w:pPr>
            <w:r w:rsidRPr="00CE59C2">
              <w:rPr>
                <w:rFonts w:ascii="Gill Sans MT" w:hAnsi="Gill Sans MT"/>
                <w:b/>
                <w:color w:val="FFFFFF" w:themeColor="background1"/>
              </w:rPr>
              <w:t>What you see</w:t>
            </w:r>
          </w:p>
        </w:tc>
        <w:tc>
          <w:tcPr>
            <w:tcW w:w="5103" w:type="dxa"/>
            <w:tcBorders>
              <w:left w:val="single" w:sz="8" w:space="0" w:color="FFFFFF" w:themeColor="background1"/>
            </w:tcBorders>
            <w:shd w:val="clear" w:color="auto" w:fill="1F497D" w:themeFill="text2"/>
            <w:vAlign w:val="center"/>
          </w:tcPr>
          <w:p w:rsidR="00CB36DC" w:rsidRPr="00CE59C2" w:rsidRDefault="00CB36DC" w:rsidP="008E7216">
            <w:pPr>
              <w:spacing w:before="60" w:after="60" w:line="276" w:lineRule="auto"/>
              <w:ind w:right="-8"/>
              <w:rPr>
                <w:rFonts w:ascii="Gill Sans MT" w:hAnsi="Gill Sans MT"/>
                <w:b/>
                <w:color w:val="FFFFFF" w:themeColor="background1"/>
              </w:rPr>
            </w:pPr>
            <w:r w:rsidRPr="00CE59C2">
              <w:rPr>
                <w:rFonts w:ascii="Gill Sans MT" w:hAnsi="Gill Sans MT"/>
                <w:b/>
                <w:color w:val="FFFFFF" w:themeColor="background1"/>
              </w:rPr>
              <w:t>What you should do</w:t>
            </w:r>
          </w:p>
        </w:tc>
      </w:tr>
      <w:tr w:rsidR="00CB36DC" w:rsidRPr="009870DE" w:rsidTr="008E7216">
        <w:trPr>
          <w:cantSplit/>
          <w:trHeight w:val="2721"/>
        </w:trPr>
        <w:tc>
          <w:tcPr>
            <w:tcW w:w="5103" w:type="dxa"/>
            <w:vAlign w:val="center"/>
          </w:tcPr>
          <w:p w:rsidR="00CB36DC" w:rsidRPr="009870DE" w:rsidRDefault="00CB36DC" w:rsidP="008E7216">
            <w:pPr>
              <w:spacing w:before="30" w:after="30"/>
              <w:ind w:right="-8"/>
              <w:rPr>
                <w:rFonts w:ascii="Gill Sans MT" w:hAnsi="Gill Sans MT"/>
              </w:rPr>
            </w:pPr>
            <w:r w:rsidRPr="009870DE">
              <w:rPr>
                <w:rFonts w:ascii="Gill Sans MT" w:hAnsi="Gill Sans MT"/>
              </w:rPr>
              <w:t>Withdrawal</w:t>
            </w:r>
          </w:p>
          <w:p w:rsidR="00CB36DC" w:rsidRPr="009870DE" w:rsidRDefault="00CB36DC" w:rsidP="008E7216">
            <w:pPr>
              <w:spacing w:before="30" w:after="30"/>
              <w:ind w:right="-8"/>
              <w:rPr>
                <w:rFonts w:ascii="Gill Sans MT" w:hAnsi="Gill Sans MT"/>
              </w:rPr>
            </w:pPr>
            <w:r w:rsidRPr="009870DE">
              <w:rPr>
                <w:rFonts w:ascii="Gill Sans MT" w:hAnsi="Gill Sans MT"/>
              </w:rPr>
              <w:t>No noticeable reaction – “business as usual”</w:t>
            </w:r>
          </w:p>
          <w:p w:rsidR="00CB36DC" w:rsidRPr="009870DE" w:rsidRDefault="00CB36DC" w:rsidP="008E7216">
            <w:pPr>
              <w:spacing w:before="30" w:after="30"/>
              <w:ind w:right="-8"/>
              <w:rPr>
                <w:rFonts w:ascii="Gill Sans MT" w:hAnsi="Gill Sans MT"/>
              </w:rPr>
            </w:pPr>
            <w:r w:rsidRPr="009870DE">
              <w:rPr>
                <w:rFonts w:ascii="Gill Sans MT" w:hAnsi="Gill Sans MT"/>
              </w:rPr>
              <w:t>Focus on the past</w:t>
            </w:r>
          </w:p>
          <w:p w:rsidR="00CB36DC" w:rsidRPr="009870DE" w:rsidRDefault="00CB36DC" w:rsidP="008E7216">
            <w:pPr>
              <w:spacing w:before="30" w:after="30"/>
              <w:ind w:right="-8"/>
              <w:rPr>
                <w:rFonts w:ascii="Gill Sans MT" w:hAnsi="Gill Sans MT"/>
              </w:rPr>
            </w:pPr>
            <w:r w:rsidRPr="009870DE">
              <w:rPr>
                <w:rFonts w:ascii="Gill Sans MT" w:hAnsi="Gill Sans MT"/>
              </w:rPr>
              <w:t>Apathy/numbness – the announcement of change doesn’t seem to sink in</w:t>
            </w:r>
          </w:p>
          <w:p w:rsidR="00CB36DC" w:rsidRPr="009870DE" w:rsidRDefault="00CB36DC" w:rsidP="008E7216">
            <w:pPr>
              <w:spacing w:before="30" w:after="30"/>
              <w:ind w:right="-8"/>
              <w:rPr>
                <w:rFonts w:ascii="Gill Sans MT" w:hAnsi="Gill Sans MT"/>
              </w:rPr>
            </w:pPr>
            <w:r w:rsidRPr="009870DE">
              <w:rPr>
                <w:rFonts w:ascii="Gill Sans MT" w:hAnsi="Gill Sans MT"/>
              </w:rPr>
              <w:t>Evidence of activity, but not much gets done</w:t>
            </w:r>
          </w:p>
          <w:p w:rsidR="00CB36DC" w:rsidRPr="009870DE" w:rsidRDefault="00CB36DC" w:rsidP="008E7216">
            <w:pPr>
              <w:spacing w:before="30" w:after="30"/>
              <w:ind w:right="-8"/>
              <w:rPr>
                <w:rFonts w:ascii="Gill Sans MT" w:hAnsi="Gill Sans MT"/>
              </w:rPr>
            </w:pPr>
            <w:r w:rsidRPr="009870DE">
              <w:rPr>
                <w:rFonts w:ascii="Gill Sans MT" w:hAnsi="Gill Sans MT"/>
              </w:rPr>
              <w:t>Provide individuals with facts and information about the change</w:t>
            </w:r>
          </w:p>
        </w:tc>
        <w:tc>
          <w:tcPr>
            <w:tcW w:w="5103" w:type="dxa"/>
            <w:vAlign w:val="center"/>
          </w:tcPr>
          <w:p w:rsidR="00CB36DC" w:rsidRPr="009870DE" w:rsidRDefault="00CB36DC" w:rsidP="008E7216">
            <w:pPr>
              <w:spacing w:before="30" w:after="30"/>
              <w:ind w:right="-8"/>
              <w:rPr>
                <w:rFonts w:ascii="Gill Sans MT" w:hAnsi="Gill Sans MT"/>
              </w:rPr>
            </w:pPr>
            <w:r w:rsidRPr="009870DE">
              <w:rPr>
                <w:rFonts w:ascii="Gill Sans MT" w:hAnsi="Gill Sans MT"/>
              </w:rPr>
              <w:t>Reinforce that the change definitely will happen</w:t>
            </w:r>
          </w:p>
          <w:p w:rsidR="00CB36DC" w:rsidRPr="009870DE" w:rsidRDefault="00CB36DC" w:rsidP="008E7216">
            <w:pPr>
              <w:spacing w:before="30" w:after="30"/>
              <w:ind w:right="-8"/>
              <w:rPr>
                <w:rFonts w:ascii="Gill Sans MT" w:hAnsi="Gill Sans MT"/>
              </w:rPr>
            </w:pPr>
            <w:r w:rsidRPr="009870DE">
              <w:rPr>
                <w:rFonts w:ascii="Gill Sans MT" w:hAnsi="Gill Sans MT"/>
              </w:rPr>
              <w:t>Explain what to expect and suggest actions they can take to adjust to the change</w:t>
            </w:r>
          </w:p>
          <w:p w:rsidR="00CB36DC" w:rsidRPr="009870DE" w:rsidRDefault="00CB36DC" w:rsidP="008E7216">
            <w:pPr>
              <w:spacing w:before="30" w:after="30"/>
              <w:ind w:right="-8"/>
              <w:rPr>
                <w:rFonts w:ascii="Gill Sans MT" w:hAnsi="Gill Sans MT"/>
              </w:rPr>
            </w:pPr>
            <w:r w:rsidRPr="009870DE">
              <w:rPr>
                <w:rFonts w:ascii="Gill Sans MT" w:hAnsi="Gill Sans MT"/>
              </w:rPr>
              <w:t>Give them time to let things sink in</w:t>
            </w:r>
          </w:p>
          <w:p w:rsidR="00CB36DC" w:rsidRPr="009870DE" w:rsidRDefault="00CB36DC" w:rsidP="008E7216">
            <w:pPr>
              <w:spacing w:before="30" w:after="30"/>
              <w:ind w:right="-8"/>
              <w:rPr>
                <w:rFonts w:ascii="Gill Sans MT" w:hAnsi="Gill Sans MT"/>
              </w:rPr>
            </w:pPr>
            <w:r w:rsidRPr="009870DE">
              <w:rPr>
                <w:rFonts w:ascii="Gill Sans MT" w:hAnsi="Gill Sans MT"/>
              </w:rPr>
              <w:t>Arrange a planning session to talk things over</w:t>
            </w:r>
          </w:p>
        </w:tc>
      </w:tr>
    </w:tbl>
    <w:p w:rsidR="008E7216" w:rsidRDefault="008E7216" w:rsidP="00CA2888">
      <w:pPr>
        <w:ind w:right="-8"/>
        <w:rPr>
          <w:rFonts w:ascii="Gill Sans MT" w:hAnsi="Gill Sans MT"/>
          <w:b/>
        </w:rPr>
        <w:sectPr w:rsidR="008E7216" w:rsidSect="00CA2888">
          <w:footerReference w:type="default" r:id="rId10"/>
          <w:pgSz w:w="11906" w:h="16838"/>
          <w:pgMar w:top="720" w:right="720" w:bottom="1287" w:left="1134" w:header="709" w:footer="539" w:gutter="0"/>
          <w:cols w:space="709"/>
          <w:docGrid w:linePitch="360"/>
        </w:sectPr>
      </w:pPr>
    </w:p>
    <w:p w:rsidR="00CB36DC" w:rsidRPr="008E7216" w:rsidRDefault="00CB36DC" w:rsidP="008E7216">
      <w:pPr>
        <w:pStyle w:val="HeadingThree"/>
      </w:pPr>
      <w:r w:rsidRPr="004D5F8C">
        <w:lastRenderedPageBreak/>
        <w:t>STAGE: RESISTANCE</w:t>
      </w:r>
    </w:p>
    <w:p w:rsidR="00CB36DC" w:rsidRDefault="00CB36DC" w:rsidP="008E7216">
      <w:pPr>
        <w:spacing w:after="240"/>
        <w:ind w:right="-8"/>
        <w:rPr>
          <w:rFonts w:ascii="Gill Sans MT" w:hAnsi="Gill Sans MT"/>
        </w:rPr>
      </w:pPr>
      <w:r w:rsidRPr="009870DE">
        <w:rPr>
          <w:rFonts w:ascii="Gill Sans MT" w:hAnsi="Gill Sans MT"/>
        </w:rPr>
        <w:t xml:space="preserve">Resistance is not only a predictable part of change it is probably the most difficult phase to deal with.  People resist for good reasons, even though we would rather they didn’t. These reasons include: their security is threatened, the change threatens their sense of competence, </w:t>
      </w:r>
      <w:proofErr w:type="gramStart"/>
      <w:r w:rsidRPr="009870DE">
        <w:rPr>
          <w:rFonts w:ascii="Gill Sans MT" w:hAnsi="Gill Sans MT"/>
        </w:rPr>
        <w:t>they</w:t>
      </w:r>
      <w:proofErr w:type="gramEnd"/>
      <w:r w:rsidRPr="009870DE">
        <w:rPr>
          <w:rFonts w:ascii="Gill Sans MT" w:hAnsi="Gill Sans MT"/>
        </w:rPr>
        <w:t xml:space="preserve"> fear they will fail at new tasks, they are comfortable with the status-quo and they have vested interests in the existing systems.</w:t>
      </w:r>
    </w:p>
    <w:tbl>
      <w:tblPr>
        <w:tblStyle w:val="TableGrid"/>
        <w:tblW w:w="10065" w:type="dxa"/>
        <w:tblInd w:w="108" w:type="dxa"/>
        <w:tblLayout w:type="fixed"/>
        <w:tblLook w:val="04A0" w:firstRow="1" w:lastRow="0" w:firstColumn="1" w:lastColumn="0" w:noHBand="0" w:noVBand="1"/>
      </w:tblPr>
      <w:tblGrid>
        <w:gridCol w:w="5103"/>
        <w:gridCol w:w="4962"/>
      </w:tblGrid>
      <w:tr w:rsidR="00CB36DC" w:rsidRPr="004D5F8C" w:rsidTr="008E7216">
        <w:tc>
          <w:tcPr>
            <w:tcW w:w="5103" w:type="dxa"/>
            <w:shd w:val="clear" w:color="auto" w:fill="1F497D" w:themeFill="text2"/>
            <w:vAlign w:val="center"/>
          </w:tcPr>
          <w:p w:rsidR="00CB36DC" w:rsidRPr="004D5F8C" w:rsidRDefault="00CB36DC" w:rsidP="008E7216">
            <w:pPr>
              <w:spacing w:before="60" w:after="60" w:line="276" w:lineRule="auto"/>
              <w:ind w:right="-8"/>
              <w:rPr>
                <w:rFonts w:ascii="Gill Sans MT" w:hAnsi="Gill Sans MT"/>
                <w:b/>
                <w:color w:val="FFFFFF" w:themeColor="background1"/>
              </w:rPr>
            </w:pPr>
            <w:r w:rsidRPr="004D5F8C">
              <w:rPr>
                <w:rFonts w:ascii="Gill Sans MT" w:hAnsi="Gill Sans MT"/>
                <w:b/>
                <w:color w:val="FFFFFF" w:themeColor="background1"/>
              </w:rPr>
              <w:t>What you see</w:t>
            </w:r>
          </w:p>
        </w:tc>
        <w:tc>
          <w:tcPr>
            <w:tcW w:w="4962" w:type="dxa"/>
            <w:shd w:val="clear" w:color="auto" w:fill="1F497D" w:themeFill="text2"/>
            <w:vAlign w:val="center"/>
          </w:tcPr>
          <w:p w:rsidR="00CB36DC" w:rsidRPr="004D5F8C" w:rsidRDefault="00CB36DC" w:rsidP="008E7216">
            <w:pPr>
              <w:spacing w:before="60" w:after="60" w:line="276" w:lineRule="auto"/>
              <w:ind w:right="-8"/>
              <w:rPr>
                <w:rFonts w:ascii="Gill Sans MT" w:hAnsi="Gill Sans MT"/>
                <w:b/>
                <w:color w:val="FFFFFF" w:themeColor="background1"/>
              </w:rPr>
            </w:pPr>
            <w:r w:rsidRPr="004D5F8C">
              <w:rPr>
                <w:rFonts w:ascii="Gill Sans MT" w:hAnsi="Gill Sans MT"/>
                <w:b/>
                <w:color w:val="FFFFFF" w:themeColor="background1"/>
              </w:rPr>
              <w:t>What you should do</w:t>
            </w:r>
          </w:p>
        </w:tc>
      </w:tr>
      <w:tr w:rsidR="00CB36DC" w:rsidRPr="004D5F8C" w:rsidTr="008E7216">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600" w:firstRow="0" w:lastRow="0" w:firstColumn="0" w:lastColumn="0" w:noHBand="1" w:noVBand="1"/>
        </w:tblPrEx>
        <w:trPr>
          <w:cantSplit/>
          <w:trHeight w:val="2891"/>
        </w:trPr>
        <w:tc>
          <w:tcPr>
            <w:tcW w:w="5103" w:type="dxa"/>
            <w:vAlign w:val="center"/>
          </w:tcPr>
          <w:p w:rsidR="00CB36DC" w:rsidRPr="009870DE" w:rsidRDefault="00CB36DC" w:rsidP="008E7216">
            <w:pPr>
              <w:spacing w:before="30" w:after="30"/>
              <w:ind w:right="-8"/>
              <w:rPr>
                <w:rFonts w:ascii="Gill Sans MT" w:hAnsi="Gill Sans MT"/>
              </w:rPr>
            </w:pPr>
            <w:r w:rsidRPr="009870DE">
              <w:rPr>
                <w:rFonts w:ascii="Gill Sans MT" w:hAnsi="Gill Sans MT"/>
              </w:rPr>
              <w:t>Pre-occupation, wondering where they stand/how they will be affected</w:t>
            </w:r>
          </w:p>
          <w:p w:rsidR="00CB36DC" w:rsidRPr="009870DE" w:rsidRDefault="00CB36DC" w:rsidP="008E7216">
            <w:pPr>
              <w:spacing w:before="30" w:after="30"/>
              <w:ind w:right="-8"/>
              <w:rPr>
                <w:rFonts w:ascii="Gill Sans MT" w:hAnsi="Gill Sans MT"/>
              </w:rPr>
            </w:pPr>
            <w:r w:rsidRPr="009870DE">
              <w:rPr>
                <w:rFonts w:ascii="Gill Sans MT" w:hAnsi="Gill Sans MT"/>
              </w:rPr>
              <w:t>Anger, blame, anxiety, complaints</w:t>
            </w:r>
          </w:p>
          <w:p w:rsidR="00CB36DC" w:rsidRPr="009870DE" w:rsidRDefault="00CB36DC" w:rsidP="008E7216">
            <w:pPr>
              <w:spacing w:before="30" w:after="30"/>
              <w:ind w:right="-8"/>
              <w:rPr>
                <w:rFonts w:ascii="Gill Sans MT" w:hAnsi="Gill Sans MT"/>
              </w:rPr>
            </w:pPr>
            <w:r w:rsidRPr="009870DE">
              <w:rPr>
                <w:rFonts w:ascii="Gill Sans MT" w:hAnsi="Gill Sans MT"/>
              </w:rPr>
              <w:t>Stubbornness, negativity</w:t>
            </w:r>
          </w:p>
          <w:p w:rsidR="00CB36DC" w:rsidRPr="009870DE" w:rsidRDefault="00CB36DC" w:rsidP="008E7216">
            <w:pPr>
              <w:spacing w:before="30" w:after="30"/>
              <w:ind w:right="-8"/>
              <w:rPr>
                <w:rFonts w:ascii="Gill Sans MT" w:hAnsi="Gill Sans MT"/>
              </w:rPr>
            </w:pPr>
            <w:r w:rsidRPr="009870DE">
              <w:rPr>
                <w:rFonts w:ascii="Gill Sans MT" w:hAnsi="Gill Sans MT"/>
              </w:rPr>
              <w:t>Apathy, sick leave, withdrawal</w:t>
            </w:r>
          </w:p>
          <w:p w:rsidR="00CB36DC" w:rsidRDefault="00CB36DC" w:rsidP="008E7216">
            <w:pPr>
              <w:spacing w:before="30" w:after="30"/>
              <w:ind w:right="-8"/>
              <w:rPr>
                <w:rFonts w:ascii="Gill Sans MT" w:hAnsi="Gill Sans MT"/>
              </w:rPr>
            </w:pPr>
            <w:r w:rsidRPr="009870DE">
              <w:rPr>
                <w:rFonts w:ascii="Gill Sans MT" w:hAnsi="Gill Sans MT"/>
              </w:rPr>
              <w:t>Significantly lowered productivity</w:t>
            </w:r>
          </w:p>
          <w:p w:rsidR="00CB36DC" w:rsidRPr="009870DE" w:rsidRDefault="00CB36DC" w:rsidP="008E7216">
            <w:pPr>
              <w:spacing w:before="30" w:after="30"/>
              <w:ind w:right="-8"/>
              <w:rPr>
                <w:rFonts w:ascii="Gill Sans MT" w:hAnsi="Gill Sans MT"/>
              </w:rPr>
            </w:pPr>
            <w:r w:rsidRPr="009870DE">
              <w:rPr>
                <w:rFonts w:ascii="Gill Sans MT" w:hAnsi="Gill Sans MT"/>
              </w:rPr>
              <w:t>Listen and acknowledge feelings</w:t>
            </w:r>
          </w:p>
        </w:tc>
        <w:tc>
          <w:tcPr>
            <w:tcW w:w="4962" w:type="dxa"/>
            <w:vAlign w:val="center"/>
          </w:tcPr>
          <w:p w:rsidR="00CB36DC" w:rsidRPr="009870DE" w:rsidRDefault="00CB36DC" w:rsidP="008E7216">
            <w:pPr>
              <w:spacing w:before="30" w:after="30"/>
              <w:ind w:right="-8"/>
              <w:rPr>
                <w:rFonts w:ascii="Gill Sans MT" w:hAnsi="Gill Sans MT"/>
              </w:rPr>
            </w:pPr>
            <w:r w:rsidRPr="009870DE">
              <w:rPr>
                <w:rFonts w:ascii="Gill Sans MT" w:hAnsi="Gill Sans MT"/>
              </w:rPr>
              <w:t>Encourage support</w:t>
            </w:r>
          </w:p>
          <w:p w:rsidR="00CB36DC" w:rsidRPr="009870DE" w:rsidRDefault="00CB36DC" w:rsidP="008E7216">
            <w:pPr>
              <w:spacing w:before="30" w:after="30"/>
              <w:ind w:right="-8"/>
              <w:rPr>
                <w:rFonts w:ascii="Gill Sans MT" w:hAnsi="Gill Sans MT"/>
              </w:rPr>
            </w:pPr>
            <w:r w:rsidRPr="009870DE">
              <w:rPr>
                <w:rFonts w:ascii="Gill Sans MT" w:hAnsi="Gill Sans MT"/>
              </w:rPr>
              <w:t>Don’t try to talk people out of their feelings or tell them to change or pull together</w:t>
            </w:r>
          </w:p>
          <w:p w:rsidR="00CB36DC" w:rsidRPr="009870DE" w:rsidRDefault="00CB36DC" w:rsidP="008E7216">
            <w:pPr>
              <w:spacing w:before="30" w:after="30"/>
              <w:ind w:right="-8"/>
              <w:rPr>
                <w:rFonts w:ascii="Gill Sans MT" w:hAnsi="Gill Sans MT"/>
              </w:rPr>
            </w:pPr>
            <w:r w:rsidRPr="009870DE">
              <w:rPr>
                <w:rFonts w:ascii="Gill Sans MT" w:hAnsi="Gill Sans MT"/>
              </w:rPr>
              <w:t>Respond to concerns as effectively as possible</w:t>
            </w:r>
          </w:p>
          <w:p w:rsidR="00CB36DC" w:rsidRPr="009870DE" w:rsidRDefault="00CB36DC" w:rsidP="008E7216">
            <w:pPr>
              <w:spacing w:before="30" w:after="30"/>
              <w:ind w:right="-8"/>
              <w:rPr>
                <w:rFonts w:ascii="Gill Sans MT" w:hAnsi="Gill Sans MT"/>
              </w:rPr>
            </w:pPr>
            <w:r w:rsidRPr="009870DE">
              <w:rPr>
                <w:rFonts w:ascii="Gill Sans MT" w:hAnsi="Gill Sans MT"/>
              </w:rPr>
              <w:t>Facilitated “dealing with change” sessions can provide a forum for expression of feelings which is helpful in moving through this stage</w:t>
            </w:r>
          </w:p>
          <w:p w:rsidR="00CB36DC" w:rsidRPr="009870DE" w:rsidRDefault="00CB36DC" w:rsidP="008E7216">
            <w:pPr>
              <w:spacing w:before="30" w:after="30"/>
              <w:ind w:right="-8"/>
              <w:rPr>
                <w:rFonts w:ascii="Gill Sans MT" w:hAnsi="Gill Sans MT"/>
              </w:rPr>
            </w:pPr>
            <w:r w:rsidRPr="009870DE">
              <w:rPr>
                <w:rFonts w:ascii="Gill Sans MT" w:hAnsi="Gill Sans MT"/>
              </w:rPr>
              <w:t>Make effective use of organisational “rituals” ie parties, barbecues, luncheons.</w:t>
            </w:r>
          </w:p>
        </w:tc>
      </w:tr>
    </w:tbl>
    <w:p w:rsidR="00CB36DC" w:rsidRPr="008E7216" w:rsidRDefault="00CB36DC" w:rsidP="008E7216">
      <w:pPr>
        <w:pStyle w:val="HeadingThree"/>
      </w:pPr>
      <w:r w:rsidRPr="004D5F8C">
        <w:t>STAGE: EXPLORATION</w:t>
      </w:r>
    </w:p>
    <w:p w:rsidR="00CB36DC" w:rsidRDefault="00CB36DC" w:rsidP="008E7216">
      <w:pPr>
        <w:spacing w:after="240"/>
        <w:ind w:right="-8"/>
        <w:rPr>
          <w:rFonts w:ascii="Gill Sans MT" w:hAnsi="Gill Sans MT"/>
        </w:rPr>
      </w:pPr>
      <w:r w:rsidRPr="009870DE">
        <w:rPr>
          <w:rFonts w:ascii="Gill Sans MT" w:hAnsi="Gill Sans MT"/>
        </w:rPr>
        <w:t>During the Exploration phase, energy is released, as people focus their attention on the future and towards the external environment once again.  Another word for this phase is “chaos”. During exploration people tend to draw on their internal creative energy to figure out ways to capitalise on the future.</w:t>
      </w:r>
    </w:p>
    <w:tbl>
      <w:tblPr>
        <w:tblStyle w:val="TableGrid"/>
        <w:tblW w:w="10065" w:type="dxa"/>
        <w:tblInd w:w="108" w:type="dxa"/>
        <w:tblLayout w:type="fixed"/>
        <w:tblLook w:val="04A0" w:firstRow="1" w:lastRow="0" w:firstColumn="1" w:lastColumn="0" w:noHBand="0" w:noVBand="1"/>
      </w:tblPr>
      <w:tblGrid>
        <w:gridCol w:w="5103"/>
        <w:gridCol w:w="4962"/>
      </w:tblGrid>
      <w:tr w:rsidR="00CB36DC" w:rsidRPr="004D5F8C" w:rsidTr="008E7216">
        <w:tc>
          <w:tcPr>
            <w:tcW w:w="5103" w:type="dxa"/>
            <w:shd w:val="clear" w:color="auto" w:fill="1F497D" w:themeFill="text2"/>
            <w:vAlign w:val="center"/>
          </w:tcPr>
          <w:p w:rsidR="00CB36DC" w:rsidRPr="004D5F8C" w:rsidRDefault="00CB36DC" w:rsidP="008E7216">
            <w:pPr>
              <w:spacing w:before="60" w:after="60" w:line="276" w:lineRule="auto"/>
              <w:ind w:right="-8"/>
              <w:rPr>
                <w:rFonts w:ascii="Gill Sans MT" w:hAnsi="Gill Sans MT"/>
                <w:b/>
                <w:color w:val="FFFFFF" w:themeColor="background1"/>
              </w:rPr>
            </w:pPr>
            <w:r w:rsidRPr="004D5F8C">
              <w:rPr>
                <w:rFonts w:ascii="Gill Sans MT" w:hAnsi="Gill Sans MT"/>
                <w:b/>
                <w:color w:val="FFFFFF" w:themeColor="background1"/>
              </w:rPr>
              <w:t>What you see</w:t>
            </w:r>
          </w:p>
        </w:tc>
        <w:tc>
          <w:tcPr>
            <w:tcW w:w="4962" w:type="dxa"/>
            <w:shd w:val="clear" w:color="auto" w:fill="1F497D" w:themeFill="text2"/>
            <w:vAlign w:val="center"/>
          </w:tcPr>
          <w:p w:rsidR="00CB36DC" w:rsidRPr="004D5F8C" w:rsidRDefault="00CB36DC" w:rsidP="008E7216">
            <w:pPr>
              <w:spacing w:before="60" w:after="60" w:line="276" w:lineRule="auto"/>
              <w:ind w:right="-8"/>
              <w:rPr>
                <w:rFonts w:ascii="Gill Sans MT" w:hAnsi="Gill Sans MT"/>
                <w:b/>
                <w:color w:val="FFFFFF" w:themeColor="background1"/>
              </w:rPr>
            </w:pPr>
            <w:r w:rsidRPr="004D5F8C">
              <w:rPr>
                <w:rFonts w:ascii="Gill Sans MT" w:hAnsi="Gill Sans MT"/>
                <w:b/>
                <w:color w:val="FFFFFF" w:themeColor="background1"/>
              </w:rPr>
              <w:t>What you should do</w:t>
            </w:r>
          </w:p>
        </w:tc>
      </w:tr>
      <w:tr w:rsidR="00CB36DC" w:rsidRPr="00CB36DC" w:rsidTr="008E7216">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600" w:firstRow="0" w:lastRow="0" w:firstColumn="0" w:lastColumn="0" w:noHBand="1" w:noVBand="1"/>
        </w:tblPrEx>
        <w:trPr>
          <w:cantSplit/>
          <w:trHeight w:val="1361"/>
        </w:trPr>
        <w:tc>
          <w:tcPr>
            <w:tcW w:w="5103" w:type="dxa"/>
            <w:vAlign w:val="center"/>
          </w:tcPr>
          <w:p w:rsidR="00CB36DC" w:rsidRPr="009870DE" w:rsidRDefault="00CB36DC" w:rsidP="008E7216">
            <w:pPr>
              <w:spacing w:before="30" w:after="30"/>
              <w:ind w:right="-8"/>
              <w:rPr>
                <w:rFonts w:ascii="Gill Sans MT" w:hAnsi="Gill Sans MT"/>
              </w:rPr>
            </w:pPr>
            <w:r w:rsidRPr="009870DE">
              <w:rPr>
                <w:rFonts w:ascii="Gill Sans MT" w:hAnsi="Gill Sans MT"/>
              </w:rPr>
              <w:t>Confusion</w:t>
            </w:r>
          </w:p>
          <w:p w:rsidR="00CB36DC" w:rsidRPr="009870DE" w:rsidRDefault="00CB36DC" w:rsidP="008E7216">
            <w:pPr>
              <w:spacing w:before="30" w:after="30"/>
              <w:ind w:right="-8"/>
              <w:rPr>
                <w:rFonts w:ascii="Gill Sans MT" w:hAnsi="Gill Sans MT"/>
              </w:rPr>
            </w:pPr>
            <w:r w:rsidRPr="009870DE">
              <w:rPr>
                <w:rFonts w:ascii="Gill Sans MT" w:hAnsi="Gill Sans MT"/>
              </w:rPr>
              <w:t>Chaos and energy</w:t>
            </w:r>
          </w:p>
          <w:p w:rsidR="00CB36DC" w:rsidRPr="009870DE" w:rsidRDefault="00CB36DC" w:rsidP="008E7216">
            <w:pPr>
              <w:spacing w:before="30" w:after="30"/>
              <w:ind w:right="-8"/>
              <w:rPr>
                <w:rFonts w:ascii="Gill Sans MT" w:hAnsi="Gill Sans MT"/>
              </w:rPr>
            </w:pPr>
            <w:r w:rsidRPr="009870DE">
              <w:rPr>
                <w:rFonts w:ascii="Gill Sans MT" w:hAnsi="Gill Sans MT"/>
              </w:rPr>
              <w:t>New ideas, but lack of focus</w:t>
            </w:r>
          </w:p>
        </w:tc>
        <w:tc>
          <w:tcPr>
            <w:tcW w:w="4962" w:type="dxa"/>
            <w:vAlign w:val="center"/>
          </w:tcPr>
          <w:p w:rsidR="00CB36DC" w:rsidRPr="009870DE" w:rsidRDefault="00CB36DC" w:rsidP="008E7216">
            <w:pPr>
              <w:spacing w:before="30" w:after="30"/>
              <w:ind w:right="-8"/>
              <w:rPr>
                <w:rFonts w:ascii="Gill Sans MT" w:hAnsi="Gill Sans MT"/>
              </w:rPr>
            </w:pPr>
            <w:r w:rsidRPr="009870DE">
              <w:rPr>
                <w:rFonts w:ascii="Gill Sans MT" w:hAnsi="Gill Sans MT"/>
              </w:rPr>
              <w:t>Focus on priorities</w:t>
            </w:r>
          </w:p>
          <w:p w:rsidR="00CB36DC" w:rsidRPr="009870DE" w:rsidRDefault="00CB36DC" w:rsidP="008E7216">
            <w:pPr>
              <w:spacing w:before="30" w:after="30"/>
              <w:ind w:right="-8"/>
              <w:rPr>
                <w:rFonts w:ascii="Gill Sans MT" w:hAnsi="Gill Sans MT"/>
              </w:rPr>
            </w:pPr>
            <w:r w:rsidRPr="009870DE">
              <w:rPr>
                <w:rFonts w:ascii="Gill Sans MT" w:hAnsi="Gill Sans MT"/>
              </w:rPr>
              <w:t>Provided needed training</w:t>
            </w:r>
          </w:p>
          <w:p w:rsidR="00CB36DC" w:rsidRPr="009870DE" w:rsidRDefault="00CB36DC" w:rsidP="008E7216">
            <w:pPr>
              <w:spacing w:before="30" w:after="30"/>
              <w:ind w:right="-8"/>
              <w:rPr>
                <w:rFonts w:ascii="Gill Sans MT" w:hAnsi="Gill Sans MT"/>
              </w:rPr>
            </w:pPr>
            <w:r w:rsidRPr="009870DE">
              <w:rPr>
                <w:rFonts w:ascii="Gill Sans MT" w:hAnsi="Gill Sans MT"/>
              </w:rPr>
              <w:t>Set short term goals</w:t>
            </w:r>
          </w:p>
          <w:p w:rsidR="00CB36DC" w:rsidRPr="009870DE" w:rsidRDefault="00CB36DC" w:rsidP="008E7216">
            <w:pPr>
              <w:spacing w:before="30" w:after="30"/>
              <w:ind w:right="-8"/>
              <w:rPr>
                <w:rFonts w:ascii="Gill Sans MT" w:hAnsi="Gill Sans MT"/>
              </w:rPr>
            </w:pPr>
            <w:r w:rsidRPr="009870DE">
              <w:rPr>
                <w:rFonts w:ascii="Gill Sans MT" w:hAnsi="Gill Sans MT"/>
              </w:rPr>
              <w:t>Conduct brainstorming and planning sessions</w:t>
            </w:r>
          </w:p>
        </w:tc>
      </w:tr>
    </w:tbl>
    <w:p w:rsidR="00CB36DC" w:rsidRPr="008E7216" w:rsidRDefault="00CB36DC" w:rsidP="008E7216">
      <w:pPr>
        <w:pStyle w:val="HeadingThree"/>
      </w:pPr>
      <w:r w:rsidRPr="004D5F8C">
        <w:t>STAGE: COMMITMENT</w:t>
      </w:r>
    </w:p>
    <w:p w:rsidR="00CB36DC" w:rsidRDefault="00CB36DC" w:rsidP="008E7216">
      <w:pPr>
        <w:spacing w:after="240"/>
        <w:ind w:right="-8"/>
        <w:rPr>
          <w:rFonts w:ascii="Gill Sans MT" w:hAnsi="Gill Sans MT"/>
        </w:rPr>
      </w:pPr>
      <w:r w:rsidRPr="009870DE">
        <w:rPr>
          <w:rFonts w:ascii="Gill Sans MT" w:hAnsi="Gill Sans MT"/>
        </w:rPr>
        <w:t>During this phase employees a</w:t>
      </w:r>
      <w:r w:rsidR="00CA2888">
        <w:rPr>
          <w:rFonts w:ascii="Gill Sans MT" w:hAnsi="Gill Sans MT"/>
        </w:rPr>
        <w:t xml:space="preserve">re ready to focus on the plan. </w:t>
      </w:r>
      <w:r w:rsidRPr="009870DE">
        <w:rPr>
          <w:rFonts w:ascii="Gill Sans MT" w:hAnsi="Gill Sans MT"/>
        </w:rPr>
        <w:t>They are willing to recreate their mission and build action plans to make it work. They are prepared to learn new ways to work together, and have re-negotiated roles and expectations. This is a phase where they are willing to solidly identify with a set of goals and be clear about how to reach them</w:t>
      </w:r>
    </w:p>
    <w:tbl>
      <w:tblPr>
        <w:tblStyle w:val="TableGrid"/>
        <w:tblW w:w="10065" w:type="dxa"/>
        <w:tblInd w:w="108" w:type="dxa"/>
        <w:tblLayout w:type="fixed"/>
        <w:tblLook w:val="04A0" w:firstRow="1" w:lastRow="0" w:firstColumn="1" w:lastColumn="0" w:noHBand="0" w:noVBand="1"/>
      </w:tblPr>
      <w:tblGrid>
        <w:gridCol w:w="5103"/>
        <w:gridCol w:w="4962"/>
      </w:tblGrid>
      <w:tr w:rsidR="00CB36DC" w:rsidRPr="004D5F8C" w:rsidTr="008E7216">
        <w:tc>
          <w:tcPr>
            <w:tcW w:w="5103" w:type="dxa"/>
            <w:shd w:val="clear" w:color="auto" w:fill="1F497D" w:themeFill="text2"/>
            <w:vAlign w:val="center"/>
          </w:tcPr>
          <w:p w:rsidR="00CB36DC" w:rsidRPr="004D5F8C" w:rsidRDefault="00CB36DC" w:rsidP="008E7216">
            <w:pPr>
              <w:spacing w:before="60" w:after="60" w:line="276" w:lineRule="auto"/>
              <w:ind w:right="-8"/>
              <w:rPr>
                <w:rFonts w:ascii="Gill Sans MT" w:hAnsi="Gill Sans MT"/>
                <w:b/>
                <w:color w:val="FFFFFF" w:themeColor="background1"/>
              </w:rPr>
            </w:pPr>
            <w:r w:rsidRPr="004D5F8C">
              <w:rPr>
                <w:rFonts w:ascii="Gill Sans MT" w:hAnsi="Gill Sans MT"/>
                <w:b/>
                <w:color w:val="FFFFFF" w:themeColor="background1"/>
              </w:rPr>
              <w:t>What you see</w:t>
            </w:r>
          </w:p>
        </w:tc>
        <w:tc>
          <w:tcPr>
            <w:tcW w:w="4962" w:type="dxa"/>
            <w:shd w:val="clear" w:color="auto" w:fill="1F497D" w:themeFill="text2"/>
            <w:vAlign w:val="center"/>
          </w:tcPr>
          <w:p w:rsidR="00CB36DC" w:rsidRPr="004D5F8C" w:rsidRDefault="00CB36DC" w:rsidP="008E7216">
            <w:pPr>
              <w:spacing w:before="60" w:after="60" w:line="276" w:lineRule="auto"/>
              <w:ind w:right="-8"/>
              <w:rPr>
                <w:rFonts w:ascii="Gill Sans MT" w:hAnsi="Gill Sans MT"/>
                <w:b/>
                <w:color w:val="FFFFFF" w:themeColor="background1"/>
              </w:rPr>
            </w:pPr>
            <w:r w:rsidRPr="004D5F8C">
              <w:rPr>
                <w:rFonts w:ascii="Gill Sans MT" w:hAnsi="Gill Sans MT"/>
                <w:b/>
                <w:color w:val="FFFFFF" w:themeColor="background1"/>
              </w:rPr>
              <w:t>What you should do</w:t>
            </w:r>
          </w:p>
        </w:tc>
      </w:tr>
      <w:tr w:rsidR="00CB36DC" w:rsidRPr="00CB36DC" w:rsidTr="008E7216">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600" w:firstRow="0" w:lastRow="0" w:firstColumn="0" w:lastColumn="0" w:noHBand="1" w:noVBand="1"/>
        </w:tblPrEx>
        <w:trPr>
          <w:cantSplit/>
          <w:trHeight w:val="1361"/>
        </w:trPr>
        <w:tc>
          <w:tcPr>
            <w:tcW w:w="5103" w:type="dxa"/>
            <w:vAlign w:val="center"/>
          </w:tcPr>
          <w:p w:rsidR="00CB36DC" w:rsidRPr="009870DE" w:rsidRDefault="00CB36DC" w:rsidP="008E7216">
            <w:pPr>
              <w:spacing w:before="30" w:after="30"/>
              <w:ind w:right="-8"/>
              <w:rPr>
                <w:rFonts w:ascii="Gill Sans MT" w:hAnsi="Gill Sans MT"/>
              </w:rPr>
            </w:pPr>
            <w:r w:rsidRPr="009870DE">
              <w:rPr>
                <w:rFonts w:ascii="Gill Sans MT" w:hAnsi="Gill Sans MT"/>
              </w:rPr>
              <w:t>Improved co-operation</w:t>
            </w:r>
          </w:p>
          <w:p w:rsidR="00CB36DC" w:rsidRPr="009870DE" w:rsidRDefault="00CB36DC" w:rsidP="008E7216">
            <w:pPr>
              <w:spacing w:before="30" w:after="30"/>
              <w:ind w:right="-8"/>
              <w:rPr>
                <w:rFonts w:ascii="Gill Sans MT" w:hAnsi="Gill Sans MT"/>
              </w:rPr>
            </w:pPr>
            <w:r w:rsidRPr="009870DE">
              <w:rPr>
                <w:rFonts w:ascii="Gill Sans MT" w:hAnsi="Gill Sans MT"/>
              </w:rPr>
              <w:t>Better focus</w:t>
            </w:r>
          </w:p>
          <w:p w:rsidR="00CB36DC" w:rsidRPr="009870DE" w:rsidRDefault="00CB36DC" w:rsidP="008E7216">
            <w:pPr>
              <w:spacing w:before="30" w:after="30"/>
              <w:ind w:right="-8"/>
              <w:rPr>
                <w:rFonts w:ascii="Gill Sans MT" w:hAnsi="Gill Sans MT"/>
              </w:rPr>
            </w:pPr>
            <w:r w:rsidRPr="009870DE">
              <w:rPr>
                <w:rFonts w:ascii="Gill Sans MT" w:hAnsi="Gill Sans MT"/>
              </w:rPr>
              <w:t>Working together with a plan</w:t>
            </w:r>
          </w:p>
        </w:tc>
        <w:tc>
          <w:tcPr>
            <w:tcW w:w="4962" w:type="dxa"/>
            <w:vAlign w:val="center"/>
          </w:tcPr>
          <w:p w:rsidR="00CB36DC" w:rsidRPr="009870DE" w:rsidRDefault="00CB36DC" w:rsidP="008E7216">
            <w:pPr>
              <w:spacing w:before="30" w:after="30"/>
              <w:ind w:right="-8"/>
              <w:rPr>
                <w:rFonts w:ascii="Gill Sans MT" w:hAnsi="Gill Sans MT"/>
              </w:rPr>
            </w:pPr>
            <w:r w:rsidRPr="009870DE">
              <w:rPr>
                <w:rFonts w:ascii="Gill Sans MT" w:hAnsi="Gill Sans MT"/>
              </w:rPr>
              <w:t>Set medium and long term goals and objectives</w:t>
            </w:r>
          </w:p>
          <w:p w:rsidR="00CB36DC" w:rsidRPr="009870DE" w:rsidRDefault="00CB36DC" w:rsidP="008E7216">
            <w:pPr>
              <w:spacing w:before="30" w:after="30"/>
              <w:ind w:right="-8"/>
              <w:rPr>
                <w:rFonts w:ascii="Gill Sans MT" w:hAnsi="Gill Sans MT"/>
              </w:rPr>
            </w:pPr>
            <w:r w:rsidRPr="009870DE">
              <w:rPr>
                <w:rFonts w:ascii="Gill Sans MT" w:hAnsi="Gill Sans MT"/>
              </w:rPr>
              <w:t>Concentrate on team building</w:t>
            </w:r>
          </w:p>
          <w:p w:rsidR="00CB36DC" w:rsidRPr="009870DE" w:rsidRDefault="00CB36DC" w:rsidP="008E7216">
            <w:pPr>
              <w:spacing w:before="30" w:after="30"/>
              <w:ind w:right="-8"/>
              <w:rPr>
                <w:rFonts w:ascii="Gill Sans MT" w:hAnsi="Gill Sans MT"/>
              </w:rPr>
            </w:pPr>
            <w:r w:rsidRPr="009870DE">
              <w:rPr>
                <w:rFonts w:ascii="Gill Sans MT" w:hAnsi="Gill Sans MT"/>
              </w:rPr>
              <w:t>Acknowledge good efforts by both individuals and teams</w:t>
            </w:r>
          </w:p>
        </w:tc>
      </w:tr>
    </w:tbl>
    <w:p w:rsidR="00913992" w:rsidRDefault="00913992" w:rsidP="00FD69ED">
      <w:pPr>
        <w:spacing w:before="240" w:after="120" w:line="276" w:lineRule="auto"/>
        <w:ind w:right="-8"/>
        <w:rPr>
          <w:rFonts w:ascii="Gill Sans MT" w:hAnsi="Gill Sans MT" w:cs="Arial"/>
        </w:rPr>
      </w:pPr>
    </w:p>
    <w:sectPr w:rsidR="00913992" w:rsidSect="00CA2888">
      <w:headerReference w:type="default" r:id="rId11"/>
      <w:footerReference w:type="default" r:id="rId12"/>
      <w:pgSz w:w="11906" w:h="16838"/>
      <w:pgMar w:top="720"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20B0702020104020203"/>
    <w:charset w:val="00"/>
    <w:family w:val="swiss"/>
    <w:pitch w:val="variable"/>
    <w:sig w:usb0="8000026F" w:usb1="5000004A" w:usb2="00000000" w:usb3="00000000" w:csb0="00000005"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88" w:rsidRPr="005D13D8" w:rsidRDefault="00CA2888" w:rsidP="00CA2888">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390EA7D4" wp14:editId="02493E05">
          <wp:simplePos x="0" y="0"/>
          <wp:positionH relativeFrom="column">
            <wp:posOffset>-272415</wp:posOffset>
          </wp:positionH>
          <wp:positionV relativeFrom="paragraph">
            <wp:posOffset>-454025</wp:posOffset>
          </wp:positionV>
          <wp:extent cx="6948000" cy="662145"/>
          <wp:effectExtent l="0" t="0" r="0" b="5080"/>
          <wp:wrapNone/>
          <wp:docPr id="1026"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6621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Gill Sans MT" w:hAnsi="Gill Sans MT"/>
        <w:sz w:val="20"/>
        <w:szCs w:val="20"/>
      </w:rPr>
      <w:t>State Service Management Office</w:t>
    </w:r>
  </w:p>
  <w:p w:rsidR="00A921BC" w:rsidRPr="00CA2888" w:rsidRDefault="00CA2888" w:rsidP="00CA2888">
    <w:pPr>
      <w:pStyle w:val="Footer"/>
      <w:rPr>
        <w:rFonts w:ascii="Gill Sans MT" w:hAnsi="Gill Sans MT"/>
        <w:sz w:val="20"/>
        <w:szCs w:val="20"/>
      </w:rPr>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16" w:rsidRPr="008E7216" w:rsidRDefault="00FD69ED" w:rsidP="00FD69ED">
    <w:pPr>
      <w:spacing w:before="120" w:after="120" w:line="276" w:lineRule="auto"/>
    </w:pPr>
    <w:r>
      <w:rPr>
        <w:rFonts w:ascii="Gill Sans MT" w:hAnsi="Gill Sans MT" w:cs="Arial"/>
        <w:b/>
        <w:color w:val="000000" w:themeColor="text1"/>
        <w:sz w:val="20"/>
        <w:szCs w:val="20"/>
      </w:rPr>
      <w:t>References</w:t>
    </w:r>
    <w:r w:rsidRPr="009C16EC">
      <w:rPr>
        <w:rFonts w:ascii="Gill Sans MT" w:hAnsi="Gill Sans MT" w:cs="Arial"/>
        <w:b/>
        <w:color w:val="000000" w:themeColor="text1"/>
        <w:sz w:val="20"/>
        <w:szCs w:val="20"/>
      </w:rPr>
      <w:t>:</w:t>
    </w:r>
    <w:r w:rsidRPr="009C16EC">
      <w:rPr>
        <w:rFonts w:ascii="Gill Sans MT" w:hAnsi="Gill Sans MT" w:cs="Arial"/>
        <w:color w:val="000000" w:themeColor="text1"/>
        <w:sz w:val="20"/>
      </w:rPr>
      <w:t xml:space="preserve"> </w:t>
    </w:r>
    <w:r w:rsidRPr="00FD69ED">
      <w:rPr>
        <w:rFonts w:ascii="Gill Sans MT" w:hAnsi="Gill Sans MT" w:cs="Arial"/>
        <w:sz w:val="20"/>
      </w:rPr>
      <w:t>Adapted from resources developed by the Department of State Growth, Tasmania, 2015</w:t>
    </w:r>
    <w:r>
      <w:rPr>
        <w:rFonts w:ascii="Gill Sans MT" w:hAnsi="Gill Sans MT"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16" w:rsidRDefault="008E7216" w:rsidP="008E7216">
    <w:pPr>
      <w:pStyle w:val="Header"/>
      <w:tabs>
        <w:tab w:val="clear" w:pos="4513"/>
        <w:tab w:val="clear" w:pos="9026"/>
        <w:tab w:val="left" w:pos="6946"/>
        <w:tab w:val="left" w:pos="7088"/>
      </w:tabs>
      <w:spacing w:after="240"/>
    </w:pPr>
    <w:r>
      <w:rPr>
        <w:rFonts w:ascii="Gill Sans MT" w:hAnsi="Gill Sans MT"/>
      </w:rPr>
      <w:t>2</w:t>
    </w:r>
    <w:r>
      <w:rPr>
        <w:rFonts w:ascii="Gill Sans MT" w:hAnsi="Gill Sans MT"/>
      </w:rPr>
      <w:tab/>
      <w:t xml:space="preserve">Common </w:t>
    </w:r>
    <w:r w:rsidR="00C26C85">
      <w:rPr>
        <w:rFonts w:ascii="Gill Sans MT" w:hAnsi="Gill Sans MT"/>
      </w:rPr>
      <w:t>R</w:t>
    </w:r>
    <w:r>
      <w:rPr>
        <w:rFonts w:ascii="Gill Sans MT" w:hAnsi="Gill Sans MT"/>
      </w:rPr>
      <w:t xml:space="preserve">eactions to </w:t>
    </w:r>
    <w:r w:rsidR="00C26C85">
      <w:rPr>
        <w:rFonts w:ascii="Gill Sans MT" w:hAnsi="Gill Sans MT"/>
      </w:rPr>
      <w:t>C</w:t>
    </w:r>
    <w:r>
      <w:rPr>
        <w:rFonts w:ascii="Gill Sans MT" w:hAnsi="Gill Sans MT"/>
      </w:rPr>
      <w:t>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27B3C9E"/>
    <w:multiLevelType w:val="multilevel"/>
    <w:tmpl w:val="7F62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AED3806"/>
    <w:multiLevelType w:val="hybridMultilevel"/>
    <w:tmpl w:val="E0B64CC2"/>
    <w:lvl w:ilvl="0" w:tplc="FB744B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C19DC"/>
    <w:multiLevelType w:val="multilevel"/>
    <w:tmpl w:val="8AC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A9D3C34"/>
    <w:multiLevelType w:val="hybridMultilevel"/>
    <w:tmpl w:val="CEFE93A2"/>
    <w:lvl w:ilvl="0" w:tplc="FB744B7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114236C"/>
    <w:multiLevelType w:val="multilevel"/>
    <w:tmpl w:val="5478E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15971"/>
    <w:multiLevelType w:val="hybridMultilevel"/>
    <w:tmpl w:val="0B5657AA"/>
    <w:lvl w:ilvl="0" w:tplc="377A9EE4">
      <w:start w:val="1"/>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9973DCC"/>
    <w:multiLevelType w:val="hybridMultilevel"/>
    <w:tmpl w:val="DBCCA65A"/>
    <w:lvl w:ilvl="0" w:tplc="C9A65D2E">
      <w:start w:val="1"/>
      <w:numFmt w:val="bullet"/>
      <w:lvlText w:val=""/>
      <w:lvlJc w:val="left"/>
      <w:pPr>
        <w:ind w:left="436" w:hanging="360"/>
      </w:pPr>
      <w:rPr>
        <w:rFonts w:ascii="Wingdings" w:hAnsi="Wingdings" w:hint="default"/>
        <w:color w:val="1F497D" w:themeColor="text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nsid w:val="62FC3A70"/>
    <w:multiLevelType w:val="hybridMultilevel"/>
    <w:tmpl w:val="72209B8E"/>
    <w:lvl w:ilvl="0" w:tplc="FC468C2A">
      <w:numFmt w:val="bullet"/>
      <w:pStyle w:val="09Table-Bullets"/>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D50B0D"/>
    <w:multiLevelType w:val="hybridMultilevel"/>
    <w:tmpl w:val="D90C5EC0"/>
    <w:lvl w:ilvl="0" w:tplc="28F6F17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09B4AC6"/>
    <w:multiLevelType w:val="hybridMultilevel"/>
    <w:tmpl w:val="AE94DA86"/>
    <w:lvl w:ilvl="0" w:tplc="7762453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71772"/>
    <w:multiLevelType w:val="multilevel"/>
    <w:tmpl w:val="399EB2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5"/>
  </w:num>
  <w:num w:numId="3">
    <w:abstractNumId w:val="4"/>
  </w:num>
  <w:num w:numId="4">
    <w:abstractNumId w:val="7"/>
  </w:num>
  <w:num w:numId="5">
    <w:abstractNumId w:val="0"/>
  </w:num>
  <w:num w:numId="6">
    <w:abstractNumId w:val="2"/>
  </w:num>
  <w:num w:numId="7">
    <w:abstractNumId w:val="10"/>
  </w:num>
  <w:num w:numId="8">
    <w:abstractNumId w:val="1"/>
  </w:num>
  <w:num w:numId="9">
    <w:abstractNumId w:val="16"/>
  </w:num>
  <w:num w:numId="10">
    <w:abstractNumId w:val="11"/>
  </w:num>
  <w:num w:numId="11">
    <w:abstractNumId w:val="6"/>
  </w:num>
  <w:num w:numId="12">
    <w:abstractNumId w:val="9"/>
  </w:num>
  <w:num w:numId="13">
    <w:abstractNumId w:val="3"/>
  </w:num>
  <w:num w:numId="14">
    <w:abstractNumId w:val="8"/>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40264"/>
    <w:rsid w:val="000871D4"/>
    <w:rsid w:val="000A2702"/>
    <w:rsid w:val="000C2D0F"/>
    <w:rsid w:val="000D275D"/>
    <w:rsid w:val="001A34A1"/>
    <w:rsid w:val="001C7246"/>
    <w:rsid w:val="001E20B5"/>
    <w:rsid w:val="002146CE"/>
    <w:rsid w:val="00271574"/>
    <w:rsid w:val="00281957"/>
    <w:rsid w:val="002B3937"/>
    <w:rsid w:val="002D3B09"/>
    <w:rsid w:val="003339C7"/>
    <w:rsid w:val="00350308"/>
    <w:rsid w:val="0037618E"/>
    <w:rsid w:val="003A4983"/>
    <w:rsid w:val="0041465F"/>
    <w:rsid w:val="00480FFD"/>
    <w:rsid w:val="004B656E"/>
    <w:rsid w:val="00527764"/>
    <w:rsid w:val="00561591"/>
    <w:rsid w:val="00583DA7"/>
    <w:rsid w:val="005A558F"/>
    <w:rsid w:val="005B3428"/>
    <w:rsid w:val="00652E9B"/>
    <w:rsid w:val="00655156"/>
    <w:rsid w:val="006744AE"/>
    <w:rsid w:val="006E7AD5"/>
    <w:rsid w:val="00725632"/>
    <w:rsid w:val="00730741"/>
    <w:rsid w:val="007722E8"/>
    <w:rsid w:val="007E1D2E"/>
    <w:rsid w:val="008A2E4E"/>
    <w:rsid w:val="008E1BC1"/>
    <w:rsid w:val="008E7216"/>
    <w:rsid w:val="00913992"/>
    <w:rsid w:val="009510C0"/>
    <w:rsid w:val="009870DE"/>
    <w:rsid w:val="009C00AD"/>
    <w:rsid w:val="00A60762"/>
    <w:rsid w:val="00A64471"/>
    <w:rsid w:val="00A84102"/>
    <w:rsid w:val="00A84D4E"/>
    <w:rsid w:val="00A921BC"/>
    <w:rsid w:val="00A95C53"/>
    <w:rsid w:val="00AB5B71"/>
    <w:rsid w:val="00AB6AAB"/>
    <w:rsid w:val="00AD0377"/>
    <w:rsid w:val="00AE1088"/>
    <w:rsid w:val="00AE32CB"/>
    <w:rsid w:val="00AE46EA"/>
    <w:rsid w:val="00B051EE"/>
    <w:rsid w:val="00B43537"/>
    <w:rsid w:val="00BC68B3"/>
    <w:rsid w:val="00C26C85"/>
    <w:rsid w:val="00C31676"/>
    <w:rsid w:val="00C320EB"/>
    <w:rsid w:val="00C44143"/>
    <w:rsid w:val="00C459C1"/>
    <w:rsid w:val="00C45F56"/>
    <w:rsid w:val="00C620BC"/>
    <w:rsid w:val="00C8796B"/>
    <w:rsid w:val="00CA2888"/>
    <w:rsid w:val="00CB36DC"/>
    <w:rsid w:val="00CE59C2"/>
    <w:rsid w:val="00CE7BFE"/>
    <w:rsid w:val="00D4011C"/>
    <w:rsid w:val="00D55F57"/>
    <w:rsid w:val="00D82CC9"/>
    <w:rsid w:val="00D832BB"/>
    <w:rsid w:val="00E51265"/>
    <w:rsid w:val="00E7179D"/>
    <w:rsid w:val="00E97FF8"/>
    <w:rsid w:val="00EA4029"/>
    <w:rsid w:val="00ED363C"/>
    <w:rsid w:val="00F07929"/>
    <w:rsid w:val="00F10DDE"/>
    <w:rsid w:val="00F14339"/>
    <w:rsid w:val="00F24BB4"/>
    <w:rsid w:val="00F31B0D"/>
    <w:rsid w:val="00F31F9C"/>
    <w:rsid w:val="00F964C6"/>
    <w:rsid w:val="00FB2C57"/>
    <w:rsid w:val="00FD69ED"/>
    <w:rsid w:val="00FD7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CA2888"/>
    <w:rPr>
      <w:rFonts w:ascii="Gill Sans MT" w:hAnsi="Gill Sans MT"/>
      <w:b/>
      <w:color w:val="1F497D" w:themeColor="text2"/>
      <w:sz w:val="36"/>
      <w:szCs w:val="36"/>
    </w:rPr>
  </w:style>
  <w:style w:type="paragraph" w:customStyle="1" w:styleId="Sub-heading-cover">
    <w:name w:val="Sub-heading - cover"/>
    <w:basedOn w:val="Heading2"/>
    <w:qFormat/>
    <w:rsid w:val="00CA2888"/>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8E7216"/>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8E7216"/>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Hyperlink">
    <w:name w:val="Hyperlink"/>
    <w:basedOn w:val="DefaultParagraphFont"/>
    <w:rsid w:val="00A921BC"/>
    <w:rPr>
      <w:color w:val="0000FF"/>
      <w:u w:val="single"/>
    </w:rPr>
  </w:style>
  <w:style w:type="paragraph" w:customStyle="1" w:styleId="TableContents">
    <w:name w:val="Table Contents"/>
    <w:basedOn w:val="Normal"/>
    <w:rsid w:val="00A921BC"/>
    <w:pPr>
      <w:suppressLineNumbers/>
      <w:suppressAutoHyphens/>
      <w:spacing w:after="200" w:line="276" w:lineRule="auto"/>
    </w:pPr>
    <w:rPr>
      <w:rFonts w:eastAsia="SimSun" w:cs="Mangal"/>
      <w:kern w:val="1"/>
      <w:lang w:eastAsia="hi-IN" w:bidi="hi-IN"/>
    </w:rPr>
  </w:style>
  <w:style w:type="table" w:styleId="MediumShading2-Accent1">
    <w:name w:val="Medium Shading 2 Accent 1"/>
    <w:basedOn w:val="TableNormal"/>
    <w:uiPriority w:val="64"/>
    <w:rsid w:val="00EA40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EA40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A4983"/>
    <w:pPr>
      <w:spacing w:before="15" w:after="120"/>
    </w:pPr>
    <w:rPr>
      <w:rFonts w:ascii="Arial" w:hAnsi="Arial" w:cs="Arial"/>
      <w:color w:val="000000"/>
      <w:sz w:val="17"/>
      <w:szCs w:val="17"/>
      <w:lang w:eastAsia="en-AU"/>
    </w:rPr>
  </w:style>
  <w:style w:type="character" w:styleId="Strong">
    <w:name w:val="Strong"/>
    <w:basedOn w:val="DefaultParagraphFont"/>
    <w:uiPriority w:val="22"/>
    <w:qFormat/>
    <w:rsid w:val="003A4983"/>
    <w:rPr>
      <w:b/>
      <w:bCs/>
    </w:rPr>
  </w:style>
  <w:style w:type="paragraph" w:styleId="BodyText2">
    <w:name w:val="Body Text 2"/>
    <w:basedOn w:val="Normal"/>
    <w:link w:val="BodyText2Char"/>
    <w:uiPriority w:val="99"/>
    <w:semiHidden/>
    <w:unhideWhenUsed/>
    <w:rsid w:val="00F14339"/>
    <w:pPr>
      <w:spacing w:after="120" w:line="480" w:lineRule="auto"/>
    </w:pPr>
  </w:style>
  <w:style w:type="character" w:customStyle="1" w:styleId="BodyText2Char">
    <w:name w:val="Body Text 2 Char"/>
    <w:basedOn w:val="DefaultParagraphFont"/>
    <w:link w:val="BodyText2"/>
    <w:uiPriority w:val="99"/>
    <w:semiHidden/>
    <w:rsid w:val="00F14339"/>
    <w:rPr>
      <w:sz w:val="24"/>
      <w:szCs w:val="24"/>
      <w:lang w:eastAsia="en-US"/>
    </w:rPr>
  </w:style>
  <w:style w:type="character" w:styleId="PageNumber">
    <w:name w:val="page number"/>
    <w:basedOn w:val="DefaultParagraphFont"/>
    <w:semiHidden/>
    <w:rsid w:val="00F14339"/>
  </w:style>
  <w:style w:type="character" w:styleId="IntenseEmphasis">
    <w:name w:val="Intense Emphasis"/>
    <w:uiPriority w:val="21"/>
    <w:qFormat/>
    <w:rsid w:val="00F14339"/>
    <w:rPr>
      <w:rFonts w:ascii="GillSans Light" w:hAnsi="GillSans Light"/>
      <w:i/>
      <w:color w:val="FF0000"/>
      <w:sz w:val="24"/>
      <w:szCs w:val="28"/>
    </w:rPr>
  </w:style>
  <w:style w:type="paragraph" w:customStyle="1" w:styleId="Tableheader">
    <w:name w:val="Table header"/>
    <w:basedOn w:val="Heading3"/>
    <w:autoRedefine/>
    <w:rsid w:val="00F14339"/>
    <w:pPr>
      <w:spacing w:before="40" w:after="40"/>
    </w:pPr>
    <w:rPr>
      <w:rFonts w:ascii="Arial" w:hAnsi="Arial" w:cs="Arial"/>
      <w:bCs w:val="0"/>
      <w:sz w:val="24"/>
    </w:rPr>
  </w:style>
  <w:style w:type="table" w:styleId="LightShading-Accent1">
    <w:name w:val="Light Shading Accent 1"/>
    <w:basedOn w:val="TableNormal"/>
    <w:uiPriority w:val="60"/>
    <w:rsid w:val="001A34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A34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09Table-Bullets">
    <w:name w:val="09. Table - Bullets"/>
    <w:basedOn w:val="Normal"/>
    <w:qFormat/>
    <w:rsid w:val="00A84D4E"/>
    <w:pPr>
      <w:numPr>
        <w:numId w:val="16"/>
      </w:numPr>
      <w:spacing w:before="60" w:after="60"/>
      <w:jc w:val="both"/>
    </w:pPr>
    <w:rPr>
      <w:rFonts w:asciiTheme="minorHAnsi" w:eastAsiaTheme="minorHAnsi" w:hAnsiTheme="minorHAnsi" w:cstheme="minorBidi"/>
      <w:sz w:val="18"/>
      <w:szCs w:val="18"/>
    </w:rPr>
  </w:style>
  <w:style w:type="paragraph" w:customStyle="1" w:styleId="Footertext">
    <w:name w:val="Footer text"/>
    <w:basedOn w:val="Footer"/>
    <w:link w:val="FootertextChar"/>
    <w:autoRedefine/>
    <w:qFormat/>
    <w:rsid w:val="00CA288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CA2888"/>
    <w:rPr>
      <w:rFonts w:ascii="Gill Sans Light" w:eastAsia="Calibri" w:hAnsi="Gill Sans Light"/>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CA2888"/>
    <w:rPr>
      <w:rFonts w:ascii="Gill Sans MT" w:hAnsi="Gill Sans MT"/>
      <w:b/>
      <w:color w:val="1F497D" w:themeColor="text2"/>
      <w:sz w:val="36"/>
      <w:szCs w:val="36"/>
    </w:rPr>
  </w:style>
  <w:style w:type="paragraph" w:customStyle="1" w:styleId="Sub-heading-cover">
    <w:name w:val="Sub-heading - cover"/>
    <w:basedOn w:val="Heading2"/>
    <w:qFormat/>
    <w:rsid w:val="00CA2888"/>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8E7216"/>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8E7216"/>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Hyperlink">
    <w:name w:val="Hyperlink"/>
    <w:basedOn w:val="DefaultParagraphFont"/>
    <w:rsid w:val="00A921BC"/>
    <w:rPr>
      <w:color w:val="0000FF"/>
      <w:u w:val="single"/>
    </w:rPr>
  </w:style>
  <w:style w:type="paragraph" w:customStyle="1" w:styleId="TableContents">
    <w:name w:val="Table Contents"/>
    <w:basedOn w:val="Normal"/>
    <w:rsid w:val="00A921BC"/>
    <w:pPr>
      <w:suppressLineNumbers/>
      <w:suppressAutoHyphens/>
      <w:spacing w:after="200" w:line="276" w:lineRule="auto"/>
    </w:pPr>
    <w:rPr>
      <w:rFonts w:eastAsia="SimSun" w:cs="Mangal"/>
      <w:kern w:val="1"/>
      <w:lang w:eastAsia="hi-IN" w:bidi="hi-IN"/>
    </w:rPr>
  </w:style>
  <w:style w:type="table" w:styleId="MediumShading2-Accent1">
    <w:name w:val="Medium Shading 2 Accent 1"/>
    <w:basedOn w:val="TableNormal"/>
    <w:uiPriority w:val="64"/>
    <w:rsid w:val="00EA40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EA40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A4983"/>
    <w:pPr>
      <w:spacing w:before="15" w:after="120"/>
    </w:pPr>
    <w:rPr>
      <w:rFonts w:ascii="Arial" w:hAnsi="Arial" w:cs="Arial"/>
      <w:color w:val="000000"/>
      <w:sz w:val="17"/>
      <w:szCs w:val="17"/>
      <w:lang w:eastAsia="en-AU"/>
    </w:rPr>
  </w:style>
  <w:style w:type="character" w:styleId="Strong">
    <w:name w:val="Strong"/>
    <w:basedOn w:val="DefaultParagraphFont"/>
    <w:uiPriority w:val="22"/>
    <w:qFormat/>
    <w:rsid w:val="003A4983"/>
    <w:rPr>
      <w:b/>
      <w:bCs/>
    </w:rPr>
  </w:style>
  <w:style w:type="paragraph" w:styleId="BodyText2">
    <w:name w:val="Body Text 2"/>
    <w:basedOn w:val="Normal"/>
    <w:link w:val="BodyText2Char"/>
    <w:uiPriority w:val="99"/>
    <w:semiHidden/>
    <w:unhideWhenUsed/>
    <w:rsid w:val="00F14339"/>
    <w:pPr>
      <w:spacing w:after="120" w:line="480" w:lineRule="auto"/>
    </w:pPr>
  </w:style>
  <w:style w:type="character" w:customStyle="1" w:styleId="BodyText2Char">
    <w:name w:val="Body Text 2 Char"/>
    <w:basedOn w:val="DefaultParagraphFont"/>
    <w:link w:val="BodyText2"/>
    <w:uiPriority w:val="99"/>
    <w:semiHidden/>
    <w:rsid w:val="00F14339"/>
    <w:rPr>
      <w:sz w:val="24"/>
      <w:szCs w:val="24"/>
      <w:lang w:eastAsia="en-US"/>
    </w:rPr>
  </w:style>
  <w:style w:type="character" w:styleId="PageNumber">
    <w:name w:val="page number"/>
    <w:basedOn w:val="DefaultParagraphFont"/>
    <w:semiHidden/>
    <w:rsid w:val="00F14339"/>
  </w:style>
  <w:style w:type="character" w:styleId="IntenseEmphasis">
    <w:name w:val="Intense Emphasis"/>
    <w:uiPriority w:val="21"/>
    <w:qFormat/>
    <w:rsid w:val="00F14339"/>
    <w:rPr>
      <w:rFonts w:ascii="GillSans Light" w:hAnsi="GillSans Light"/>
      <w:i/>
      <w:color w:val="FF0000"/>
      <w:sz w:val="24"/>
      <w:szCs w:val="28"/>
    </w:rPr>
  </w:style>
  <w:style w:type="paragraph" w:customStyle="1" w:styleId="Tableheader">
    <w:name w:val="Table header"/>
    <w:basedOn w:val="Heading3"/>
    <w:autoRedefine/>
    <w:rsid w:val="00F14339"/>
    <w:pPr>
      <w:spacing w:before="40" w:after="40"/>
    </w:pPr>
    <w:rPr>
      <w:rFonts w:ascii="Arial" w:hAnsi="Arial" w:cs="Arial"/>
      <w:bCs w:val="0"/>
      <w:sz w:val="24"/>
    </w:rPr>
  </w:style>
  <w:style w:type="table" w:styleId="LightShading-Accent1">
    <w:name w:val="Light Shading Accent 1"/>
    <w:basedOn w:val="TableNormal"/>
    <w:uiPriority w:val="60"/>
    <w:rsid w:val="001A34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A34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09Table-Bullets">
    <w:name w:val="09. Table - Bullets"/>
    <w:basedOn w:val="Normal"/>
    <w:qFormat/>
    <w:rsid w:val="00A84D4E"/>
    <w:pPr>
      <w:numPr>
        <w:numId w:val="16"/>
      </w:numPr>
      <w:spacing w:before="60" w:after="60"/>
      <w:jc w:val="both"/>
    </w:pPr>
    <w:rPr>
      <w:rFonts w:asciiTheme="minorHAnsi" w:eastAsiaTheme="minorHAnsi" w:hAnsiTheme="minorHAnsi" w:cstheme="minorBidi"/>
      <w:sz w:val="18"/>
      <w:szCs w:val="18"/>
    </w:rPr>
  </w:style>
  <w:style w:type="paragraph" w:customStyle="1" w:styleId="Footertext">
    <w:name w:val="Footer text"/>
    <w:basedOn w:val="Footer"/>
    <w:link w:val="FootertextChar"/>
    <w:autoRedefine/>
    <w:qFormat/>
    <w:rsid w:val="00CA288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CA2888"/>
    <w:rPr>
      <w:rFonts w:ascii="Gill Sans Light" w:eastAsia="Calibri" w:hAnsi="Gill Sans Ligh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555">
      <w:bodyDiv w:val="1"/>
      <w:marLeft w:val="0"/>
      <w:marRight w:val="0"/>
      <w:marTop w:val="0"/>
      <w:marBottom w:val="0"/>
      <w:divBdr>
        <w:top w:val="none" w:sz="0" w:space="0" w:color="auto"/>
        <w:left w:val="none" w:sz="0" w:space="0" w:color="auto"/>
        <w:bottom w:val="none" w:sz="0" w:space="0" w:color="auto"/>
        <w:right w:val="none" w:sz="0" w:space="0" w:color="auto"/>
      </w:divBdr>
    </w:div>
    <w:div w:id="1260944395">
      <w:bodyDiv w:val="1"/>
      <w:marLeft w:val="0"/>
      <w:marRight w:val="0"/>
      <w:marTop w:val="0"/>
      <w:marBottom w:val="0"/>
      <w:divBdr>
        <w:top w:val="none" w:sz="0" w:space="0" w:color="auto"/>
        <w:left w:val="none" w:sz="0" w:space="0" w:color="auto"/>
        <w:bottom w:val="none" w:sz="0" w:space="0" w:color="auto"/>
        <w:right w:val="none" w:sz="0" w:space="0" w:color="auto"/>
      </w:divBdr>
      <w:divsChild>
        <w:div w:id="589892200">
          <w:marLeft w:val="0"/>
          <w:marRight w:val="0"/>
          <w:marTop w:val="0"/>
          <w:marBottom w:val="0"/>
          <w:divBdr>
            <w:top w:val="none" w:sz="0" w:space="0" w:color="auto"/>
            <w:left w:val="none" w:sz="0" w:space="0" w:color="auto"/>
            <w:bottom w:val="none" w:sz="0" w:space="0" w:color="auto"/>
            <w:right w:val="none" w:sz="0" w:space="0" w:color="auto"/>
          </w:divBdr>
        </w:div>
      </w:divsChild>
    </w:div>
    <w:div w:id="1424258359">
      <w:bodyDiv w:val="1"/>
      <w:marLeft w:val="0"/>
      <w:marRight w:val="0"/>
      <w:marTop w:val="0"/>
      <w:marBottom w:val="0"/>
      <w:divBdr>
        <w:top w:val="none" w:sz="0" w:space="0" w:color="auto"/>
        <w:left w:val="none" w:sz="0" w:space="0" w:color="auto"/>
        <w:bottom w:val="none" w:sz="0" w:space="0" w:color="auto"/>
        <w:right w:val="none" w:sz="0" w:space="0" w:color="auto"/>
      </w:divBdr>
      <w:divsChild>
        <w:div w:id="113818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A56A-88B6-4001-9BB9-82E468C8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598</Words>
  <Characters>3034</Characters>
  <Application>Microsoft Office Word</Application>
  <DocSecurity>0</DocSecurity>
  <Lines>65</Lines>
  <Paragraphs>71</Paragraphs>
  <ScaleCrop>false</ScaleCrop>
  <HeadingPairs>
    <vt:vector size="2" baseType="variant">
      <vt:variant>
        <vt:lpstr>Title</vt:lpstr>
      </vt:variant>
      <vt:variant>
        <vt:i4>1</vt:i4>
      </vt:variant>
    </vt:vector>
  </HeadingPairs>
  <TitlesOfParts>
    <vt:vector size="1" baseType="lpstr">
      <vt:lpstr>Template: Common reactions to change</vt:lpstr>
    </vt:vector>
  </TitlesOfParts>
  <Company>Department of Premier and Cabinet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Common reactions to change</dc:title>
  <dc:creator>amy.breen</dc:creator>
  <cp:lastModifiedBy>Newton, Cameron</cp:lastModifiedBy>
  <cp:revision>19</cp:revision>
  <cp:lastPrinted>2016-03-23T01:24:00Z</cp:lastPrinted>
  <dcterms:created xsi:type="dcterms:W3CDTF">2016-02-26T03:28:00Z</dcterms:created>
  <dcterms:modified xsi:type="dcterms:W3CDTF">2016-08-26T05:20:00Z</dcterms:modified>
</cp:coreProperties>
</file>