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95FF" w14:textId="5DB87B70" w:rsidR="00C363C6" w:rsidRDefault="005B32DF" w:rsidP="005B32DF">
      <w:pPr>
        <w:pStyle w:val="Title"/>
        <w:rPr>
          <w:rFonts w:ascii="Arial" w:hAnsi="Arial" w:cs="Arial"/>
          <w:color w:val="156082" w:themeColor="accent1"/>
          <w:sz w:val="96"/>
          <w:szCs w:val="96"/>
        </w:rPr>
      </w:pPr>
      <w:r w:rsidRPr="005B32DF">
        <w:rPr>
          <w:rFonts w:ascii="Arial" w:hAnsi="Arial" w:cs="Arial"/>
          <w:color w:val="156082" w:themeColor="accent1"/>
          <w:sz w:val="96"/>
          <w:szCs w:val="96"/>
        </w:rPr>
        <w:t>Local Government Electoral Reforms</w:t>
      </w:r>
    </w:p>
    <w:p w14:paraId="754039E8" w14:textId="77777777" w:rsidR="008327C5" w:rsidRPr="008327C5" w:rsidRDefault="008327C5" w:rsidP="008327C5"/>
    <w:p w14:paraId="6B501A6A" w14:textId="67E1A336" w:rsidR="005B32DF" w:rsidRPr="008327C5" w:rsidRDefault="005B32DF" w:rsidP="005B32DF">
      <w:pPr>
        <w:pStyle w:val="Title"/>
        <w:rPr>
          <w:rFonts w:ascii="Arial" w:hAnsi="Arial" w:cs="Arial"/>
          <w:color w:val="156082" w:themeColor="accent1"/>
        </w:rPr>
      </w:pPr>
      <w:r w:rsidRPr="008327C5">
        <w:rPr>
          <w:rFonts w:ascii="Arial" w:hAnsi="Arial" w:cs="Arial"/>
          <w:color w:val="156082" w:themeColor="accent1"/>
        </w:rPr>
        <w:t>Consultation draft legislation overview</w:t>
      </w:r>
    </w:p>
    <w:p w14:paraId="55AB80DD" w14:textId="77777777" w:rsidR="005B32DF" w:rsidRDefault="005B32DF"/>
    <w:sdt>
      <w:sdtPr>
        <w:rPr>
          <w:rFonts w:eastAsiaTheme="minorHAnsi"/>
          <w:spacing w:val="0"/>
          <w:kern w:val="2"/>
          <w:sz w:val="24"/>
          <w:szCs w:val="24"/>
          <w:lang w:val="en-AU"/>
          <w14:ligatures w14:val="standardContextual"/>
        </w:rPr>
        <w:id w:val="-19531706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794428F" w14:textId="77777777" w:rsidR="005B32DF" w:rsidRDefault="005B32DF" w:rsidP="005B32DF">
          <w:pPr>
            <w:pStyle w:val="TOCHeading"/>
          </w:pPr>
          <w:r>
            <w:t>Contents</w:t>
          </w:r>
        </w:p>
        <w:p w14:paraId="1DCA5113" w14:textId="77777777" w:rsidR="005B32DF" w:rsidRDefault="005B32DF" w:rsidP="005B32D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158129" w:history="1">
            <w:r w:rsidRPr="00B17A64">
              <w:rPr>
                <w:rStyle w:val="Hyperlink"/>
                <w:i/>
                <w:iCs/>
                <w:noProof/>
              </w:rPr>
              <w:t>Local Government Electoral Bill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_Toc213158129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519AB" w14:textId="77777777" w:rsidR="005B32DF" w:rsidRDefault="005B32DF" w:rsidP="005B32DF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13158130" w:history="1">
            <w:r w:rsidRPr="00B17A64">
              <w:rPr>
                <w:rStyle w:val="Hyperlink"/>
                <w:noProof/>
              </w:rPr>
              <w:t>Overview of key reforms by Part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_Toc213158130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6B82B" w14:textId="4EF530B0" w:rsidR="005B32DF" w:rsidRDefault="005B32DF" w:rsidP="005B32D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213158131" w:history="1">
            <w:r w:rsidRPr="00B17A64">
              <w:rPr>
                <w:rStyle w:val="Hyperlink"/>
                <w:i/>
                <w:iCs/>
                <w:noProof/>
              </w:rPr>
              <w:t xml:space="preserve">Local Government Amendment (Electoral </w:t>
            </w:r>
            <w:r w:rsidR="00894738">
              <w:rPr>
                <w:rStyle w:val="Hyperlink"/>
                <w:i/>
                <w:iCs/>
                <w:noProof/>
              </w:rPr>
              <w:t>Reforms</w:t>
            </w:r>
            <w:r w:rsidRPr="00B17A64">
              <w:rPr>
                <w:rStyle w:val="Hyperlink"/>
                <w:i/>
                <w:iCs/>
                <w:noProof/>
              </w:rPr>
              <w:t>) Bill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_Toc213158131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43DFC" w14:textId="77777777" w:rsidR="005B32DF" w:rsidRDefault="005B32DF" w:rsidP="005B32DF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13158132" w:history="1">
            <w:r w:rsidRPr="00B17A64">
              <w:rPr>
                <w:rStyle w:val="Hyperlink"/>
                <w:noProof/>
              </w:rPr>
              <w:t>Overview of key reforms by Part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_Toc213158132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AC9D6" w14:textId="77777777" w:rsidR="005B32DF" w:rsidRDefault="005B32DF" w:rsidP="005B32DF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2FDA449" w14:textId="77777777" w:rsidR="005B32DF" w:rsidRDefault="005B32DF"/>
    <w:p w14:paraId="57986190" w14:textId="676D42A8" w:rsidR="005B32DF" w:rsidRDefault="005B32DF" w:rsidP="00086A4D">
      <w:pPr>
        <w:pStyle w:val="Title"/>
        <w:rPr>
          <w:rFonts w:ascii="Arial" w:hAnsi="Arial" w:cs="Arial"/>
        </w:rPr>
      </w:pPr>
    </w:p>
    <w:p w14:paraId="65A31E64" w14:textId="77777777" w:rsidR="005B32DF" w:rsidRDefault="005B32DF">
      <w:pPr>
        <w:spacing w:after="160" w:line="278" w:lineRule="auto"/>
        <w:rPr>
          <w:rFonts w:eastAsiaTheme="majorEastAsia"/>
          <w:spacing w:val="-10"/>
          <w:kern w:val="28"/>
          <w:sz w:val="56"/>
          <w:szCs w:val="56"/>
        </w:rPr>
      </w:pPr>
      <w:r>
        <w:br w:type="page"/>
      </w:r>
    </w:p>
    <w:p w14:paraId="6A42A186" w14:textId="69936BB8" w:rsidR="00BA196D" w:rsidRPr="00F81CCC" w:rsidRDefault="00BA196D" w:rsidP="00C363C6">
      <w:pPr>
        <w:pStyle w:val="Heading1"/>
        <w:rPr>
          <w:i/>
          <w:iCs/>
        </w:rPr>
      </w:pPr>
      <w:bookmarkStart w:id="0" w:name="_Toc213158129"/>
      <w:r w:rsidRPr="00F81CCC">
        <w:rPr>
          <w:i/>
          <w:iCs/>
        </w:rPr>
        <w:lastRenderedPageBreak/>
        <w:t>Local Government Electoral Bill 2025</w:t>
      </w:r>
      <w:bookmarkEnd w:id="0"/>
    </w:p>
    <w:p w14:paraId="25BD51AB" w14:textId="2EAEE78D" w:rsidR="00BA196D" w:rsidRPr="00C363C6" w:rsidRDefault="00BA196D" w:rsidP="00C363C6">
      <w:pPr>
        <w:pStyle w:val="Heading2"/>
      </w:pPr>
      <w:bookmarkStart w:id="1" w:name="_Toc213158130"/>
      <w:r w:rsidRPr="00C363C6">
        <w:t xml:space="preserve">Overview of </w:t>
      </w:r>
      <w:r w:rsidR="00CF7F3D" w:rsidRPr="00C363C6">
        <w:t>key reforms</w:t>
      </w:r>
      <w:r w:rsidRPr="00C363C6">
        <w:t xml:space="preserve"> by Part</w:t>
      </w:r>
      <w:bookmarkEnd w:id="1"/>
    </w:p>
    <w:tbl>
      <w:tblPr>
        <w:tblStyle w:val="TableGrid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7360"/>
      </w:tblGrid>
      <w:tr w:rsidR="00873E7A" w14:paraId="48BBE031" w14:textId="77777777" w:rsidTr="00C31F4D">
        <w:trPr>
          <w:trHeight w:val="287"/>
          <w:tblHeader/>
        </w:trPr>
        <w:tc>
          <w:tcPr>
            <w:tcW w:w="2133" w:type="dxa"/>
            <w:shd w:val="clear" w:color="auto" w:fill="A5C9EB" w:themeFill="text2" w:themeFillTint="40"/>
          </w:tcPr>
          <w:p w14:paraId="7AD83CE7" w14:textId="045BA7BD" w:rsidR="00873E7A" w:rsidRPr="00BA196D" w:rsidRDefault="00873E7A" w:rsidP="00DC7845">
            <w:r w:rsidRPr="00BA196D">
              <w:t>Part</w:t>
            </w:r>
          </w:p>
        </w:tc>
        <w:tc>
          <w:tcPr>
            <w:tcW w:w="7360" w:type="dxa"/>
            <w:shd w:val="clear" w:color="auto" w:fill="A5C9EB" w:themeFill="text2" w:themeFillTint="40"/>
          </w:tcPr>
          <w:p w14:paraId="54A56F70" w14:textId="139C144D" w:rsidR="00873E7A" w:rsidRPr="00BA196D" w:rsidRDefault="00873E7A" w:rsidP="00DC7845">
            <w:r>
              <w:t xml:space="preserve">Key </w:t>
            </w:r>
            <w:r w:rsidRPr="00BA196D">
              <w:t>Reform</w:t>
            </w:r>
          </w:p>
        </w:tc>
      </w:tr>
      <w:tr w:rsidR="00873E7A" w14:paraId="5FDC660D" w14:textId="77777777" w:rsidTr="0025733B">
        <w:trPr>
          <w:trHeight w:val="287"/>
        </w:trPr>
        <w:tc>
          <w:tcPr>
            <w:tcW w:w="2133" w:type="dxa"/>
            <w:vAlign w:val="center"/>
          </w:tcPr>
          <w:p w14:paraId="79A74F34" w14:textId="0754EC43" w:rsidR="00873E7A" w:rsidRPr="00263C89" w:rsidRDefault="00873E7A" w:rsidP="0025733B">
            <w:r>
              <w:t xml:space="preserve">2 - </w:t>
            </w:r>
            <w:r w:rsidRPr="00263C89">
              <w:t>ELECTION OF MAYORS, DEPUTY MAYORS AND</w:t>
            </w:r>
          </w:p>
          <w:p w14:paraId="6A949862" w14:textId="22966C69" w:rsidR="00873E7A" w:rsidRPr="00BA196D" w:rsidRDefault="00873E7A" w:rsidP="0025733B">
            <w:r w:rsidRPr="00263C89">
              <w:t>COUNCILLORS</w:t>
            </w:r>
          </w:p>
        </w:tc>
        <w:tc>
          <w:tcPr>
            <w:tcW w:w="7360" w:type="dxa"/>
          </w:tcPr>
          <w:p w14:paraId="5E2F393E" w14:textId="132A0028" w:rsidR="00873E7A" w:rsidRDefault="00873E7A" w:rsidP="00DC7845">
            <w:r>
              <w:t>Provides for the election of the Deputy Mayor ‘around the table’ by councillors</w:t>
            </w:r>
            <w:r w:rsidR="60E6D98C">
              <w:t xml:space="preserve">, rather than by direct elector ballot. </w:t>
            </w:r>
          </w:p>
          <w:p w14:paraId="16A8C84A" w14:textId="77777777" w:rsidR="00873E7A" w:rsidRDefault="00873E7A" w:rsidP="00DC7845"/>
          <w:p w14:paraId="38BF9A3E" w14:textId="0B6E4B27" w:rsidR="00873E7A" w:rsidRDefault="00873E7A" w:rsidP="00DC7845">
            <w:r>
              <w:t>This must be done by vote</w:t>
            </w:r>
            <w:r w:rsidR="03D782F0">
              <w:t xml:space="preserve"> of the council</w:t>
            </w:r>
            <w:r w:rsidR="00706DCC">
              <w:t xml:space="preserve"> (simple majority)</w:t>
            </w:r>
            <w:r>
              <w:t>, and within the first two general meetings of council.</w:t>
            </w:r>
          </w:p>
          <w:p w14:paraId="256336AA" w14:textId="77777777" w:rsidR="00873E7A" w:rsidRDefault="00873E7A" w:rsidP="00DC7845"/>
          <w:p w14:paraId="61A6C69C" w14:textId="58549CAA" w:rsidR="00873E7A" w:rsidRPr="00BA196D" w:rsidRDefault="2AF743AA" w:rsidP="00DC7845">
            <w:r>
              <w:t xml:space="preserve">The Bill </w:t>
            </w:r>
            <w:r w:rsidR="00873E7A">
              <w:t>allows council</w:t>
            </w:r>
            <w:r w:rsidR="51FE4960">
              <w:t>s</w:t>
            </w:r>
            <w:r w:rsidR="00873E7A">
              <w:t xml:space="preserve"> to determine the term of deputy mayor to be either the term of council or a lesser period. </w:t>
            </w:r>
          </w:p>
        </w:tc>
      </w:tr>
      <w:tr w:rsidR="00D5074A" w14:paraId="7FB8075D" w14:textId="77777777" w:rsidTr="0025733B">
        <w:trPr>
          <w:trHeight w:val="287"/>
        </w:trPr>
        <w:tc>
          <w:tcPr>
            <w:tcW w:w="2133" w:type="dxa"/>
            <w:vMerge w:val="restart"/>
            <w:vAlign w:val="center"/>
          </w:tcPr>
          <w:p w14:paraId="0E761BB1" w14:textId="1070B042" w:rsidR="00D5074A" w:rsidRDefault="00D5074A" w:rsidP="0025733B">
            <w:r>
              <w:t xml:space="preserve">4 - </w:t>
            </w:r>
            <w:r w:rsidRPr="00263C89">
              <w:t>ELECTORS AND ELECTORAL ROLLS</w:t>
            </w:r>
          </w:p>
        </w:tc>
        <w:tc>
          <w:tcPr>
            <w:tcW w:w="7360" w:type="dxa"/>
          </w:tcPr>
          <w:p w14:paraId="64111DFB" w14:textId="3AA44E2A" w:rsidR="00D5074A" w:rsidRPr="00D5074A" w:rsidRDefault="00D5074A" w:rsidP="00DC7845">
            <w:r w:rsidRPr="00D5074A">
              <w:t>Amend</w:t>
            </w:r>
            <w:r>
              <w:t>s</w:t>
            </w:r>
            <w:r w:rsidRPr="00D5074A">
              <w:t xml:space="preserve"> the definition of “occupier” for enrolment purposes, to refer to actual occupation and use, and clarify that tenants and licensees are occupiers for the purposes of the Act.</w:t>
            </w:r>
            <w:r w:rsidRPr="00D5074A">
              <w:br/>
            </w:r>
          </w:p>
        </w:tc>
      </w:tr>
      <w:tr w:rsidR="00D5074A" w14:paraId="6695E29B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5F09865E" w14:textId="77777777" w:rsidR="00D5074A" w:rsidRPr="00BA196D" w:rsidRDefault="00D5074A" w:rsidP="0025733B"/>
        </w:tc>
        <w:tc>
          <w:tcPr>
            <w:tcW w:w="7360" w:type="dxa"/>
          </w:tcPr>
          <w:p w14:paraId="15515E4A" w14:textId="61101AA7" w:rsidR="00D5074A" w:rsidRDefault="00D5074A" w:rsidP="00DC7845">
            <w:r>
              <w:t xml:space="preserve">Preserves a supplementary roll </w:t>
            </w:r>
            <w:r w:rsidR="007B4CD4">
              <w:t xml:space="preserve">(‘general manager’s roll’) </w:t>
            </w:r>
            <w:r>
              <w:t>for electors not entitled to be on the Ho</w:t>
            </w:r>
            <w:r w:rsidR="007B4CD4">
              <w:t>use of Assembly</w:t>
            </w:r>
            <w:r>
              <w:t xml:space="preserve"> </w:t>
            </w:r>
            <w:r w:rsidR="001B3DEF">
              <w:t>(</w:t>
            </w:r>
            <w:proofErr w:type="spellStart"/>
            <w:r w:rsidR="003A1C10">
              <w:t>HoA</w:t>
            </w:r>
            <w:proofErr w:type="spellEnd"/>
            <w:r w:rsidR="003A1C10">
              <w:t>) Roll in</w:t>
            </w:r>
            <w:r w:rsidR="007B4CD4">
              <w:t xml:space="preserve"> respect of an electoral area</w:t>
            </w:r>
            <w:r>
              <w:t>, as well as clear and consistent criteria for applying to be on this roll.</w:t>
            </w:r>
          </w:p>
          <w:p w14:paraId="11A1387D" w14:textId="77777777" w:rsidR="00F20C38" w:rsidRDefault="00F20C38" w:rsidP="00DC7845"/>
          <w:p w14:paraId="69532841" w14:textId="5B18D239" w:rsidR="00F20C38" w:rsidRDefault="00F20C38" w:rsidP="00DC7845">
            <w:r>
              <w:t xml:space="preserve">This supplementary roll is now </w:t>
            </w:r>
            <w:r w:rsidR="009729E2">
              <w:t xml:space="preserve">named </w:t>
            </w:r>
            <w:r>
              <w:t>the Local Government Electoral Roll.</w:t>
            </w:r>
          </w:p>
          <w:p w14:paraId="6D347D62" w14:textId="77777777" w:rsidR="00D5074A" w:rsidRDefault="00D5074A" w:rsidP="00DC7845"/>
          <w:p w14:paraId="4588C294" w14:textId="74328C19" w:rsidR="00D5074A" w:rsidRDefault="00D5074A" w:rsidP="39AFE1D4">
            <w:pPr>
              <w:rPr>
                <w:i/>
                <w:iCs/>
              </w:rPr>
            </w:pPr>
            <w:r>
              <w:t>This</w:t>
            </w:r>
            <w:r w:rsidR="3E6C2E72">
              <w:t xml:space="preserve"> roll</w:t>
            </w:r>
            <w:r>
              <w:t xml:space="preserve"> is for persons with property-based entitlements (landowners/occupiers, corporate bodies) and non-citizen electors </w:t>
            </w:r>
            <w:r w:rsidRPr="39AFE1D4">
              <w:rPr>
                <w:i/>
                <w:iCs/>
              </w:rPr>
              <w:t>who have lived in the electoral area for a continued period of at least 12 months</w:t>
            </w:r>
            <w:r w:rsidR="72CD5A0A" w:rsidRPr="39AFE1D4">
              <w:rPr>
                <w:i/>
                <w:iCs/>
              </w:rPr>
              <w:t>.</w:t>
            </w:r>
          </w:p>
          <w:p w14:paraId="7201319D" w14:textId="17A26E09" w:rsidR="39AFE1D4" w:rsidRDefault="39AFE1D4" w:rsidP="39AFE1D4">
            <w:pPr>
              <w:rPr>
                <w:i/>
                <w:iCs/>
              </w:rPr>
            </w:pPr>
          </w:p>
          <w:p w14:paraId="26D3D7DB" w14:textId="12120B7A" w:rsidR="72CD5A0A" w:rsidRDefault="72CD5A0A" w:rsidP="39AFE1D4">
            <w:r>
              <w:t>Provides that responsibility for keeping and maintaining the supplementary rolls for electoral areas is to transfer to the TEC (currently council G</w:t>
            </w:r>
            <w:r w:rsidR="007B4CD4">
              <w:t>eneral Manager</w:t>
            </w:r>
            <w:r>
              <w:t>s must maintain their council’s supplementary rolls).</w:t>
            </w:r>
          </w:p>
          <w:p w14:paraId="0EB998E6" w14:textId="77777777" w:rsidR="006953B5" w:rsidRDefault="006953B5" w:rsidP="39AFE1D4"/>
          <w:p w14:paraId="0B74B48B" w14:textId="5F9FF29C" w:rsidR="00D5074A" w:rsidRPr="00B92AA8" w:rsidRDefault="00D5074A" w:rsidP="006953B5"/>
        </w:tc>
      </w:tr>
      <w:tr w:rsidR="006953B5" w14:paraId="7B9EE6C6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34090AA3" w14:textId="77777777" w:rsidR="006953B5" w:rsidRPr="00BA196D" w:rsidRDefault="006953B5" w:rsidP="0025733B"/>
        </w:tc>
        <w:tc>
          <w:tcPr>
            <w:tcW w:w="7360" w:type="dxa"/>
          </w:tcPr>
          <w:p w14:paraId="1218B0C3" w14:textId="52080AE8" w:rsidR="006953B5" w:rsidRDefault="006953B5" w:rsidP="00DC7845">
            <w:r>
              <w:t xml:space="preserve">Tightens the criteria for who can </w:t>
            </w:r>
            <w:r w:rsidR="003959CE">
              <w:t xml:space="preserve">nominate to </w:t>
            </w:r>
            <w:r>
              <w:t>vote on behalf of corporate bodies, including that</w:t>
            </w:r>
            <w:r w:rsidR="003959CE">
              <w:t xml:space="preserve"> they:</w:t>
            </w:r>
          </w:p>
          <w:p w14:paraId="0C3C076F" w14:textId="77777777" w:rsidR="003959CE" w:rsidRDefault="003959CE" w:rsidP="00DC7845"/>
          <w:p w14:paraId="74566ECC" w14:textId="1F760959" w:rsidR="003959CE" w:rsidRDefault="003959CE" w:rsidP="003959CE">
            <w:pPr>
              <w:pStyle w:val="ListParagraph"/>
              <w:numPr>
                <w:ilvl w:val="0"/>
                <w:numId w:val="4"/>
              </w:numPr>
            </w:pPr>
            <w:r>
              <w:t>Must not be a director or the secretary of the corporate body</w:t>
            </w:r>
          </w:p>
          <w:p w14:paraId="78D3AD61" w14:textId="4ED7529D" w:rsidR="003959CE" w:rsidRDefault="003959CE" w:rsidP="003959CE">
            <w:pPr>
              <w:pStyle w:val="ListParagraph"/>
              <w:numPr>
                <w:ilvl w:val="0"/>
                <w:numId w:val="4"/>
              </w:numPr>
            </w:pPr>
            <w:r>
              <w:t xml:space="preserve">Must not be already enrolled on the </w:t>
            </w:r>
            <w:proofErr w:type="spellStart"/>
            <w:r>
              <w:t>HoA</w:t>
            </w:r>
            <w:proofErr w:type="spellEnd"/>
            <w:r>
              <w:t xml:space="preserve"> roll for the electoral area</w:t>
            </w:r>
          </w:p>
          <w:p w14:paraId="0D4A70B4" w14:textId="7342E728" w:rsidR="003959CE" w:rsidRDefault="003959CE" w:rsidP="003959CE">
            <w:pPr>
              <w:pStyle w:val="ListParagraph"/>
              <w:numPr>
                <w:ilvl w:val="0"/>
                <w:numId w:val="4"/>
              </w:numPr>
            </w:pPr>
            <w:r>
              <w:t xml:space="preserve">Not be the corporate body nominee for </w:t>
            </w:r>
            <w:r w:rsidR="00EC70B3">
              <w:t>another corporate body in the same area.</w:t>
            </w:r>
          </w:p>
          <w:p w14:paraId="59E9DBB7" w14:textId="77777777" w:rsidR="006953B5" w:rsidRDefault="006953B5" w:rsidP="00DC7845"/>
        </w:tc>
      </w:tr>
      <w:tr w:rsidR="00D5074A" w14:paraId="256E6787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6FFA195C" w14:textId="77777777" w:rsidR="00D5074A" w:rsidRPr="00BA196D" w:rsidRDefault="00D5074A" w:rsidP="0025733B"/>
        </w:tc>
        <w:tc>
          <w:tcPr>
            <w:tcW w:w="7360" w:type="dxa"/>
          </w:tcPr>
          <w:p w14:paraId="6E3EAB3C" w14:textId="01E00699" w:rsidR="00761D05" w:rsidRDefault="67B687E1" w:rsidP="004F65A3">
            <w:r>
              <w:t>Provides for ‘one vote, one value</w:t>
            </w:r>
            <w:r w:rsidR="001B3DEF">
              <w:t>’</w:t>
            </w:r>
            <w:r>
              <w:t xml:space="preserve"> by </w:t>
            </w:r>
            <w:r w:rsidR="00761D05">
              <w:t>providing that</w:t>
            </w:r>
            <w:r w:rsidR="004F65A3">
              <w:t xml:space="preserve"> each </w:t>
            </w:r>
            <w:r w:rsidR="00741A80">
              <w:t xml:space="preserve">elector </w:t>
            </w:r>
            <w:r w:rsidR="004F65A3">
              <w:t>is entitled to one vote in an election for an electoral area.</w:t>
            </w:r>
            <w:r w:rsidR="14125EEB">
              <w:t xml:space="preserve"> </w:t>
            </w:r>
          </w:p>
          <w:p w14:paraId="1E6AD82A" w14:textId="77777777" w:rsidR="00761D05" w:rsidRDefault="00761D05" w:rsidP="004F65A3"/>
          <w:p w14:paraId="392456E9" w14:textId="753C1E7F" w:rsidR="00D5074A" w:rsidRDefault="14125EEB" w:rsidP="004F65A3">
            <w:r>
              <w:lastRenderedPageBreak/>
              <w:t xml:space="preserve">This changes the current situation where a person may have up to two votes (e.g. </w:t>
            </w:r>
            <w:proofErr w:type="gramStart"/>
            <w:r>
              <w:t>one in their own right, and</w:t>
            </w:r>
            <w:proofErr w:type="gramEnd"/>
            <w:r>
              <w:t xml:space="preserve"> one on behalf of a body corporate)</w:t>
            </w:r>
            <w:r w:rsidR="1B709D4D">
              <w:t>.</w:t>
            </w:r>
          </w:p>
          <w:p w14:paraId="68ABE49E" w14:textId="3F19F3C3" w:rsidR="004F65A3" w:rsidRDefault="004F65A3" w:rsidP="004F65A3"/>
        </w:tc>
      </w:tr>
      <w:tr w:rsidR="00873E7A" w14:paraId="726AF471" w14:textId="77777777" w:rsidTr="0025733B">
        <w:trPr>
          <w:trHeight w:val="287"/>
        </w:trPr>
        <w:tc>
          <w:tcPr>
            <w:tcW w:w="2133" w:type="dxa"/>
            <w:vAlign w:val="center"/>
          </w:tcPr>
          <w:p w14:paraId="1F234694" w14:textId="03C318C1" w:rsidR="00873E7A" w:rsidRPr="00BA196D" w:rsidRDefault="00873E7A" w:rsidP="0025733B">
            <w:r>
              <w:lastRenderedPageBreak/>
              <w:t>5 – COMPULSORY VOTING</w:t>
            </w:r>
          </w:p>
        </w:tc>
        <w:tc>
          <w:tcPr>
            <w:tcW w:w="7360" w:type="dxa"/>
          </w:tcPr>
          <w:p w14:paraId="01074FA1" w14:textId="1D0DBC94" w:rsidR="00873E7A" w:rsidRDefault="00873E7A" w:rsidP="00DC7845">
            <w:r>
              <w:t xml:space="preserve">Preserves compulsory voting for those on the </w:t>
            </w:r>
            <w:proofErr w:type="spellStart"/>
            <w:r>
              <w:t>HoA</w:t>
            </w:r>
            <w:proofErr w:type="spellEnd"/>
            <w:r>
              <w:t xml:space="preserve"> roll</w:t>
            </w:r>
            <w:r w:rsidR="5A460324">
              <w:t xml:space="preserve"> (status quo)</w:t>
            </w:r>
            <w:r>
              <w:t>.</w:t>
            </w:r>
          </w:p>
          <w:p w14:paraId="120619A7" w14:textId="77777777" w:rsidR="00873E7A" w:rsidRDefault="00873E7A" w:rsidP="00DC7845"/>
          <w:p w14:paraId="14982986" w14:textId="0A69BEF4" w:rsidR="00873E7A" w:rsidRDefault="00873E7A" w:rsidP="00DC7845">
            <w:r>
              <w:t xml:space="preserve">Voting </w:t>
            </w:r>
            <w:r w:rsidR="4E9E33F0">
              <w:t xml:space="preserve">remains </w:t>
            </w:r>
            <w:r>
              <w:t xml:space="preserve">optional for </w:t>
            </w:r>
            <w:r w:rsidR="001B3DEF">
              <w:t xml:space="preserve">electors </w:t>
            </w:r>
            <w:r>
              <w:t xml:space="preserve">on the supplementary </w:t>
            </w:r>
            <w:r w:rsidR="004E49C7">
              <w:t>Local Government Electoral Roll</w:t>
            </w:r>
            <w:r>
              <w:t>.</w:t>
            </w:r>
          </w:p>
          <w:p w14:paraId="27574F51" w14:textId="7D49DC99" w:rsidR="00671D15" w:rsidRPr="00BA196D" w:rsidRDefault="00671D15" w:rsidP="00DC7845"/>
        </w:tc>
      </w:tr>
      <w:tr w:rsidR="00873E7A" w14:paraId="23B0C684" w14:textId="77777777" w:rsidTr="0025733B">
        <w:trPr>
          <w:trHeight w:val="287"/>
        </w:trPr>
        <w:tc>
          <w:tcPr>
            <w:tcW w:w="2133" w:type="dxa"/>
            <w:vMerge w:val="restart"/>
            <w:vAlign w:val="center"/>
          </w:tcPr>
          <w:p w14:paraId="384E8C27" w14:textId="26E47360" w:rsidR="00873E7A" w:rsidRDefault="00873E7A" w:rsidP="0025733B">
            <w:r>
              <w:t xml:space="preserve">6 – ISSUING AND RECEIVING PLACES, </w:t>
            </w:r>
            <w:r w:rsidRPr="004F7EDB">
              <w:t>POLLING PLACES AND ELECTION OFFICIALS</w:t>
            </w:r>
          </w:p>
        </w:tc>
        <w:tc>
          <w:tcPr>
            <w:tcW w:w="7360" w:type="dxa"/>
          </w:tcPr>
          <w:p w14:paraId="0001DB06" w14:textId="2A333A62" w:rsidR="00873E7A" w:rsidRDefault="003F4734" w:rsidP="00DC7845">
            <w:r>
              <w:t>Reduces prescription</w:t>
            </w:r>
            <w:r w:rsidR="5C8721C8">
              <w:t xml:space="preserve"> and introduces flexibility to ’future proof’ elections</w:t>
            </w:r>
            <w:r>
              <w:t>, a</w:t>
            </w:r>
            <w:r w:rsidR="00873E7A">
              <w:t>llow</w:t>
            </w:r>
            <w:r>
              <w:t>ing</w:t>
            </w:r>
            <w:r w:rsidR="00873E7A">
              <w:t xml:space="preserve"> the Electoral Commissioner to determine the method of voting at an election. This </w:t>
            </w:r>
            <w:r w:rsidR="000F0ACC">
              <w:t xml:space="preserve">can </w:t>
            </w:r>
            <w:r w:rsidR="00873E7A">
              <w:t>include one or more methods, including attendance voting at a polling place and/or postal voting (including provision and receipt of ballots in person and by mail).</w:t>
            </w:r>
          </w:p>
          <w:p w14:paraId="3621E709" w14:textId="77777777" w:rsidR="00873E7A" w:rsidRDefault="00873E7A" w:rsidP="00DC7845"/>
          <w:p w14:paraId="53C54575" w14:textId="4A9C7FD0" w:rsidR="00873E7A" w:rsidRDefault="00873E7A" w:rsidP="00DC7845">
            <w:r>
              <w:t xml:space="preserve">These provisions </w:t>
            </w:r>
            <w:r w:rsidR="003F4734">
              <w:t>provide</w:t>
            </w:r>
            <w:r>
              <w:t xml:space="preserve"> flexibility for the </w:t>
            </w:r>
            <w:r w:rsidR="16B05B1F">
              <w:t>C</w:t>
            </w:r>
            <w:r>
              <w:t xml:space="preserve">ommissioner to determine multiple methods of voting, supporting the position of moving to a hybrid </w:t>
            </w:r>
            <w:r w:rsidR="00712E10">
              <w:t xml:space="preserve">postal </w:t>
            </w:r>
            <w:r>
              <w:t>electoral format, allowing for continued mail voting, with provision of pre-polling and polling places for in-person completion of ballots.</w:t>
            </w:r>
          </w:p>
          <w:p w14:paraId="5F3B6958" w14:textId="77777777" w:rsidR="00873E7A" w:rsidRDefault="00873E7A" w:rsidP="00DC7845"/>
          <w:p w14:paraId="3871B6B5" w14:textId="00CEB90F" w:rsidR="00873E7A" w:rsidRDefault="003F4734" w:rsidP="00DC7845">
            <w:r>
              <w:t>T</w:t>
            </w:r>
            <w:r w:rsidR="00873E7A">
              <w:t xml:space="preserve">he </w:t>
            </w:r>
            <w:r w:rsidR="30502F8A">
              <w:t>provides for the postal method</w:t>
            </w:r>
            <w:r w:rsidR="00B92FFD">
              <w:t xml:space="preserve"> (allowing </w:t>
            </w:r>
            <w:r w:rsidR="009E3A6E">
              <w:t xml:space="preserve">for and encouraging </w:t>
            </w:r>
            <w:r w:rsidR="00B92FFD">
              <w:t>for hand returns)</w:t>
            </w:r>
            <w:r w:rsidR="30502F8A">
              <w:t xml:space="preserve"> as the </w:t>
            </w:r>
            <w:r w:rsidR="39B8BCD6">
              <w:t>default</w:t>
            </w:r>
            <w:r w:rsidR="30502F8A">
              <w:t xml:space="preserve"> election method and</w:t>
            </w:r>
            <w:r w:rsidR="00873E7A">
              <w:t xml:space="preserve"> allows </w:t>
            </w:r>
            <w:r w:rsidR="7A399F35">
              <w:t xml:space="preserve">for </w:t>
            </w:r>
            <w:r w:rsidR="5469E7B8">
              <w:t xml:space="preserve">an </w:t>
            </w:r>
            <w:r w:rsidR="00873E7A">
              <w:t xml:space="preserve">attendance </w:t>
            </w:r>
            <w:r w:rsidR="1F4360BB">
              <w:t xml:space="preserve">ballot </w:t>
            </w:r>
            <w:r w:rsidR="65ACA09C">
              <w:t xml:space="preserve">only </w:t>
            </w:r>
            <w:r w:rsidR="00873E7A">
              <w:t>where the</w:t>
            </w:r>
            <w:r w:rsidR="70B7D85D">
              <w:t xml:space="preserve"> Commissioner </w:t>
            </w:r>
            <w:r w:rsidR="4DB96431">
              <w:t xml:space="preserve">is satisfied </w:t>
            </w:r>
            <w:r w:rsidR="00873E7A">
              <w:t>available postal services are inadequate to ensure the reliable conduct of the election by postal ballo</w:t>
            </w:r>
            <w:r w:rsidR="032F419B">
              <w:t>t, a postal ballot would be more expensive</w:t>
            </w:r>
            <w:r w:rsidR="768D9A0D">
              <w:t xml:space="preserve"> to conduct than an attendance ballot</w:t>
            </w:r>
            <w:r w:rsidR="032F419B">
              <w:t>.</w:t>
            </w:r>
          </w:p>
          <w:p w14:paraId="1EC35E8C" w14:textId="28A28F1A" w:rsidR="39AFE1D4" w:rsidRDefault="39AFE1D4"/>
          <w:p w14:paraId="33875A49" w14:textId="7BBB39BE" w:rsidR="35D807E6" w:rsidRDefault="35D807E6">
            <w:r>
              <w:t xml:space="preserve">The </w:t>
            </w:r>
            <w:r w:rsidR="7EF82393">
              <w:t>C</w:t>
            </w:r>
            <w:r>
              <w:t xml:space="preserve">ommissioner will </w:t>
            </w:r>
            <w:r w:rsidR="588D0AC1">
              <w:t xml:space="preserve">be </w:t>
            </w:r>
            <w:r>
              <w:t>required to issue a notice as to the chosen method of electio</w:t>
            </w:r>
            <w:r w:rsidR="43E28239">
              <w:t>n at least six months in advance of the notice of an election.</w:t>
            </w:r>
          </w:p>
          <w:p w14:paraId="5B3537F6" w14:textId="03EC4798" w:rsidR="00873E7A" w:rsidRDefault="00873E7A" w:rsidP="00DC7845"/>
        </w:tc>
      </w:tr>
      <w:tr w:rsidR="00873E7A" w14:paraId="2B422429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43B5C22C" w14:textId="381208B2" w:rsidR="00873E7A" w:rsidRDefault="00873E7A" w:rsidP="0025733B"/>
        </w:tc>
        <w:tc>
          <w:tcPr>
            <w:tcW w:w="7360" w:type="dxa"/>
          </w:tcPr>
          <w:p w14:paraId="205323F5" w14:textId="475B0E54" w:rsidR="00873E7A" w:rsidRDefault="00873E7A" w:rsidP="00DC7845">
            <w:r>
              <w:t xml:space="preserve">Preserves issuing and receiving places, which allow for issue and return of ballots during mail </w:t>
            </w:r>
            <w:r w:rsidR="00671D15">
              <w:t xml:space="preserve">(or hybrid) </w:t>
            </w:r>
            <w:r>
              <w:t>elections.</w:t>
            </w:r>
          </w:p>
          <w:p w14:paraId="11D64956" w14:textId="77777777" w:rsidR="00873E7A" w:rsidRDefault="00873E7A" w:rsidP="00DC7845"/>
          <w:p w14:paraId="6B5AD955" w14:textId="77496636" w:rsidR="00873E7A" w:rsidRDefault="00873E7A" w:rsidP="00DC7845">
            <w:r>
              <w:t xml:space="preserve">Provisions from the </w:t>
            </w:r>
            <w:r w:rsidRPr="006E4A9D">
              <w:rPr>
                <w:i/>
                <w:iCs/>
              </w:rPr>
              <w:t>Local Government Act 1993</w:t>
            </w:r>
            <w:r>
              <w:rPr>
                <w:i/>
                <w:iCs/>
              </w:rPr>
              <w:t xml:space="preserve"> </w:t>
            </w:r>
            <w:r>
              <w:t>are expanded for accessibility, including allowing t</w:t>
            </w:r>
            <w:r w:rsidRPr="006E4A9D">
              <w:t xml:space="preserve">he Electoral Commissioner </w:t>
            </w:r>
            <w:r>
              <w:t>to</w:t>
            </w:r>
            <w:r w:rsidRPr="006E4A9D">
              <w:t xml:space="preserve"> appoint a</w:t>
            </w:r>
            <w:r w:rsidR="003F4734">
              <w:t xml:space="preserve"> </w:t>
            </w:r>
            <w:r w:rsidRPr="006E4A9D">
              <w:t>hospital, convalescent home, nursing home or</w:t>
            </w:r>
            <w:r w:rsidR="003F4734">
              <w:t xml:space="preserve"> </w:t>
            </w:r>
            <w:r w:rsidRPr="006E4A9D">
              <w:t>other similar place at which a mobile facility</w:t>
            </w:r>
            <w:r w:rsidR="003F4734">
              <w:t xml:space="preserve"> </w:t>
            </w:r>
            <w:r w:rsidRPr="006E4A9D">
              <w:t xml:space="preserve">may be operated </w:t>
            </w:r>
            <w:r>
              <w:t>as an issuing and receiving place</w:t>
            </w:r>
            <w:r w:rsidR="003F4734">
              <w:t xml:space="preserve"> – </w:t>
            </w:r>
            <w:proofErr w:type="gramStart"/>
            <w:r w:rsidR="003F4734">
              <w:t>similar to</w:t>
            </w:r>
            <w:proofErr w:type="gramEnd"/>
            <w:r w:rsidR="003F4734">
              <w:t xml:space="preserve"> polling place provisions in the </w:t>
            </w:r>
            <w:r w:rsidR="003F4734" w:rsidRPr="003F4734">
              <w:rPr>
                <w:i/>
                <w:iCs/>
              </w:rPr>
              <w:t>Electoral Act 2004</w:t>
            </w:r>
            <w:r>
              <w:t>.</w:t>
            </w:r>
          </w:p>
          <w:p w14:paraId="6984EB42" w14:textId="3F777341" w:rsidR="00873E7A" w:rsidRPr="00BA196D" w:rsidRDefault="00873E7A" w:rsidP="00DC7845"/>
        </w:tc>
      </w:tr>
      <w:tr w:rsidR="00873E7A" w14:paraId="6AC13C03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2F185E7D" w14:textId="77777777" w:rsidR="00873E7A" w:rsidRDefault="00873E7A" w:rsidP="0025733B"/>
        </w:tc>
        <w:tc>
          <w:tcPr>
            <w:tcW w:w="7360" w:type="dxa"/>
          </w:tcPr>
          <w:p w14:paraId="465822CA" w14:textId="23BA4268" w:rsidR="00873E7A" w:rsidRDefault="00873E7A" w:rsidP="00DC7845">
            <w:r>
              <w:t xml:space="preserve">Allows for appointment of polling places, pre-poll polling places and mobile polling places in the event of an </w:t>
            </w:r>
            <w:r w:rsidR="00761D05">
              <w:t>attendance ballot</w:t>
            </w:r>
            <w:r>
              <w:t xml:space="preserve">. </w:t>
            </w:r>
          </w:p>
          <w:p w14:paraId="3F3837CB" w14:textId="27476AEC" w:rsidR="00873E7A" w:rsidRPr="00BA196D" w:rsidRDefault="00873E7A" w:rsidP="00DC7845">
            <w:r>
              <w:br/>
              <w:t xml:space="preserve">Accessibility provisions mirror those for issuing and receiving places. There is also an additional clause (35) which provides for </w:t>
            </w:r>
            <w:r>
              <w:lastRenderedPageBreak/>
              <w:t xml:space="preserve">assistance to vote at a polling place to be provided for those who need it. </w:t>
            </w:r>
          </w:p>
        </w:tc>
      </w:tr>
      <w:tr w:rsidR="00DC7845" w14:paraId="5A66249D" w14:textId="77777777" w:rsidTr="0025733B">
        <w:trPr>
          <w:trHeight w:val="287"/>
        </w:trPr>
        <w:tc>
          <w:tcPr>
            <w:tcW w:w="2133" w:type="dxa"/>
            <w:vMerge w:val="restart"/>
            <w:vAlign w:val="center"/>
          </w:tcPr>
          <w:p w14:paraId="0B506DAA" w14:textId="77777777" w:rsidR="00DC7845" w:rsidRPr="00F80C28" w:rsidRDefault="00DC7845" w:rsidP="0025733B">
            <w:r w:rsidRPr="00F80C28">
              <w:lastRenderedPageBreak/>
              <w:t>PART 7 – NOTICES OF ELECTIONS AND</w:t>
            </w:r>
          </w:p>
          <w:p w14:paraId="302B8D3C" w14:textId="278BC6AF" w:rsidR="00DC7845" w:rsidRPr="00F80C28" w:rsidRDefault="00DC7845" w:rsidP="0025733B">
            <w:r w:rsidRPr="00F80C28">
              <w:t>NOMINATIONS</w:t>
            </w:r>
          </w:p>
        </w:tc>
        <w:tc>
          <w:tcPr>
            <w:tcW w:w="7360" w:type="dxa"/>
          </w:tcPr>
          <w:p w14:paraId="7C6BC794" w14:textId="77777777" w:rsidR="00DC7845" w:rsidRDefault="00DC7845" w:rsidP="00DC7845">
            <w:r w:rsidRPr="00DC7845">
              <w:t>Provide</w:t>
            </w:r>
            <w:r>
              <w:t>s</w:t>
            </w:r>
            <w:r w:rsidRPr="00DC7845">
              <w:t xml:space="preserve"> that a local government election or by-election may not be held such that the polling period overlaps the date of a Tasmanian or Australian Government parliamentary election.</w:t>
            </w:r>
          </w:p>
          <w:p w14:paraId="11D6040D" w14:textId="595E4E07" w:rsidR="00DC7845" w:rsidRDefault="00DC7845" w:rsidP="00DC7845"/>
        </w:tc>
      </w:tr>
      <w:tr w:rsidR="00DC7845" w14:paraId="00619712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00805C22" w14:textId="71880C65" w:rsidR="00DC7845" w:rsidRDefault="00DC7845" w:rsidP="0025733B"/>
        </w:tc>
        <w:tc>
          <w:tcPr>
            <w:tcW w:w="7360" w:type="dxa"/>
          </w:tcPr>
          <w:p w14:paraId="7644DD04" w14:textId="4315DDD6" w:rsidR="00DC7845" w:rsidRDefault="00AD4A41" w:rsidP="00DC7845">
            <w:r>
              <w:t xml:space="preserve">Provides for </w:t>
            </w:r>
            <w:r w:rsidR="00DC7845">
              <w:t xml:space="preserve">continuation of non-citizen voting </w:t>
            </w:r>
            <w:r>
              <w:t xml:space="preserve">via the </w:t>
            </w:r>
            <w:r w:rsidR="00D71E82">
              <w:t>supplementary</w:t>
            </w:r>
            <w:r>
              <w:t xml:space="preserve"> roll, </w:t>
            </w:r>
            <w:r w:rsidR="00DC7845">
              <w:t xml:space="preserve">while </w:t>
            </w:r>
            <w:r w:rsidR="00DC7845" w:rsidRPr="00DD2997">
              <w:t xml:space="preserve">requiring </w:t>
            </w:r>
            <w:r w:rsidR="00DC7845" w:rsidRPr="00AD4A41">
              <w:rPr>
                <w:u w:val="single"/>
              </w:rPr>
              <w:t>candidates</w:t>
            </w:r>
            <w:r w:rsidR="00DC7845" w:rsidRPr="00DD2997">
              <w:t xml:space="preserve"> </w:t>
            </w:r>
            <w:r w:rsidR="00B57296">
              <w:t xml:space="preserve">for council to </w:t>
            </w:r>
            <w:r w:rsidR="00DC7845" w:rsidRPr="00DD2997">
              <w:t>be Australian citizens eligible to vote in parliamentary elections.</w:t>
            </w:r>
            <w:r w:rsidR="00DC7845">
              <w:t xml:space="preserve"> </w:t>
            </w:r>
          </w:p>
          <w:p w14:paraId="0697805B" w14:textId="77777777" w:rsidR="00DC7845" w:rsidRDefault="00DC7845" w:rsidP="00DC7845"/>
          <w:p w14:paraId="5FB3661F" w14:textId="16BAAD78" w:rsidR="00DC7845" w:rsidRPr="00BA196D" w:rsidRDefault="00DC7845" w:rsidP="00EE2370"/>
        </w:tc>
      </w:tr>
      <w:tr w:rsidR="00DC7845" w14:paraId="60860CD5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7D0928F0" w14:textId="77777777" w:rsidR="00DC7845" w:rsidRDefault="00DC7845" w:rsidP="0025733B"/>
        </w:tc>
        <w:tc>
          <w:tcPr>
            <w:tcW w:w="7360" w:type="dxa"/>
          </w:tcPr>
          <w:p w14:paraId="150DE7F0" w14:textId="77777777" w:rsidR="00DC7845" w:rsidRDefault="00DC7845" w:rsidP="00DC7845">
            <w:r>
              <w:t>Retains a single-phase nomination process, with additional requirements in the notice of nomination – including:</w:t>
            </w:r>
          </w:p>
          <w:p w14:paraId="5CA76859" w14:textId="77777777" w:rsidR="00DC7845" w:rsidRDefault="00DC7845" w:rsidP="00DC7845"/>
          <w:p w14:paraId="68FFFBFB" w14:textId="0D3F5A28" w:rsidR="00DC7845" w:rsidRDefault="00DC7845" w:rsidP="00DC7845">
            <w:pPr>
              <w:pStyle w:val="ListParagraph"/>
              <w:numPr>
                <w:ilvl w:val="0"/>
                <w:numId w:val="1"/>
              </w:numPr>
            </w:pPr>
            <w:r>
              <w:t xml:space="preserve">A statement </w:t>
            </w:r>
            <w:r w:rsidR="00342F28">
              <w:t xml:space="preserve">as to </w:t>
            </w:r>
            <w:proofErr w:type="gramStart"/>
            <w:r>
              <w:t>whether or not</w:t>
            </w:r>
            <w:proofErr w:type="gramEnd"/>
            <w:r>
              <w:t xml:space="preserve"> the candidate is </w:t>
            </w:r>
            <w:r w:rsidR="00AD4A41">
              <w:t xml:space="preserve">formally </w:t>
            </w:r>
            <w:r>
              <w:t xml:space="preserve">endorsed by a registered party or </w:t>
            </w:r>
            <w:r w:rsidR="00AD4A41">
              <w:t xml:space="preserve">is running under a </w:t>
            </w:r>
            <w:r>
              <w:t>group name not associated with a party.</w:t>
            </w:r>
          </w:p>
          <w:p w14:paraId="109E851A" w14:textId="1376F8AC" w:rsidR="00DC7845" w:rsidRPr="00D5074A" w:rsidRDefault="00DC7845" w:rsidP="00DC7845">
            <w:pPr>
              <w:pStyle w:val="ListParagraph"/>
              <w:numPr>
                <w:ilvl w:val="0"/>
                <w:numId w:val="1"/>
              </w:numPr>
            </w:pPr>
            <w:r w:rsidRPr="00D5074A">
              <w:t xml:space="preserve">An attestation that </w:t>
            </w:r>
            <w:r w:rsidR="001A5218">
              <w:t xml:space="preserve">a </w:t>
            </w:r>
            <w:r w:rsidRPr="00D5074A">
              <w:t>candidate has completed the proposed mandatory pre-election training module.</w:t>
            </w:r>
            <w:r w:rsidR="001A5218">
              <w:t xml:space="preserve"> (does not apply to incumbent councillors).</w:t>
            </w:r>
          </w:p>
          <w:p w14:paraId="22A01267" w14:textId="77777777" w:rsidR="00DC7845" w:rsidRDefault="00DC7845" w:rsidP="00DC7845"/>
          <w:p w14:paraId="791E7ECE" w14:textId="27FFCB73" w:rsidR="00DC7845" w:rsidRDefault="00DC7845" w:rsidP="00DC7845">
            <w:r>
              <w:t xml:space="preserve">A notice of nomination must also be signed by at least 30 electors or 1% of electors in the municipal area (whichever is smaller). Currently a notice </w:t>
            </w:r>
            <w:r w:rsidR="007C384D">
              <w:t xml:space="preserve">of </w:t>
            </w:r>
            <w:r>
              <w:t>nomination must be signed by only two electors.</w:t>
            </w:r>
          </w:p>
          <w:p w14:paraId="052E6930" w14:textId="04ECF967" w:rsidR="00DC7845" w:rsidRPr="00233C59" w:rsidRDefault="00DC7845" w:rsidP="00DC7845"/>
        </w:tc>
      </w:tr>
      <w:tr w:rsidR="00DC7845" w14:paraId="6B64608C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127931CA" w14:textId="77777777" w:rsidR="00DC7845" w:rsidRDefault="00DC7845" w:rsidP="0025733B"/>
        </w:tc>
        <w:tc>
          <w:tcPr>
            <w:tcW w:w="7360" w:type="dxa"/>
          </w:tcPr>
          <w:p w14:paraId="45DCDD80" w14:textId="05795DE3" w:rsidR="00DC7845" w:rsidRDefault="00DC7845" w:rsidP="00DC7845">
            <w:r>
              <w:t>Requires the TEC to publish and</w:t>
            </w:r>
            <w:r w:rsidR="007C384D">
              <w:t xml:space="preserve"> </w:t>
            </w:r>
            <w:r>
              <w:t xml:space="preserve">distribute </w:t>
            </w:r>
            <w:r w:rsidR="00AD4A41">
              <w:t xml:space="preserve">a </w:t>
            </w:r>
            <w:r>
              <w:t>candidate information package. This is currently done</w:t>
            </w:r>
            <w:r w:rsidR="007C384D">
              <w:t xml:space="preserve"> as a matter of convention</w:t>
            </w:r>
            <w:r>
              <w:t xml:space="preserve"> and is </w:t>
            </w:r>
            <w:r w:rsidRPr="001051FA">
              <w:t>the primary way electors become aware of the range of candidates, their reasons for seeking election, views and propositions.</w:t>
            </w:r>
            <w:r>
              <w:t xml:space="preserve"> However, this is currently not a part of the </w:t>
            </w:r>
            <w:r w:rsidR="007C384D">
              <w:t xml:space="preserve">formal </w:t>
            </w:r>
            <w:r>
              <w:t>legislative framework.</w:t>
            </w:r>
          </w:p>
          <w:p w14:paraId="0456DE95" w14:textId="77777777" w:rsidR="00DC7845" w:rsidRDefault="00DC7845" w:rsidP="00DC7845"/>
          <w:p w14:paraId="74C8C2EA" w14:textId="1AA50193" w:rsidR="00DC7845" w:rsidRDefault="00DC7845" w:rsidP="00DC7845">
            <w:r>
              <w:t>At a minimum, this will include for each candidate - the candidate</w:t>
            </w:r>
            <w:r w:rsidR="006D7760">
              <w:t>’</w:t>
            </w:r>
            <w:r>
              <w:t>s name</w:t>
            </w:r>
            <w:r w:rsidR="001B2450">
              <w:t>,</w:t>
            </w:r>
            <w:r>
              <w:t xml:space="preserve"> a personal statement</w:t>
            </w:r>
            <w:r w:rsidR="001B2450">
              <w:t xml:space="preserve"> (if provided)</w:t>
            </w:r>
            <w:r>
              <w:t xml:space="preserve">, and whether the candidate is endorsed by a registered party, running under a group name or </w:t>
            </w:r>
            <w:r w:rsidR="00AD4A41">
              <w:t xml:space="preserve">is </w:t>
            </w:r>
            <w:r>
              <w:t>an independent candidate. This information is gathered as part of the notice of nomination.</w:t>
            </w:r>
          </w:p>
          <w:p w14:paraId="64F6CEB2" w14:textId="4E9D1288" w:rsidR="00DC7845" w:rsidRPr="00BA196D" w:rsidRDefault="00DC7845" w:rsidP="00DC7845"/>
        </w:tc>
      </w:tr>
      <w:tr w:rsidR="00873E7A" w14:paraId="6FAA3A3D" w14:textId="77777777" w:rsidTr="0025733B">
        <w:trPr>
          <w:trHeight w:val="287"/>
        </w:trPr>
        <w:tc>
          <w:tcPr>
            <w:tcW w:w="2133" w:type="dxa"/>
            <w:vAlign w:val="center"/>
          </w:tcPr>
          <w:p w14:paraId="200DF1C6" w14:textId="0AF47D94" w:rsidR="00873E7A" w:rsidRDefault="00873E7A" w:rsidP="0025733B">
            <w:r>
              <w:t>PART 8 - BALLOTS</w:t>
            </w:r>
          </w:p>
        </w:tc>
        <w:tc>
          <w:tcPr>
            <w:tcW w:w="7360" w:type="dxa"/>
          </w:tcPr>
          <w:p w14:paraId="6B63EEDE" w14:textId="7EB0FD7B" w:rsidR="00873E7A" w:rsidRDefault="003F4734" w:rsidP="00DC7845">
            <w:r>
              <w:t xml:space="preserve">Provides guidance around ballot material, and provisions on issuing, completing and returning ballots based on various election methods enabled under Part 6. </w:t>
            </w:r>
          </w:p>
          <w:p w14:paraId="1BF85722" w14:textId="6BBDD98F" w:rsidR="003F4734" w:rsidRDefault="003F4734" w:rsidP="00DC7845"/>
          <w:p w14:paraId="0A295B8F" w14:textId="70344BAB" w:rsidR="00671D15" w:rsidRPr="00BA196D" w:rsidRDefault="00671D15" w:rsidP="00DC7845"/>
        </w:tc>
      </w:tr>
      <w:tr w:rsidR="004F65A3" w14:paraId="26809412" w14:textId="77777777" w:rsidTr="0025733B">
        <w:trPr>
          <w:trHeight w:val="287"/>
        </w:trPr>
        <w:tc>
          <w:tcPr>
            <w:tcW w:w="2133" w:type="dxa"/>
            <w:vMerge w:val="restart"/>
            <w:vAlign w:val="center"/>
          </w:tcPr>
          <w:p w14:paraId="6722F6F9" w14:textId="14541C0F" w:rsidR="004F65A3" w:rsidRDefault="004F65A3" w:rsidP="0025733B">
            <w:r>
              <w:t>PART 10 – ALTERNATIVE VOTING PROCEDURES</w:t>
            </w:r>
          </w:p>
        </w:tc>
        <w:tc>
          <w:tcPr>
            <w:tcW w:w="7360" w:type="dxa"/>
          </w:tcPr>
          <w:p w14:paraId="76BA5AF8" w14:textId="54DB86F5" w:rsidR="004F65A3" w:rsidRDefault="004F65A3" w:rsidP="00DC7845">
            <w:r>
              <w:t>This is a broad Part which allows the Electoral Commission to approve and deliver alternative voting procedures for classes of electors who face barriers to traditional means of voting.</w:t>
            </w:r>
          </w:p>
          <w:p w14:paraId="7DCBDF5C" w14:textId="109DEF6F" w:rsidR="004F65A3" w:rsidRDefault="004F65A3" w:rsidP="00DC7845">
            <w:r>
              <w:t xml:space="preserve">This </w:t>
            </w:r>
            <w:proofErr w:type="gramStart"/>
            <w:r>
              <w:t>includes, but</w:t>
            </w:r>
            <w:proofErr w:type="gramEnd"/>
            <w:r>
              <w:t xml:space="preserve"> is not limited to </w:t>
            </w:r>
            <w:r w:rsidRPr="00613E6F">
              <w:t>electronic voting</w:t>
            </w:r>
            <w:r>
              <w:t xml:space="preserve"> </w:t>
            </w:r>
            <w:r w:rsidRPr="00613E6F">
              <w:t>methods such as online voting or voting by</w:t>
            </w:r>
            <w:r>
              <w:t xml:space="preserve"> </w:t>
            </w:r>
            <w:r w:rsidRPr="00613E6F">
              <w:t>telephone</w:t>
            </w:r>
            <w:r>
              <w:t>.</w:t>
            </w:r>
          </w:p>
          <w:p w14:paraId="6CB2C282" w14:textId="77777777" w:rsidR="004F65A3" w:rsidRDefault="004F65A3" w:rsidP="00DC7845"/>
          <w:p w14:paraId="708340AE" w14:textId="77777777" w:rsidR="004F65A3" w:rsidRDefault="004F65A3" w:rsidP="00DC7845">
            <w:r>
              <w:t xml:space="preserve">This supports universal franchise principles, consistent with recent reforms to the State </w:t>
            </w:r>
            <w:r>
              <w:rPr>
                <w:i/>
                <w:iCs/>
              </w:rPr>
              <w:t>Electoral Act 2004</w:t>
            </w:r>
            <w:r>
              <w:t>.</w:t>
            </w:r>
          </w:p>
          <w:p w14:paraId="4484676D" w14:textId="5B455BE2" w:rsidR="004F65A3" w:rsidRPr="00613E6F" w:rsidRDefault="004F65A3" w:rsidP="00DC7845"/>
        </w:tc>
      </w:tr>
      <w:tr w:rsidR="004F65A3" w14:paraId="4E8F2367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42398B39" w14:textId="77777777" w:rsidR="004F65A3" w:rsidRDefault="004F65A3" w:rsidP="0025733B"/>
        </w:tc>
        <w:tc>
          <w:tcPr>
            <w:tcW w:w="7360" w:type="dxa"/>
          </w:tcPr>
          <w:p w14:paraId="12770FAE" w14:textId="2FB6498A" w:rsidR="004F65A3" w:rsidRPr="004F65A3" w:rsidRDefault="004F65A3" w:rsidP="00DC7845">
            <w:r>
              <w:t xml:space="preserve">Requires the TEC to approve procedures </w:t>
            </w:r>
            <w:r w:rsidR="7106213D">
              <w:t>which enable and support accessible voting practices for</w:t>
            </w:r>
            <w:r>
              <w:t xml:space="preserve"> electors with additional barriers to participation.</w:t>
            </w:r>
          </w:p>
          <w:p w14:paraId="52932B10" w14:textId="77777777" w:rsidR="004F65A3" w:rsidRPr="004F65A3" w:rsidRDefault="004F65A3" w:rsidP="00DC7845"/>
          <w:p w14:paraId="02EE0497" w14:textId="77777777" w:rsidR="004F65A3" w:rsidRPr="004F65A3" w:rsidRDefault="004F65A3" w:rsidP="00DC7845">
            <w:r w:rsidRPr="004F65A3">
              <w:t>The TEC is also required to publish after each election a statement on the implementation of the accessibility principles.</w:t>
            </w:r>
          </w:p>
          <w:p w14:paraId="349EE39F" w14:textId="577D0FF3" w:rsidR="004F65A3" w:rsidRPr="004F65A3" w:rsidRDefault="004F65A3" w:rsidP="00DC7845"/>
        </w:tc>
      </w:tr>
      <w:tr w:rsidR="00873E7A" w14:paraId="72FDC4AA" w14:textId="77777777" w:rsidTr="0025733B">
        <w:trPr>
          <w:trHeight w:val="287"/>
        </w:trPr>
        <w:tc>
          <w:tcPr>
            <w:tcW w:w="2133" w:type="dxa"/>
            <w:vAlign w:val="center"/>
          </w:tcPr>
          <w:p w14:paraId="5486C91A" w14:textId="0301BF90" w:rsidR="00873E7A" w:rsidRDefault="00873E7A" w:rsidP="0025733B">
            <w:r w:rsidRPr="00613E6F">
              <w:t>PART 13 – OFFENCES RELATING TO ELECTIONS</w:t>
            </w:r>
          </w:p>
        </w:tc>
        <w:tc>
          <w:tcPr>
            <w:tcW w:w="7360" w:type="dxa"/>
          </w:tcPr>
          <w:p w14:paraId="6C7FF219" w14:textId="77777777" w:rsidR="00873E7A" w:rsidRDefault="00873E7A" w:rsidP="00DC7845">
            <w:r>
              <w:t xml:space="preserve">Introduces a range of offences related to polling and conduct at polling places consistent with the </w:t>
            </w:r>
            <w:r w:rsidRPr="00613E6F">
              <w:rPr>
                <w:i/>
                <w:iCs/>
              </w:rPr>
              <w:t>Electoral Act 2004</w:t>
            </w:r>
            <w:r>
              <w:t xml:space="preserve">, while also retaining offences relating to elections under the LG Act. </w:t>
            </w:r>
          </w:p>
          <w:p w14:paraId="706ADA86" w14:textId="77777777" w:rsidR="00873E7A" w:rsidRDefault="00873E7A" w:rsidP="00DC7845"/>
          <w:p w14:paraId="2A08349D" w14:textId="579ECE21" w:rsidR="00873E7A" w:rsidRDefault="00873E7A" w:rsidP="00DC7845">
            <w:r>
              <w:t>It also contains offen</w:t>
            </w:r>
            <w:r w:rsidR="00F6666F">
              <w:t>c</w:t>
            </w:r>
            <w:r>
              <w:t>es relating to electoral bribery and treating and intimidation.</w:t>
            </w:r>
          </w:p>
          <w:p w14:paraId="46101B8D" w14:textId="546C0D3C" w:rsidR="00873E7A" w:rsidRPr="00BA196D" w:rsidRDefault="00873E7A" w:rsidP="00DC7845">
            <w:r>
              <w:t xml:space="preserve">          </w:t>
            </w:r>
          </w:p>
        </w:tc>
      </w:tr>
      <w:tr w:rsidR="00873E7A" w14:paraId="04DF0D39" w14:textId="77777777" w:rsidTr="0025733B">
        <w:trPr>
          <w:trHeight w:val="287"/>
        </w:trPr>
        <w:tc>
          <w:tcPr>
            <w:tcW w:w="2133" w:type="dxa"/>
            <w:vAlign w:val="center"/>
          </w:tcPr>
          <w:p w14:paraId="3B58B521" w14:textId="693243FA" w:rsidR="00873E7A" w:rsidRDefault="00873E7A" w:rsidP="0025733B">
            <w:r>
              <w:t xml:space="preserve">PART 14 </w:t>
            </w:r>
            <w:r w:rsidRPr="00613E6F">
              <w:t>– INVESTIGATORY POWERS</w:t>
            </w:r>
          </w:p>
        </w:tc>
        <w:tc>
          <w:tcPr>
            <w:tcW w:w="7360" w:type="dxa"/>
          </w:tcPr>
          <w:p w14:paraId="4069F66F" w14:textId="6577A1C9" w:rsidR="00873E7A" w:rsidRDefault="00873E7A" w:rsidP="00DC7845">
            <w:r>
              <w:t xml:space="preserve">Provides standard investigatory powers for the Electoral Commissioner (or authorised officers) – consistent again with the </w:t>
            </w:r>
            <w:r w:rsidRPr="008652EC">
              <w:rPr>
                <w:i/>
                <w:iCs/>
              </w:rPr>
              <w:t>Electoral Act 2004</w:t>
            </w:r>
            <w:r>
              <w:rPr>
                <w:i/>
                <w:iCs/>
              </w:rPr>
              <w:t xml:space="preserve">. </w:t>
            </w:r>
            <w:r>
              <w:t>This includes:</w:t>
            </w:r>
          </w:p>
          <w:p w14:paraId="2C1632F1" w14:textId="77777777" w:rsidR="00873E7A" w:rsidRPr="008652EC" w:rsidRDefault="00873E7A" w:rsidP="00DC7845">
            <w:pPr>
              <w:pStyle w:val="ListParagraph"/>
              <w:numPr>
                <w:ilvl w:val="0"/>
                <w:numId w:val="2"/>
              </w:numPr>
            </w:pPr>
            <w:r w:rsidRPr="008652EC">
              <w:t>Power to enter and inspect places</w:t>
            </w:r>
          </w:p>
          <w:p w14:paraId="5F3DE199" w14:textId="7801AE32" w:rsidR="00873E7A" w:rsidRPr="00D5074A" w:rsidRDefault="00873E7A" w:rsidP="00DC7845">
            <w:pPr>
              <w:pStyle w:val="ListParagraph"/>
              <w:numPr>
                <w:ilvl w:val="0"/>
                <w:numId w:val="2"/>
              </w:numPr>
            </w:pPr>
            <w:r w:rsidRPr="00D5074A">
              <w:t>Power to require production of documents or</w:t>
            </w:r>
            <w:r w:rsidR="00D5074A">
              <w:t xml:space="preserve"> i</w:t>
            </w:r>
            <w:r w:rsidRPr="00D5074A">
              <w:t>nformation</w:t>
            </w:r>
          </w:p>
          <w:p w14:paraId="6076184C" w14:textId="77777777" w:rsidR="00873E7A" w:rsidRDefault="00873E7A" w:rsidP="00DC7845">
            <w:pPr>
              <w:pStyle w:val="ListParagraph"/>
              <w:numPr>
                <w:ilvl w:val="0"/>
                <w:numId w:val="2"/>
              </w:numPr>
            </w:pPr>
            <w:r w:rsidRPr="008652EC">
              <w:t>Power to seize and detain</w:t>
            </w:r>
          </w:p>
          <w:p w14:paraId="0274462E" w14:textId="77777777" w:rsidR="00873E7A" w:rsidRDefault="00873E7A" w:rsidP="00DC7845">
            <w:pPr>
              <w:pStyle w:val="ListParagraph"/>
              <w:numPr>
                <w:ilvl w:val="0"/>
                <w:numId w:val="2"/>
              </w:numPr>
            </w:pPr>
            <w:r w:rsidRPr="008652EC">
              <w:t>Power to require attendance and questioning</w:t>
            </w:r>
          </w:p>
          <w:p w14:paraId="360F528F" w14:textId="42A6E750" w:rsidR="00AD4A41" w:rsidRPr="008652EC" w:rsidRDefault="00AD4A41" w:rsidP="00AD4A41">
            <w:pPr>
              <w:pStyle w:val="ListParagraph"/>
            </w:pPr>
          </w:p>
        </w:tc>
      </w:tr>
      <w:tr w:rsidR="00DC7845" w14:paraId="06E89D8E" w14:textId="77777777" w:rsidTr="0025733B">
        <w:trPr>
          <w:trHeight w:val="287"/>
        </w:trPr>
        <w:tc>
          <w:tcPr>
            <w:tcW w:w="2133" w:type="dxa"/>
            <w:vMerge w:val="restart"/>
            <w:vAlign w:val="center"/>
          </w:tcPr>
          <w:p w14:paraId="5F6B55D3" w14:textId="77777777" w:rsidR="00DC7845" w:rsidRPr="008652EC" w:rsidRDefault="00DC7845" w:rsidP="0025733B">
            <w:r w:rsidRPr="008652EC">
              <w:t>PART 15 – ELECTORAL ADVERTISING AND</w:t>
            </w:r>
          </w:p>
          <w:p w14:paraId="00B1246A" w14:textId="33C86901" w:rsidR="00DC7845" w:rsidRDefault="00DC7845" w:rsidP="0025733B">
            <w:r w:rsidRPr="008652EC">
              <w:t>PUBLICATION OF ELECTORAL MATTER</w:t>
            </w:r>
          </w:p>
        </w:tc>
        <w:tc>
          <w:tcPr>
            <w:tcW w:w="7360" w:type="dxa"/>
          </w:tcPr>
          <w:p w14:paraId="52126908" w14:textId="77777777" w:rsidR="00DC7845" w:rsidRDefault="00DC7845" w:rsidP="00DC7845">
            <w:r w:rsidRPr="005B04CD">
              <w:t xml:space="preserve">Introduces new prohibitions on the dissemination of misleading and deceptive statements (corresponding to the Electoral Act Review Final Report and the amended section 197 of the </w:t>
            </w:r>
            <w:r w:rsidRPr="005B04CD">
              <w:rPr>
                <w:i/>
                <w:iCs/>
              </w:rPr>
              <w:t>Electoral Act 2004</w:t>
            </w:r>
            <w:r w:rsidRPr="005B04CD">
              <w:t>).</w:t>
            </w:r>
          </w:p>
          <w:p w14:paraId="61F1737E" w14:textId="2DC85BD4" w:rsidR="00263C24" w:rsidRPr="005B04CD" w:rsidRDefault="00263C24" w:rsidP="00DC7845"/>
        </w:tc>
      </w:tr>
      <w:tr w:rsidR="00DC7845" w14:paraId="714DDC57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3EC8EB49" w14:textId="77777777" w:rsidR="00DC7845" w:rsidRPr="008652EC" w:rsidRDefault="00DC7845" w:rsidP="0025733B"/>
        </w:tc>
        <w:tc>
          <w:tcPr>
            <w:tcW w:w="7360" w:type="dxa"/>
          </w:tcPr>
          <w:p w14:paraId="0005FE3E" w14:textId="00FAD8BA" w:rsidR="00DC7845" w:rsidRDefault="00DC7845" w:rsidP="00DC7845">
            <w:r w:rsidRPr="005B04CD">
              <w:t>Repeals an existing provision that prohibits the publication of a candidate’s name or image without their consent.</w:t>
            </w:r>
            <w:r w:rsidR="00B11FCE">
              <w:t xml:space="preserve"> </w:t>
            </w:r>
            <w:r>
              <w:t>This a</w:t>
            </w:r>
            <w:r w:rsidRPr="005B04CD">
              <w:t>ligns local government elections with state and federal practices where no such restriction applies.</w:t>
            </w:r>
          </w:p>
          <w:p w14:paraId="3CF72B88" w14:textId="12F768D8" w:rsidR="00B11FCE" w:rsidRPr="005B04CD" w:rsidRDefault="00B11FCE" w:rsidP="00DC7845"/>
        </w:tc>
      </w:tr>
      <w:tr w:rsidR="00DC7845" w14:paraId="35768B0C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514B83CB" w14:textId="77777777" w:rsidR="00DC7845" w:rsidRPr="008652EC" w:rsidRDefault="00DC7845" w:rsidP="0025733B"/>
        </w:tc>
        <w:tc>
          <w:tcPr>
            <w:tcW w:w="7360" w:type="dxa"/>
          </w:tcPr>
          <w:p w14:paraId="4F870DAB" w14:textId="77777777" w:rsidR="00DC7845" w:rsidRDefault="00DC7845" w:rsidP="00DC7845">
            <w:r w:rsidRPr="005B04CD">
              <w:t>Updates and clarifies what constitutes “electoral advertising” to ensure consistency and legal certainty.</w:t>
            </w:r>
          </w:p>
          <w:p w14:paraId="49F79E4F" w14:textId="77777777" w:rsidR="00DC7845" w:rsidRDefault="00DC7845" w:rsidP="00DC7845"/>
          <w:p w14:paraId="5495CA3A" w14:textId="60A90739" w:rsidR="00DC7845" w:rsidRPr="005B04CD" w:rsidRDefault="00DC7845" w:rsidP="00DC7845">
            <w:r w:rsidRPr="005B04CD">
              <w:t xml:space="preserve">Seeks to align definitions with the </w:t>
            </w:r>
            <w:r w:rsidRPr="005B04CD">
              <w:rPr>
                <w:i/>
                <w:iCs/>
              </w:rPr>
              <w:t>Electoral Act 2004</w:t>
            </w:r>
            <w:r w:rsidRPr="005B04CD">
              <w:t xml:space="preserve"> and reduce ambiguity for candidates and regulators.</w:t>
            </w:r>
          </w:p>
          <w:p w14:paraId="590BD1A5" w14:textId="77777777" w:rsidR="00DC7845" w:rsidRPr="005B04CD" w:rsidRDefault="00DC7845" w:rsidP="00DC7845"/>
        </w:tc>
      </w:tr>
      <w:tr w:rsidR="00DC7845" w14:paraId="359EF690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4724F7F2" w14:textId="77777777" w:rsidR="00DC7845" w:rsidRPr="008652EC" w:rsidRDefault="00DC7845" w:rsidP="0025733B"/>
        </w:tc>
        <w:tc>
          <w:tcPr>
            <w:tcW w:w="7360" w:type="dxa"/>
          </w:tcPr>
          <w:p w14:paraId="587A54BA" w14:textId="0704E7D4" w:rsidR="00DC7845" w:rsidRPr="00DC7845" w:rsidRDefault="00DC7845" w:rsidP="00DC7845">
            <w:r w:rsidRPr="00DC7845">
              <w:t>Requires electoral advertising to include information identifying who authorised the material.</w:t>
            </w:r>
          </w:p>
          <w:p w14:paraId="59FCEBAD" w14:textId="77777777" w:rsidR="00DC7845" w:rsidRPr="00DC7845" w:rsidRDefault="00DC7845" w:rsidP="00DC7845"/>
          <w:p w14:paraId="0B53DDDE" w14:textId="77777777" w:rsidR="00DC7845" w:rsidRDefault="00DC7845" w:rsidP="00DC7845">
            <w:r w:rsidRPr="00DC7845">
              <w:t>Aims to promote transparency and accountability in campaign communications.</w:t>
            </w:r>
          </w:p>
          <w:p w14:paraId="7048D84D" w14:textId="44CF264B" w:rsidR="00DC7845" w:rsidRPr="005B04CD" w:rsidRDefault="00DC7845" w:rsidP="00DC7845"/>
        </w:tc>
      </w:tr>
      <w:tr w:rsidR="004F65A3" w14:paraId="5E2FB8E6" w14:textId="77777777" w:rsidTr="0025733B">
        <w:trPr>
          <w:trHeight w:val="287"/>
        </w:trPr>
        <w:tc>
          <w:tcPr>
            <w:tcW w:w="2133" w:type="dxa"/>
            <w:vMerge w:val="restart"/>
            <w:vAlign w:val="center"/>
          </w:tcPr>
          <w:p w14:paraId="663AC806" w14:textId="6AD120A9" w:rsidR="004F65A3" w:rsidRPr="008652EC" w:rsidRDefault="004F65A3" w:rsidP="0025733B">
            <w:r w:rsidRPr="004F65A3">
              <w:lastRenderedPageBreak/>
              <w:t>PART 16 – ELECTORAL EXPENDITURE</w:t>
            </w:r>
          </w:p>
        </w:tc>
        <w:tc>
          <w:tcPr>
            <w:tcW w:w="7360" w:type="dxa"/>
          </w:tcPr>
          <w:p w14:paraId="7DA68E7C" w14:textId="77777777" w:rsidR="004F65A3" w:rsidRDefault="004F65A3" w:rsidP="004F65A3">
            <w:r w:rsidRPr="005B04CD">
              <w:t>Limits electoral expenditure to the candidate, intending candidate, or their formally nominated agent.</w:t>
            </w:r>
          </w:p>
          <w:p w14:paraId="79B529E6" w14:textId="77777777" w:rsidR="004F65A3" w:rsidRPr="005B04CD" w:rsidRDefault="004F65A3" w:rsidP="004F65A3"/>
          <w:p w14:paraId="21EC00E9" w14:textId="77777777" w:rsidR="004F65A3" w:rsidRDefault="004F65A3" w:rsidP="004F65A3">
            <w:r w:rsidRPr="005B04CD">
              <w:t>Aims to prevent unregulated third-party campaigning and increase transparency.</w:t>
            </w:r>
          </w:p>
          <w:p w14:paraId="78187AE6" w14:textId="36154A53" w:rsidR="004F65A3" w:rsidRPr="005B04CD" w:rsidRDefault="004F65A3" w:rsidP="004F65A3"/>
        </w:tc>
      </w:tr>
      <w:tr w:rsidR="004F65A3" w14:paraId="618B5FBC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27CEBBB9" w14:textId="77777777" w:rsidR="004F65A3" w:rsidRPr="004F65A3" w:rsidRDefault="004F65A3" w:rsidP="0025733B"/>
        </w:tc>
        <w:tc>
          <w:tcPr>
            <w:tcW w:w="7360" w:type="dxa"/>
          </w:tcPr>
          <w:p w14:paraId="7C66137E" w14:textId="77777777" w:rsidR="004F65A3" w:rsidRDefault="004F65A3" w:rsidP="004F65A3">
            <w:r w:rsidRPr="00DC7845">
              <w:t>Replaces current advertising-specific limits with an overall cap on total electoral expenditure.</w:t>
            </w:r>
          </w:p>
          <w:p w14:paraId="7306CE71" w14:textId="77777777" w:rsidR="004F65A3" w:rsidRPr="00DC7845" w:rsidRDefault="004F65A3" w:rsidP="004F65A3"/>
          <w:p w14:paraId="672AC70D" w14:textId="77777777" w:rsidR="004F65A3" w:rsidRDefault="004F65A3" w:rsidP="004F65A3">
            <w:r w:rsidRPr="00DC7845">
              <w:t>Aligns local government elections with Legislative Council spending rules.</w:t>
            </w:r>
          </w:p>
          <w:p w14:paraId="5AC2030D" w14:textId="77777777" w:rsidR="009C21DB" w:rsidRDefault="009C21DB" w:rsidP="004F65A3"/>
          <w:p w14:paraId="5DB4B8B7" w14:textId="7DC5AB59" w:rsidR="009C21DB" w:rsidRDefault="009C21DB" w:rsidP="004F65A3">
            <w:r>
              <w:t>Expenditure caps are as follows:</w:t>
            </w:r>
          </w:p>
          <w:p w14:paraId="2278689E" w14:textId="77777777" w:rsidR="009C21DB" w:rsidRDefault="009C21DB" w:rsidP="004F65A3"/>
          <w:p w14:paraId="60C102F5" w14:textId="4440234A" w:rsidR="00E40490" w:rsidRDefault="00E40490" w:rsidP="00E40490">
            <w:pPr>
              <w:pStyle w:val="ListParagraph"/>
              <w:numPr>
                <w:ilvl w:val="0"/>
                <w:numId w:val="5"/>
              </w:numPr>
            </w:pPr>
            <w:r w:rsidRPr="00E40490">
              <w:t>for a candidate for election to the</w:t>
            </w:r>
            <w:r>
              <w:t xml:space="preserve"> </w:t>
            </w:r>
            <w:r w:rsidRPr="00E40490">
              <w:t>Hobart City Council, Clarence</w:t>
            </w:r>
            <w:r>
              <w:t xml:space="preserve"> </w:t>
            </w:r>
            <w:r w:rsidRPr="00E40490">
              <w:t>City Council, Glenorchy City</w:t>
            </w:r>
            <w:r>
              <w:t xml:space="preserve"> </w:t>
            </w:r>
            <w:r w:rsidRPr="00E40490">
              <w:t>Council, Kingborough Council or</w:t>
            </w:r>
            <w:r>
              <w:t xml:space="preserve"> </w:t>
            </w:r>
            <w:r w:rsidRPr="00E40490">
              <w:t>Launceston City Council –</w:t>
            </w:r>
            <w:r>
              <w:t xml:space="preserve"> </w:t>
            </w:r>
            <w:r w:rsidRPr="00E40490">
              <w:t>$16 000 plus the applicable</w:t>
            </w:r>
            <w:r>
              <w:t xml:space="preserve"> </w:t>
            </w:r>
            <w:r w:rsidRPr="00E40490">
              <w:t>annual increment for that</w:t>
            </w:r>
            <w:r>
              <w:t xml:space="preserve"> </w:t>
            </w:r>
            <w:r w:rsidRPr="00E40490">
              <w:t>financial year</w:t>
            </w:r>
            <w:r>
              <w:t>.</w:t>
            </w:r>
          </w:p>
          <w:p w14:paraId="22996F86" w14:textId="5158F8CB" w:rsidR="00E40490" w:rsidRDefault="00E40490" w:rsidP="00E40490">
            <w:pPr>
              <w:pStyle w:val="ListParagraph"/>
              <w:numPr>
                <w:ilvl w:val="0"/>
                <w:numId w:val="5"/>
              </w:numPr>
            </w:pPr>
            <w:r>
              <w:t xml:space="preserve">for a candidate for election to any other </w:t>
            </w:r>
            <w:r w:rsidR="003925C9">
              <w:t>council –</w:t>
            </w:r>
            <w:r>
              <w:t xml:space="preserve"> $10 000 plus the applicable annual increment for that financial year.</w:t>
            </w:r>
          </w:p>
          <w:p w14:paraId="030DC51F" w14:textId="77777777" w:rsidR="00BB46E8" w:rsidRDefault="00BB46E8" w:rsidP="00BB46E8"/>
          <w:p w14:paraId="3678ABE4" w14:textId="5AA45ABD" w:rsidR="00BB46E8" w:rsidRPr="00DC7845" w:rsidRDefault="00BB46E8" w:rsidP="00BB46E8">
            <w:r>
              <w:t xml:space="preserve">The annual increment is a cumulative increase to this limit of $500 every year for the councils referred to in the </w:t>
            </w:r>
            <w:r w:rsidR="00D91F8B">
              <w:t>first</w:t>
            </w:r>
            <w:r>
              <w:t xml:space="preserve"> </w:t>
            </w:r>
            <w:r w:rsidR="00D91F8B">
              <w:t>bullet</w:t>
            </w:r>
            <w:r>
              <w:t xml:space="preserve"> point, and $300 for all other councils, applying </w:t>
            </w:r>
            <w:r w:rsidR="007015DA">
              <w:t>annually from 1 July 2027.</w:t>
            </w:r>
          </w:p>
          <w:p w14:paraId="41046B0B" w14:textId="77777777" w:rsidR="004F65A3" w:rsidRPr="005B04CD" w:rsidRDefault="004F65A3" w:rsidP="004F65A3"/>
        </w:tc>
      </w:tr>
      <w:tr w:rsidR="004F65A3" w14:paraId="26990B96" w14:textId="77777777" w:rsidTr="0025733B">
        <w:trPr>
          <w:trHeight w:val="287"/>
        </w:trPr>
        <w:tc>
          <w:tcPr>
            <w:tcW w:w="2133" w:type="dxa"/>
            <w:vMerge/>
            <w:vAlign w:val="center"/>
          </w:tcPr>
          <w:p w14:paraId="52901478" w14:textId="77777777" w:rsidR="004F65A3" w:rsidRPr="004F65A3" w:rsidRDefault="004F65A3" w:rsidP="0025733B"/>
        </w:tc>
        <w:tc>
          <w:tcPr>
            <w:tcW w:w="7360" w:type="dxa"/>
          </w:tcPr>
          <w:p w14:paraId="6F231D41" w14:textId="77777777" w:rsidR="004F65A3" w:rsidRDefault="004F65A3" w:rsidP="004F65A3">
            <w:r w:rsidRPr="00DC7845">
              <w:t>Requires candidates to report not only their own spending but also any expenditure made on their behalf.</w:t>
            </w:r>
          </w:p>
          <w:p w14:paraId="31263728" w14:textId="77777777" w:rsidR="004F65A3" w:rsidRPr="00DC7845" w:rsidRDefault="004F65A3" w:rsidP="004F65A3"/>
          <w:p w14:paraId="221ECCC7" w14:textId="77777777" w:rsidR="004F65A3" w:rsidRPr="00DC7845" w:rsidRDefault="004F65A3" w:rsidP="004F65A3">
            <w:r w:rsidRPr="00DC7845">
              <w:t>Confirms that shared advertising must be fully attributed to each candidate featured.</w:t>
            </w:r>
          </w:p>
          <w:p w14:paraId="7C6E17EE" w14:textId="77777777" w:rsidR="004F65A3" w:rsidRPr="005B04CD" w:rsidRDefault="004F65A3" w:rsidP="004F65A3"/>
        </w:tc>
      </w:tr>
      <w:tr w:rsidR="004F65A3" w14:paraId="45D53659" w14:textId="77777777" w:rsidTr="0025733B">
        <w:trPr>
          <w:trHeight w:val="1592"/>
        </w:trPr>
        <w:tc>
          <w:tcPr>
            <w:tcW w:w="2133" w:type="dxa"/>
            <w:vMerge/>
            <w:vAlign w:val="center"/>
          </w:tcPr>
          <w:p w14:paraId="289C3840" w14:textId="77777777" w:rsidR="004F65A3" w:rsidRPr="004F65A3" w:rsidRDefault="004F65A3" w:rsidP="0025733B"/>
        </w:tc>
        <w:tc>
          <w:tcPr>
            <w:tcW w:w="7360" w:type="dxa"/>
          </w:tcPr>
          <w:p w14:paraId="1EFB029D" w14:textId="50D143C4" w:rsidR="004F65A3" w:rsidRPr="00DC7845" w:rsidRDefault="004F65A3" w:rsidP="004F65A3">
            <w:r w:rsidRPr="00DC7845">
              <w:t>Prevents third parties from incurring expenditure on behalf of a registered party to influence election outcomes</w:t>
            </w:r>
            <w:r w:rsidR="00D91F8B">
              <w:t xml:space="preserve"> (</w:t>
            </w:r>
            <w:r w:rsidRPr="00DC7845">
              <w:t>strengthen</w:t>
            </w:r>
            <w:r w:rsidR="00D91F8B">
              <w:t>s</w:t>
            </w:r>
            <w:r w:rsidRPr="00DC7845">
              <w:t xml:space="preserve"> transparency and restrict</w:t>
            </w:r>
            <w:r w:rsidR="00D91F8B">
              <w:t>s</w:t>
            </w:r>
            <w:r w:rsidRPr="00DC7845">
              <w:t xml:space="preserve"> indirect or unregulated campaign spending</w:t>
            </w:r>
            <w:r w:rsidR="00D91F8B">
              <w:t>).</w:t>
            </w:r>
          </w:p>
          <w:p w14:paraId="0C26C160" w14:textId="77777777" w:rsidR="004F65A3" w:rsidRPr="005B04CD" w:rsidRDefault="004F65A3" w:rsidP="004F65A3"/>
        </w:tc>
      </w:tr>
      <w:tr w:rsidR="004F65A3" w14:paraId="7F860D04" w14:textId="77777777" w:rsidTr="0025733B">
        <w:trPr>
          <w:trHeight w:val="287"/>
        </w:trPr>
        <w:tc>
          <w:tcPr>
            <w:tcW w:w="2133" w:type="dxa"/>
            <w:vMerge w:val="restart"/>
            <w:vAlign w:val="center"/>
          </w:tcPr>
          <w:p w14:paraId="6AF416F7" w14:textId="1825E0DA" w:rsidR="004F65A3" w:rsidRPr="004F65A3" w:rsidRDefault="004F65A3" w:rsidP="0025733B">
            <w:r w:rsidRPr="004F65A3">
              <w:t>PART 17 – GIFTS AND DONATIONS</w:t>
            </w:r>
          </w:p>
        </w:tc>
        <w:tc>
          <w:tcPr>
            <w:tcW w:w="7360" w:type="dxa"/>
          </w:tcPr>
          <w:p w14:paraId="26C51104" w14:textId="40FD1CD2" w:rsidR="004F65A3" w:rsidRDefault="004F65A3" w:rsidP="004F65A3">
            <w:r w:rsidRPr="00DC7845">
              <w:t xml:space="preserve">Extends </w:t>
            </w:r>
            <w:r w:rsidR="00FE1B25">
              <w:t xml:space="preserve">gift and </w:t>
            </w:r>
            <w:r w:rsidRPr="00DC7845">
              <w:t>donation disclosure obligations to all candidates.</w:t>
            </w:r>
          </w:p>
          <w:p w14:paraId="05B6EF96" w14:textId="473A11E2" w:rsidR="004F65A3" w:rsidRPr="00DC7845" w:rsidRDefault="004F65A3" w:rsidP="004F65A3">
            <w:r w:rsidRPr="00DC7845">
              <w:t>Maintains the $50 threshold and introduces disclosure via the TEC website</w:t>
            </w:r>
            <w:r w:rsidR="000A7E00">
              <w:t xml:space="preserve"> during the election period</w:t>
            </w:r>
            <w:r w:rsidRPr="00DC7845">
              <w:t>.</w:t>
            </w:r>
          </w:p>
          <w:p w14:paraId="3121FA24" w14:textId="77777777" w:rsidR="004F65A3" w:rsidRPr="005B04CD" w:rsidRDefault="004F65A3" w:rsidP="004F65A3"/>
        </w:tc>
      </w:tr>
      <w:tr w:rsidR="004F65A3" w14:paraId="6E0248EC" w14:textId="77777777" w:rsidTr="00C31F4D">
        <w:trPr>
          <w:trHeight w:val="287"/>
        </w:trPr>
        <w:tc>
          <w:tcPr>
            <w:tcW w:w="2133" w:type="dxa"/>
            <w:vMerge/>
          </w:tcPr>
          <w:p w14:paraId="144BEBD5" w14:textId="77777777" w:rsidR="004F65A3" w:rsidRPr="004F65A3" w:rsidRDefault="004F65A3" w:rsidP="004F65A3"/>
        </w:tc>
        <w:tc>
          <w:tcPr>
            <w:tcW w:w="7360" w:type="dxa"/>
          </w:tcPr>
          <w:p w14:paraId="4BE78836" w14:textId="4217CC5B" w:rsidR="004F65A3" w:rsidRPr="00DC7845" w:rsidRDefault="004F65A3" w:rsidP="004F65A3">
            <w:r w:rsidRPr="00DC7845">
              <w:t>Prohibits indirect donations through intermediaries or third parties</w:t>
            </w:r>
            <w:r w:rsidR="00390653">
              <w:t xml:space="preserve"> (ensuring </w:t>
            </w:r>
            <w:r w:rsidRPr="00DC7845">
              <w:t>all electoral donations are transparent and reported through candidates</w:t>
            </w:r>
            <w:r w:rsidR="00390653">
              <w:t>).</w:t>
            </w:r>
          </w:p>
          <w:p w14:paraId="3FA3124F" w14:textId="77777777" w:rsidR="004F65A3" w:rsidRPr="005B04CD" w:rsidRDefault="004F65A3" w:rsidP="004F65A3"/>
        </w:tc>
      </w:tr>
    </w:tbl>
    <w:p w14:paraId="286DEF89" w14:textId="5A38DA43" w:rsidR="00ED6BFD" w:rsidRDefault="00ED6BFD">
      <w:pPr>
        <w:spacing w:after="160" w:line="278" w:lineRule="auto"/>
      </w:pPr>
    </w:p>
    <w:p w14:paraId="5925CB84" w14:textId="51D36D77" w:rsidR="00FF09AF" w:rsidRPr="00F81CCC" w:rsidRDefault="00FF09AF" w:rsidP="00C363C6">
      <w:pPr>
        <w:pStyle w:val="Heading1"/>
        <w:rPr>
          <w:i/>
          <w:iCs/>
        </w:rPr>
      </w:pPr>
      <w:bookmarkStart w:id="2" w:name="_Toc213158131"/>
      <w:r w:rsidRPr="00F81CCC">
        <w:rPr>
          <w:i/>
          <w:iCs/>
        </w:rPr>
        <w:lastRenderedPageBreak/>
        <w:t xml:space="preserve">Local Government Amendment </w:t>
      </w:r>
      <w:r w:rsidR="00363939">
        <w:rPr>
          <w:i/>
          <w:iCs/>
        </w:rPr>
        <w:t>(</w:t>
      </w:r>
      <w:r w:rsidRPr="00F81CCC">
        <w:rPr>
          <w:i/>
          <w:iCs/>
        </w:rPr>
        <w:t>Electoral</w:t>
      </w:r>
      <w:r w:rsidR="00E53506">
        <w:rPr>
          <w:i/>
          <w:iCs/>
        </w:rPr>
        <w:t xml:space="preserve"> Reforms</w:t>
      </w:r>
      <w:r w:rsidRPr="00F81CCC">
        <w:rPr>
          <w:i/>
          <w:iCs/>
        </w:rPr>
        <w:t>) Bill 2025</w:t>
      </w:r>
      <w:bookmarkEnd w:id="2"/>
    </w:p>
    <w:p w14:paraId="01A1F328" w14:textId="5C7CD120" w:rsidR="00ED6BFD" w:rsidRPr="00086A4D" w:rsidRDefault="00ED6BFD" w:rsidP="00C363C6">
      <w:pPr>
        <w:pStyle w:val="Heading2"/>
      </w:pPr>
      <w:bookmarkStart w:id="3" w:name="_Toc213158132"/>
      <w:r w:rsidRPr="39AFE1D4">
        <w:t>Overview of key reforms</w:t>
      </w:r>
      <w:r w:rsidR="00C363C6">
        <w:t xml:space="preserve"> by Part</w:t>
      </w:r>
      <w:bookmarkEnd w:id="3"/>
    </w:p>
    <w:p w14:paraId="40F3A752" w14:textId="77777777" w:rsidR="00BA196D" w:rsidRDefault="00BA196D" w:rsidP="00DC7845"/>
    <w:tbl>
      <w:tblPr>
        <w:tblStyle w:val="TableGrid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7360"/>
      </w:tblGrid>
      <w:tr w:rsidR="00ED6BFD" w:rsidRPr="00BA196D" w14:paraId="29C63D2A" w14:textId="77777777" w:rsidTr="000B5A5E">
        <w:trPr>
          <w:trHeight w:val="287"/>
          <w:tblHeader/>
        </w:trPr>
        <w:tc>
          <w:tcPr>
            <w:tcW w:w="2133" w:type="dxa"/>
            <w:shd w:val="clear" w:color="auto" w:fill="A5C9EB" w:themeFill="text2" w:themeFillTint="40"/>
          </w:tcPr>
          <w:p w14:paraId="5235D31B" w14:textId="77777777" w:rsidR="00ED6BFD" w:rsidRPr="00BA196D" w:rsidRDefault="00ED6BFD" w:rsidP="000B5A5E">
            <w:r w:rsidRPr="00BA196D">
              <w:t>Part</w:t>
            </w:r>
          </w:p>
        </w:tc>
        <w:tc>
          <w:tcPr>
            <w:tcW w:w="7360" w:type="dxa"/>
            <w:shd w:val="clear" w:color="auto" w:fill="A5C9EB" w:themeFill="text2" w:themeFillTint="40"/>
          </w:tcPr>
          <w:p w14:paraId="75F09663" w14:textId="77777777" w:rsidR="00ED6BFD" w:rsidRPr="00BA196D" w:rsidRDefault="00ED6BFD" w:rsidP="000B5A5E">
            <w:r>
              <w:t xml:space="preserve">Key </w:t>
            </w:r>
            <w:r w:rsidRPr="00BA196D">
              <w:t>Reform</w:t>
            </w:r>
          </w:p>
        </w:tc>
      </w:tr>
      <w:tr w:rsidR="002C7627" w:rsidRPr="00BA196D" w14:paraId="51F91EC6" w14:textId="77777777" w:rsidTr="00C612AB">
        <w:trPr>
          <w:trHeight w:val="287"/>
        </w:trPr>
        <w:tc>
          <w:tcPr>
            <w:tcW w:w="2133" w:type="dxa"/>
            <w:vMerge w:val="restart"/>
            <w:vAlign w:val="center"/>
          </w:tcPr>
          <w:p w14:paraId="73546533" w14:textId="397F2DEA" w:rsidR="002C7627" w:rsidRPr="00BA196D" w:rsidRDefault="002C7627" w:rsidP="00C612AB">
            <w:r>
              <w:t>5 – PEC</w:t>
            </w:r>
            <w:r w:rsidR="00962EF3">
              <w:t>U</w:t>
            </w:r>
            <w:r>
              <w:t>NIARY INTERESTS</w:t>
            </w:r>
          </w:p>
        </w:tc>
        <w:tc>
          <w:tcPr>
            <w:tcW w:w="7360" w:type="dxa"/>
          </w:tcPr>
          <w:p w14:paraId="160675A5" w14:textId="3C09565A" w:rsidR="002C7627" w:rsidRDefault="002C7627" w:rsidP="00774BE4">
            <w:r>
              <w:t>Expands the definition of a close associate to a councillor to include:</w:t>
            </w:r>
          </w:p>
          <w:p w14:paraId="641DAD2F" w14:textId="400851E4" w:rsidR="002C7627" w:rsidRPr="00C12C6D" w:rsidRDefault="002C7627" w:rsidP="00C12C6D">
            <w:pPr>
              <w:pStyle w:val="ListParagraph"/>
              <w:numPr>
                <w:ilvl w:val="0"/>
                <w:numId w:val="6"/>
              </w:numPr>
            </w:pPr>
            <w:r w:rsidRPr="00C12C6D">
              <w:t xml:space="preserve">a person </w:t>
            </w:r>
            <w:r>
              <w:t xml:space="preserve">who has provided a </w:t>
            </w:r>
            <w:r w:rsidRPr="00C12C6D">
              <w:t xml:space="preserve">gift or donation </w:t>
            </w:r>
            <w:r>
              <w:t>(</w:t>
            </w:r>
            <w:r w:rsidRPr="00C12C6D">
              <w:t xml:space="preserve">as defined in the </w:t>
            </w:r>
            <w:r w:rsidRPr="00C12C6D">
              <w:rPr>
                <w:i/>
              </w:rPr>
              <w:t>Local Government Electoral Act 2025</w:t>
            </w:r>
            <w:proofErr w:type="gramStart"/>
            <w:r>
              <w:rPr>
                <w:iCs/>
              </w:rPr>
              <w:t>)</w:t>
            </w:r>
            <w:r w:rsidRPr="00C12C6D">
              <w:t>;</w:t>
            </w:r>
            <w:proofErr w:type="gramEnd"/>
            <w:r w:rsidRPr="00C12C6D">
              <w:t xml:space="preserve"> </w:t>
            </w:r>
          </w:p>
          <w:p w14:paraId="6189BDFD" w14:textId="1F34B168" w:rsidR="002C7627" w:rsidRPr="00C12C6D" w:rsidRDefault="002C7627" w:rsidP="00C12C6D">
            <w:pPr>
              <w:pStyle w:val="ListParagraph"/>
              <w:numPr>
                <w:ilvl w:val="0"/>
                <w:numId w:val="6"/>
              </w:numPr>
            </w:pPr>
            <w:r w:rsidRPr="00C12C6D">
              <w:t xml:space="preserve">a relative of the councillor or member who resides with that </w:t>
            </w:r>
            <w:r>
              <w:t>c</w:t>
            </w:r>
            <w:r w:rsidRPr="00C12C6D">
              <w:t>ouncillor or member on a regular basis</w:t>
            </w:r>
            <w:r>
              <w:t>.</w:t>
            </w:r>
          </w:p>
          <w:p w14:paraId="732E4AD1" w14:textId="2CA0AFB3" w:rsidR="002C7627" w:rsidRPr="00BA196D" w:rsidRDefault="002C7627" w:rsidP="00774BE4"/>
        </w:tc>
      </w:tr>
      <w:tr w:rsidR="002C7627" w:rsidRPr="00BA196D" w14:paraId="1E0670C4" w14:textId="77777777" w:rsidTr="00C612AB">
        <w:trPr>
          <w:trHeight w:val="287"/>
        </w:trPr>
        <w:tc>
          <w:tcPr>
            <w:tcW w:w="2133" w:type="dxa"/>
            <w:vMerge/>
            <w:vAlign w:val="center"/>
          </w:tcPr>
          <w:p w14:paraId="656FB91B" w14:textId="77777777" w:rsidR="002C7627" w:rsidRDefault="002C7627" w:rsidP="00C612AB"/>
        </w:tc>
        <w:tc>
          <w:tcPr>
            <w:tcW w:w="7360" w:type="dxa"/>
          </w:tcPr>
          <w:p w14:paraId="137E44B4" w14:textId="18A9163C" w:rsidR="002C7627" w:rsidRDefault="002C7627" w:rsidP="000B5A5E">
            <w:r>
              <w:t>Establishes defence provisions for a councillor where they believe</w:t>
            </w:r>
          </w:p>
          <w:p w14:paraId="0747D4CE" w14:textId="07BFF7A3" w:rsidR="002C7627" w:rsidRDefault="002C7627" w:rsidP="000B5A5E">
            <w:r>
              <w:t xml:space="preserve">a pecuniary interest (where they receive or expect to receive a pecuniary benefit) is one held with a substantial proportion of electors in the municipality (meaning </w:t>
            </w:r>
            <w:r w:rsidRPr="00E216F4">
              <w:t>at least 5% or 1 000 electors, whichever is the lesser</w:t>
            </w:r>
            <w:r>
              <w:t>).</w:t>
            </w:r>
          </w:p>
          <w:p w14:paraId="6561A395" w14:textId="77777777" w:rsidR="002C7627" w:rsidRDefault="002C7627" w:rsidP="000B5A5E"/>
          <w:p w14:paraId="006FD8AD" w14:textId="17458C49" w:rsidR="002C7627" w:rsidRDefault="002C7627" w:rsidP="000B5A5E">
            <w:r>
              <w:t>This defence also applies to an application or request for approval, authorisation, licence, permit, exemption or other right, or beneficial interest in shares of a company or other body.</w:t>
            </w:r>
          </w:p>
          <w:p w14:paraId="0A1D3853" w14:textId="6C1644B8" w:rsidR="002C7627" w:rsidRDefault="002C7627" w:rsidP="000B5A5E"/>
        </w:tc>
      </w:tr>
      <w:tr w:rsidR="002C7627" w:rsidRPr="00BA196D" w14:paraId="7E2757D7" w14:textId="77777777" w:rsidTr="00C612AB">
        <w:trPr>
          <w:trHeight w:val="287"/>
        </w:trPr>
        <w:tc>
          <w:tcPr>
            <w:tcW w:w="2133" w:type="dxa"/>
            <w:vMerge/>
            <w:vAlign w:val="center"/>
          </w:tcPr>
          <w:p w14:paraId="53606DE6" w14:textId="77777777" w:rsidR="002C7627" w:rsidRDefault="002C7627" w:rsidP="00C612AB"/>
        </w:tc>
        <w:tc>
          <w:tcPr>
            <w:tcW w:w="7360" w:type="dxa"/>
          </w:tcPr>
          <w:p w14:paraId="650F6893" w14:textId="77777777" w:rsidR="002C7627" w:rsidRDefault="002C7627" w:rsidP="000B5A5E">
            <w:r>
              <w:t>Requires that the existing register of pecuniary interests kept by the general manager to be published on a council’s website.</w:t>
            </w:r>
          </w:p>
          <w:p w14:paraId="3564FC14" w14:textId="11B28DA3" w:rsidR="002C7627" w:rsidRDefault="002C7627" w:rsidP="000B5A5E"/>
        </w:tc>
      </w:tr>
      <w:tr w:rsidR="0025733B" w:rsidRPr="00BA196D" w14:paraId="1C33EDD6" w14:textId="77777777" w:rsidTr="00C612AB">
        <w:trPr>
          <w:trHeight w:val="287"/>
        </w:trPr>
        <w:tc>
          <w:tcPr>
            <w:tcW w:w="2133" w:type="dxa"/>
            <w:vMerge w:val="restart"/>
            <w:vAlign w:val="center"/>
          </w:tcPr>
          <w:p w14:paraId="7058D63A" w14:textId="3A55D4CB" w:rsidR="0025733B" w:rsidRDefault="0025733B" w:rsidP="00C612AB">
            <w:r>
              <w:t>5</w:t>
            </w:r>
            <w:r w:rsidR="00363939">
              <w:t>B</w:t>
            </w:r>
            <w:r>
              <w:t xml:space="preserve"> – PERSONAL INTEREST RETURNS</w:t>
            </w:r>
          </w:p>
        </w:tc>
        <w:tc>
          <w:tcPr>
            <w:tcW w:w="7360" w:type="dxa"/>
          </w:tcPr>
          <w:p w14:paraId="4D5CE904" w14:textId="77777777" w:rsidR="0025733B" w:rsidRDefault="0025733B" w:rsidP="000B5A5E">
            <w:r>
              <w:t xml:space="preserve">This is an entirely new Part which requires a councillor to lodge a personal interest return (PIR) with the general manager, within 28 days after a certificate of election is issued. </w:t>
            </w:r>
          </w:p>
          <w:p w14:paraId="1B1F5606" w14:textId="4E9C6480" w:rsidR="0025733B" w:rsidRDefault="0025733B" w:rsidP="00962EF3"/>
        </w:tc>
      </w:tr>
      <w:tr w:rsidR="0025733B" w:rsidRPr="00BA196D" w14:paraId="2A95F328" w14:textId="77777777" w:rsidTr="00C612AB">
        <w:trPr>
          <w:trHeight w:val="287"/>
        </w:trPr>
        <w:tc>
          <w:tcPr>
            <w:tcW w:w="2133" w:type="dxa"/>
            <w:vMerge/>
            <w:vAlign w:val="center"/>
          </w:tcPr>
          <w:p w14:paraId="195707DD" w14:textId="77777777" w:rsidR="0025733B" w:rsidRDefault="0025733B" w:rsidP="00C612AB"/>
        </w:tc>
        <w:tc>
          <w:tcPr>
            <w:tcW w:w="7360" w:type="dxa"/>
          </w:tcPr>
          <w:p w14:paraId="23F708E2" w14:textId="77777777" w:rsidR="0025733B" w:rsidRDefault="0025733B" w:rsidP="000B5A5E">
            <w:r>
              <w:t>A PIR is to be made by Ministerial Order – and may specify a range of matters including:</w:t>
            </w:r>
          </w:p>
          <w:p w14:paraId="2651F292" w14:textId="77777777" w:rsidR="0025733B" w:rsidRDefault="0025733B" w:rsidP="00091B9F">
            <w:pPr>
              <w:pStyle w:val="ListParagraph"/>
              <w:numPr>
                <w:ilvl w:val="0"/>
                <w:numId w:val="7"/>
              </w:numPr>
            </w:pPr>
            <w:r>
              <w:t xml:space="preserve">the assets and classes of assets to be disclosed, including real property and financial </w:t>
            </w:r>
            <w:proofErr w:type="gramStart"/>
            <w:r>
              <w:t>interests;</w:t>
            </w:r>
            <w:proofErr w:type="gramEnd"/>
          </w:p>
          <w:p w14:paraId="30D3A135" w14:textId="56547C5E" w:rsidR="0025733B" w:rsidRDefault="0025733B" w:rsidP="00091B9F">
            <w:pPr>
              <w:pStyle w:val="ListParagraph"/>
              <w:numPr>
                <w:ilvl w:val="0"/>
                <w:numId w:val="7"/>
              </w:numPr>
            </w:pPr>
            <w:r>
              <w:t xml:space="preserve">the liabilities and classes of liabilities to be </w:t>
            </w:r>
            <w:proofErr w:type="gramStart"/>
            <w:r>
              <w:t>disclosed;</w:t>
            </w:r>
            <w:proofErr w:type="gramEnd"/>
          </w:p>
          <w:p w14:paraId="41DC43BF" w14:textId="2164F2EB" w:rsidR="0025733B" w:rsidRDefault="0025733B" w:rsidP="00091B9F">
            <w:pPr>
              <w:pStyle w:val="ListParagraph"/>
              <w:numPr>
                <w:ilvl w:val="0"/>
                <w:numId w:val="7"/>
              </w:numPr>
            </w:pPr>
            <w:r>
              <w:t xml:space="preserve">the associated persons and classes of persons whose interests are to be disclosed, including individuals, bodies corporate and </w:t>
            </w:r>
            <w:proofErr w:type="gramStart"/>
            <w:r>
              <w:t>trustees;</w:t>
            </w:r>
            <w:proofErr w:type="gramEnd"/>
          </w:p>
          <w:p w14:paraId="3A1FD9E4" w14:textId="38C7E183" w:rsidR="0025733B" w:rsidRDefault="0025733B" w:rsidP="00091B9F">
            <w:pPr>
              <w:pStyle w:val="ListParagraph"/>
              <w:numPr>
                <w:ilvl w:val="0"/>
                <w:numId w:val="7"/>
              </w:numPr>
            </w:pPr>
            <w:r>
              <w:t xml:space="preserve">employment, offices and other sources of income to be </w:t>
            </w:r>
            <w:proofErr w:type="gramStart"/>
            <w:r>
              <w:t>disclosed;</w:t>
            </w:r>
            <w:proofErr w:type="gramEnd"/>
          </w:p>
          <w:p w14:paraId="72F6E20E" w14:textId="67233BA6" w:rsidR="0025733B" w:rsidRDefault="0025733B" w:rsidP="00091B9F">
            <w:pPr>
              <w:pStyle w:val="ListParagraph"/>
              <w:numPr>
                <w:ilvl w:val="0"/>
                <w:numId w:val="7"/>
              </w:numPr>
            </w:pPr>
            <w:r>
              <w:t xml:space="preserve">gifts, donations or contributions to other entities, and the classes of such gifts, donations or contributions, to be </w:t>
            </w:r>
            <w:proofErr w:type="gramStart"/>
            <w:r>
              <w:t>disclosed;</w:t>
            </w:r>
            <w:proofErr w:type="gramEnd"/>
          </w:p>
          <w:p w14:paraId="044B3850" w14:textId="54C3814F" w:rsidR="0025733B" w:rsidRDefault="0025733B" w:rsidP="00091B9F">
            <w:pPr>
              <w:pStyle w:val="ListParagraph"/>
              <w:numPr>
                <w:ilvl w:val="0"/>
                <w:numId w:val="7"/>
              </w:numPr>
            </w:pPr>
            <w:r>
              <w:t xml:space="preserve">memberships of associations, including trade or professional associations, political parties and other organisations to be </w:t>
            </w:r>
            <w:proofErr w:type="gramStart"/>
            <w:r>
              <w:t>disclosed;</w:t>
            </w:r>
            <w:proofErr w:type="gramEnd"/>
          </w:p>
          <w:p w14:paraId="54BC070A" w14:textId="6B449315" w:rsidR="0025733B" w:rsidRDefault="0025733B" w:rsidP="00091B9F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thresholds for disclosure and time periods to which the disclosures </w:t>
            </w:r>
            <w:proofErr w:type="gramStart"/>
            <w:r>
              <w:t>relate;</w:t>
            </w:r>
            <w:proofErr w:type="gramEnd"/>
          </w:p>
          <w:p w14:paraId="7EE34139" w14:textId="11E4FE4E" w:rsidR="0025733B" w:rsidRDefault="0025733B" w:rsidP="00091B9F">
            <w:pPr>
              <w:pStyle w:val="ListParagraph"/>
              <w:numPr>
                <w:ilvl w:val="0"/>
                <w:numId w:val="7"/>
              </w:numPr>
            </w:pPr>
            <w:r>
              <w:t>management strategies to be documented by councillors for managing actual, potential or perceived pecuniary interests or non-pecuniary interests arising from the matters disclosed.</w:t>
            </w:r>
          </w:p>
          <w:p w14:paraId="3F6CF9B3" w14:textId="77777777" w:rsidR="0025733B" w:rsidRDefault="0025733B" w:rsidP="000B5A5E"/>
          <w:p w14:paraId="73084039" w14:textId="143081FF" w:rsidR="0025733B" w:rsidRDefault="0025733B" w:rsidP="000B5A5E">
            <w:r>
              <w:t>As with all Orders pertaining to councils, the Minister must consult with councils before amending, revoking or substituting the PIR.</w:t>
            </w:r>
          </w:p>
          <w:p w14:paraId="4AD7B9CF" w14:textId="77777777" w:rsidR="0025733B" w:rsidRDefault="0025733B" w:rsidP="000B5A5E"/>
          <w:p w14:paraId="2AE1FA31" w14:textId="77777777" w:rsidR="0025733B" w:rsidRDefault="0025733B" w:rsidP="000B5A5E">
            <w:pPr>
              <w:rPr>
                <w:i/>
                <w:iCs/>
              </w:rPr>
            </w:pPr>
            <w:r>
              <w:rPr>
                <w:i/>
                <w:iCs/>
              </w:rPr>
              <w:t>Note: a draft PIR has been released alongside the consultation draft legislation package.</w:t>
            </w:r>
          </w:p>
          <w:p w14:paraId="3AD57929" w14:textId="306607A5" w:rsidR="0025733B" w:rsidRPr="00BF7804" w:rsidRDefault="0025733B" w:rsidP="000B5A5E">
            <w:pPr>
              <w:rPr>
                <w:i/>
                <w:iCs/>
              </w:rPr>
            </w:pPr>
          </w:p>
        </w:tc>
      </w:tr>
      <w:tr w:rsidR="0025733B" w:rsidRPr="00BA196D" w14:paraId="4807EE4B" w14:textId="77777777" w:rsidTr="00C612AB">
        <w:trPr>
          <w:trHeight w:val="287"/>
        </w:trPr>
        <w:tc>
          <w:tcPr>
            <w:tcW w:w="2133" w:type="dxa"/>
            <w:vMerge/>
            <w:vAlign w:val="center"/>
          </w:tcPr>
          <w:p w14:paraId="58202EE6" w14:textId="77777777" w:rsidR="0025733B" w:rsidRDefault="0025733B" w:rsidP="00C612AB"/>
        </w:tc>
        <w:tc>
          <w:tcPr>
            <w:tcW w:w="7360" w:type="dxa"/>
          </w:tcPr>
          <w:p w14:paraId="3360961C" w14:textId="77777777" w:rsidR="0025733B" w:rsidRDefault="0025733B" w:rsidP="000B5A5E">
            <w:r w:rsidRPr="008954C8">
              <w:t>The general manager must publish each personal interest return, and any revised personal interest return, on the council’s official website</w:t>
            </w:r>
            <w:r>
              <w:t xml:space="preserve"> as soon as practicable after it’s lodgement.</w:t>
            </w:r>
          </w:p>
          <w:p w14:paraId="65B41148" w14:textId="2084A6F8" w:rsidR="0025733B" w:rsidRDefault="0025733B" w:rsidP="000B5A5E"/>
        </w:tc>
      </w:tr>
      <w:tr w:rsidR="0025733B" w:rsidRPr="00BA196D" w14:paraId="11C81EDD" w14:textId="77777777" w:rsidTr="00C612AB">
        <w:trPr>
          <w:trHeight w:val="287"/>
        </w:trPr>
        <w:tc>
          <w:tcPr>
            <w:tcW w:w="2133" w:type="dxa"/>
            <w:vMerge/>
            <w:vAlign w:val="center"/>
          </w:tcPr>
          <w:p w14:paraId="131318EB" w14:textId="77777777" w:rsidR="0025733B" w:rsidRDefault="0025733B" w:rsidP="00C612AB"/>
        </w:tc>
        <w:tc>
          <w:tcPr>
            <w:tcW w:w="7360" w:type="dxa"/>
          </w:tcPr>
          <w:p w14:paraId="5AEBA18C" w14:textId="77777777" w:rsidR="0025733B" w:rsidRDefault="0025733B" w:rsidP="000B5A5E">
            <w:r w:rsidRPr="00C743BD">
              <w:t>The general manager must not provide to a councillor any information, other than information included on a public agenda or otherwise available to members of the public, if it is reasonably apparent to the general manager, from a personal interest return or other information known to the general manager, that the councillor has a pecuniary interest in the matter.</w:t>
            </w:r>
          </w:p>
          <w:p w14:paraId="70029E91" w14:textId="77777777" w:rsidR="0025733B" w:rsidRDefault="0025733B" w:rsidP="000B5A5E"/>
          <w:p w14:paraId="7B35A8EB" w14:textId="5F112AF8" w:rsidR="0025733B" w:rsidRDefault="0025733B" w:rsidP="000B5A5E">
            <w:r>
              <w:t>Likewise</w:t>
            </w:r>
            <w:r w:rsidR="00962EF3">
              <w:t>,</w:t>
            </w:r>
            <w:r>
              <w:t xml:space="preserve"> a councillor must not seek to obtain any information on the above grounds.</w:t>
            </w:r>
          </w:p>
          <w:p w14:paraId="5EAF9A87" w14:textId="2CB266A7" w:rsidR="0025733B" w:rsidRDefault="0025733B" w:rsidP="000B5A5E"/>
        </w:tc>
      </w:tr>
      <w:tr w:rsidR="0025733B" w:rsidRPr="00BA196D" w14:paraId="360D95BC" w14:textId="77777777" w:rsidTr="00C612AB">
        <w:trPr>
          <w:trHeight w:val="287"/>
        </w:trPr>
        <w:tc>
          <w:tcPr>
            <w:tcW w:w="2133" w:type="dxa"/>
            <w:vMerge/>
            <w:vAlign w:val="center"/>
          </w:tcPr>
          <w:p w14:paraId="2430DE38" w14:textId="77777777" w:rsidR="0025733B" w:rsidRDefault="0025733B" w:rsidP="00C612AB"/>
        </w:tc>
        <w:tc>
          <w:tcPr>
            <w:tcW w:w="7360" w:type="dxa"/>
          </w:tcPr>
          <w:p w14:paraId="72E39462" w14:textId="77777777" w:rsidR="0025733B" w:rsidRDefault="0025733B" w:rsidP="000B5A5E">
            <w:r w:rsidRPr="0025733B">
              <w:t>The council must retain each personal interest return, and each revised personal interest return, until 2 years after the expiration of the term of the council during which the return was lodged.</w:t>
            </w:r>
          </w:p>
          <w:p w14:paraId="01C9CEC2" w14:textId="44CF83C7" w:rsidR="0025733B" w:rsidRPr="00C743BD" w:rsidRDefault="0025733B" w:rsidP="000B5A5E"/>
        </w:tc>
      </w:tr>
      <w:tr w:rsidR="0025733B" w:rsidRPr="00BA196D" w14:paraId="28892176" w14:textId="77777777" w:rsidTr="00C612AB">
        <w:trPr>
          <w:trHeight w:val="287"/>
        </w:trPr>
        <w:tc>
          <w:tcPr>
            <w:tcW w:w="2133" w:type="dxa"/>
            <w:vMerge/>
            <w:vAlign w:val="center"/>
          </w:tcPr>
          <w:p w14:paraId="579F9A92" w14:textId="77777777" w:rsidR="0025733B" w:rsidRDefault="0025733B" w:rsidP="00C612AB"/>
        </w:tc>
        <w:tc>
          <w:tcPr>
            <w:tcW w:w="7360" w:type="dxa"/>
          </w:tcPr>
          <w:p w14:paraId="359891C8" w14:textId="77777777" w:rsidR="0025733B" w:rsidRDefault="00A47773" w:rsidP="000B5A5E">
            <w:r>
              <w:t xml:space="preserve">Offence provisions are included for </w:t>
            </w:r>
            <w:r w:rsidR="00BD3E7B">
              <w:t>providing false information, omitting known information, or refusal to lodge a PIR.</w:t>
            </w:r>
          </w:p>
          <w:p w14:paraId="20F9C1B6" w14:textId="02BDA332" w:rsidR="00BD3E7B" w:rsidRPr="0025733B" w:rsidRDefault="00BD3E7B" w:rsidP="000B5A5E"/>
        </w:tc>
      </w:tr>
      <w:tr w:rsidR="00C612AB" w:rsidRPr="00BA196D" w14:paraId="31BBC8B7" w14:textId="77777777" w:rsidTr="00C612AB">
        <w:trPr>
          <w:trHeight w:val="287"/>
        </w:trPr>
        <w:tc>
          <w:tcPr>
            <w:tcW w:w="2133" w:type="dxa"/>
            <w:vMerge w:val="restart"/>
            <w:vAlign w:val="center"/>
          </w:tcPr>
          <w:p w14:paraId="4EF6A707" w14:textId="3AC1EB08" w:rsidR="00C612AB" w:rsidRDefault="00C612AB" w:rsidP="00C612AB">
            <w:r>
              <w:t>PART 5</w:t>
            </w:r>
            <w:r w:rsidR="00363939">
              <w:t>C</w:t>
            </w:r>
            <w:r>
              <w:t xml:space="preserve"> - </w:t>
            </w:r>
            <w:r>
              <w:rPr>
                <w:bCs/>
                <w:lang w:eastAsia="en-AU"/>
              </w:rPr>
              <w:t>Conduct of Council During Election Period</w:t>
            </w:r>
          </w:p>
        </w:tc>
        <w:tc>
          <w:tcPr>
            <w:tcW w:w="7360" w:type="dxa"/>
          </w:tcPr>
          <w:p w14:paraId="514DA1FC" w14:textId="6B2530A4" w:rsidR="00C612AB" w:rsidRDefault="00C612AB" w:rsidP="000B5A5E">
            <w:r>
              <w:t xml:space="preserve">This Part </w:t>
            </w:r>
            <w:r w:rsidR="00962EF3">
              <w:t xml:space="preserve">introduces </w:t>
            </w:r>
            <w:r>
              <w:t>‘caretaker’ provisions related to the conduct of councils during election periods. During an election period a council cannot make any decision defined as a ‘prohibited decision’. This includes a decision:</w:t>
            </w:r>
          </w:p>
          <w:p w14:paraId="40A3A146" w14:textId="00EB8A63" w:rsidR="00C612AB" w:rsidRDefault="00C612AB" w:rsidP="00A458FD">
            <w:pPr>
              <w:pStyle w:val="ListParagraph"/>
              <w:numPr>
                <w:ilvl w:val="0"/>
                <w:numId w:val="8"/>
              </w:numPr>
            </w:pPr>
            <w:r w:rsidRPr="00FF5843">
              <w:t>that relates to the appointment, reappointment or the remuneration of a general manager, other than the appointment, reappointment or remuneration of an acting general manager</w:t>
            </w:r>
          </w:p>
          <w:p w14:paraId="3C9E1444" w14:textId="558313FD" w:rsidR="00C612AB" w:rsidRDefault="00C612AB" w:rsidP="00A458FD">
            <w:pPr>
              <w:pStyle w:val="ListParagraph"/>
              <w:numPr>
                <w:ilvl w:val="0"/>
                <w:numId w:val="8"/>
              </w:numPr>
            </w:pPr>
            <w:r w:rsidRPr="002148AF">
              <w:t>that relates to the termination of a general manager</w:t>
            </w:r>
          </w:p>
          <w:p w14:paraId="5C71FCBC" w14:textId="77777777" w:rsidR="00C612AB" w:rsidRDefault="00C612AB" w:rsidP="00A458FD">
            <w:pPr>
              <w:pStyle w:val="ListParagraph"/>
              <w:numPr>
                <w:ilvl w:val="0"/>
                <w:numId w:val="8"/>
              </w:numPr>
            </w:pPr>
            <w:r>
              <w:t xml:space="preserve">to </w:t>
            </w:r>
            <w:proofErr w:type="gramStart"/>
            <w:r>
              <w:t>enter into</w:t>
            </w:r>
            <w:proofErr w:type="gramEnd"/>
            <w:r>
              <w:t xml:space="preserve"> a contract, arrangement or agreement the total value of which exceeds whichever is the greater of –</w:t>
            </w:r>
          </w:p>
          <w:p w14:paraId="1BF9A685" w14:textId="04F01C41" w:rsidR="00C612AB" w:rsidRDefault="00C612AB" w:rsidP="00A458FD">
            <w:pPr>
              <w:pStyle w:val="ListParagraph"/>
              <w:numPr>
                <w:ilvl w:val="1"/>
                <w:numId w:val="8"/>
              </w:numPr>
            </w:pPr>
            <w:r>
              <w:t>$100 000; or</w:t>
            </w:r>
          </w:p>
          <w:p w14:paraId="40A1188B" w14:textId="442CC78C" w:rsidR="00C612AB" w:rsidRDefault="00C612AB" w:rsidP="00A458FD">
            <w:pPr>
              <w:pStyle w:val="ListParagraph"/>
              <w:numPr>
                <w:ilvl w:val="1"/>
                <w:numId w:val="8"/>
              </w:numPr>
            </w:pPr>
            <w:r>
              <w:lastRenderedPageBreak/>
              <w:t>1% of the council’s revenue from general and service rating and fees and charges in the preceding financial year</w:t>
            </w:r>
          </w:p>
          <w:p w14:paraId="3195F6E0" w14:textId="06AD7C71" w:rsidR="00C612AB" w:rsidRDefault="00C612AB" w:rsidP="00A458FD">
            <w:pPr>
              <w:pStyle w:val="ListParagraph"/>
              <w:numPr>
                <w:ilvl w:val="0"/>
                <w:numId w:val="8"/>
              </w:numPr>
            </w:pPr>
            <w:r w:rsidRPr="003B4D5D">
              <w:t>that would enable the use of council resources in a way that is intended to influence, or is likely to influence, voting at a</w:t>
            </w:r>
            <w:r>
              <w:t xml:space="preserve"> council </w:t>
            </w:r>
            <w:r w:rsidRPr="003B4D5D">
              <w:t>election</w:t>
            </w:r>
            <w:r>
              <w:t>.</w:t>
            </w:r>
          </w:p>
          <w:p w14:paraId="4671A48E" w14:textId="77777777" w:rsidR="00C612AB" w:rsidRDefault="00C612AB" w:rsidP="000B5A5E"/>
          <w:p w14:paraId="1B772896" w14:textId="309B97A4" w:rsidR="00C612AB" w:rsidRDefault="00C612AB" w:rsidP="000B5A5E">
            <w:r>
              <w:t>A council may, if they determine it is necessary and in the public interest for a prohibited decision to be made during an election period, make an application to the Minister for an exemption.</w:t>
            </w:r>
          </w:p>
          <w:p w14:paraId="034E0B27" w14:textId="77777777" w:rsidR="00C612AB" w:rsidRDefault="00C612AB" w:rsidP="000B5A5E"/>
          <w:p w14:paraId="1F1D1445" w14:textId="51B5B2AC" w:rsidR="00C612AB" w:rsidRDefault="00C612AB" w:rsidP="000B5A5E">
            <w:r>
              <w:t>Prohibited decisions do not apply to decisions or actions required by councils under statutory timeframes.</w:t>
            </w:r>
          </w:p>
          <w:p w14:paraId="6772949A" w14:textId="3032831B" w:rsidR="00C612AB" w:rsidRPr="0025733B" w:rsidRDefault="00C612AB" w:rsidP="000B5A5E"/>
        </w:tc>
      </w:tr>
      <w:tr w:rsidR="00C612AB" w:rsidRPr="00BA196D" w14:paraId="04172694" w14:textId="77777777" w:rsidTr="00C612AB">
        <w:trPr>
          <w:trHeight w:val="287"/>
        </w:trPr>
        <w:tc>
          <w:tcPr>
            <w:tcW w:w="2133" w:type="dxa"/>
            <w:vMerge/>
            <w:vAlign w:val="center"/>
          </w:tcPr>
          <w:p w14:paraId="4FD8C7C7" w14:textId="77777777" w:rsidR="00C612AB" w:rsidRDefault="00C612AB" w:rsidP="00C612AB"/>
        </w:tc>
        <w:tc>
          <w:tcPr>
            <w:tcW w:w="7360" w:type="dxa"/>
          </w:tcPr>
          <w:p w14:paraId="421588FD" w14:textId="313F29A2" w:rsidR="00C612AB" w:rsidRDefault="00C612AB" w:rsidP="000B5A5E">
            <w:r>
              <w:t>This Part also prohibits the use of any council resources or publication of information promoting or advantaging a particular candidate or group of candidates.</w:t>
            </w:r>
          </w:p>
          <w:p w14:paraId="6DB0F39B" w14:textId="77777777" w:rsidR="00C612AB" w:rsidRDefault="00C612AB" w:rsidP="000B5A5E"/>
          <w:p w14:paraId="658F2F1D" w14:textId="73F96E8A" w:rsidR="00C612AB" w:rsidRDefault="00C612AB" w:rsidP="000B5A5E">
            <w:r>
              <w:t xml:space="preserve">It also prohibits councils from making resources available that advantage a candidate which are not equally available to all candidates. </w:t>
            </w:r>
          </w:p>
          <w:p w14:paraId="43C58E7A" w14:textId="77777777" w:rsidR="00C612AB" w:rsidRDefault="00C612AB" w:rsidP="000B5A5E"/>
          <w:p w14:paraId="0C709576" w14:textId="77777777" w:rsidR="00C612AB" w:rsidRDefault="00C612AB" w:rsidP="000B5A5E">
            <w:r>
              <w:t>Information in relation to an election can only be published if it has been published by the Electoral Commission.</w:t>
            </w:r>
          </w:p>
          <w:p w14:paraId="4A74F63C" w14:textId="6FB53155" w:rsidR="00C612AB" w:rsidRPr="0025733B" w:rsidRDefault="00C612AB" w:rsidP="000B5A5E"/>
        </w:tc>
      </w:tr>
      <w:tr w:rsidR="0025733B" w:rsidRPr="00BA196D" w14:paraId="1CD54FB0" w14:textId="77777777" w:rsidTr="00C612AB">
        <w:trPr>
          <w:trHeight w:val="287"/>
        </w:trPr>
        <w:tc>
          <w:tcPr>
            <w:tcW w:w="2133" w:type="dxa"/>
            <w:vAlign w:val="center"/>
          </w:tcPr>
          <w:p w14:paraId="6DDD1010" w14:textId="3939A14F" w:rsidR="0025733B" w:rsidRDefault="009A66F9" w:rsidP="00C612AB">
            <w:r w:rsidRPr="009A66F9">
              <w:t xml:space="preserve">PART 6 </w:t>
            </w:r>
            <w:r>
              <w:t>– PETITIONS, POLLS AND PUBLIC MEETINGS</w:t>
            </w:r>
          </w:p>
        </w:tc>
        <w:tc>
          <w:tcPr>
            <w:tcW w:w="7360" w:type="dxa"/>
          </w:tcPr>
          <w:p w14:paraId="4B1F6508" w14:textId="6BADA1D0" w:rsidR="0025733B" w:rsidRDefault="00BA15E2" w:rsidP="000B5A5E">
            <w:r>
              <w:t xml:space="preserve">The threshold for petitions requesting elector polls or public meetings </w:t>
            </w:r>
            <w:r w:rsidR="000E0C3F">
              <w:t>has been raised to 20% of electors (from 5% or 1,000 electors, whichever is lesser).</w:t>
            </w:r>
          </w:p>
          <w:p w14:paraId="54BE1FC3" w14:textId="77777777" w:rsidR="00F63697" w:rsidRPr="0025733B" w:rsidRDefault="00F63697" w:rsidP="000B5A5E"/>
        </w:tc>
      </w:tr>
      <w:tr w:rsidR="000C581A" w:rsidRPr="00BA196D" w14:paraId="3AA5502E" w14:textId="77777777" w:rsidTr="00C612AB">
        <w:trPr>
          <w:trHeight w:val="287"/>
        </w:trPr>
        <w:tc>
          <w:tcPr>
            <w:tcW w:w="2133" w:type="dxa"/>
            <w:vAlign w:val="center"/>
          </w:tcPr>
          <w:p w14:paraId="1DEBABC1" w14:textId="576956FB" w:rsidR="000C581A" w:rsidRPr="009A66F9" w:rsidRDefault="000C581A" w:rsidP="00C612AB">
            <w:r>
              <w:t>GENERAL CHANGES</w:t>
            </w:r>
          </w:p>
        </w:tc>
        <w:tc>
          <w:tcPr>
            <w:tcW w:w="7360" w:type="dxa"/>
          </w:tcPr>
          <w:p w14:paraId="72209937" w14:textId="68E03DF1" w:rsidR="000C581A" w:rsidRDefault="000C581A" w:rsidP="000B5A5E">
            <w:r>
              <w:t xml:space="preserve">Electoral parts are repealed and </w:t>
            </w:r>
            <w:r w:rsidR="00962EF3">
              <w:t xml:space="preserve">replaced by </w:t>
            </w:r>
            <w:r>
              <w:t>the</w:t>
            </w:r>
            <w:r w:rsidR="00962EF3">
              <w:t xml:space="preserve"> new</w:t>
            </w:r>
            <w:r>
              <w:t xml:space="preserve"> </w:t>
            </w:r>
            <w:r w:rsidR="00962EF3">
              <w:t xml:space="preserve">standalone </w:t>
            </w:r>
            <w:r w:rsidRPr="000C581A">
              <w:rPr>
                <w:i/>
                <w:iCs/>
              </w:rPr>
              <w:t>Electoral Bill</w:t>
            </w:r>
            <w:r>
              <w:t xml:space="preserve"> – including:</w:t>
            </w:r>
          </w:p>
          <w:p w14:paraId="4ACEA416" w14:textId="7F535598" w:rsidR="000C581A" w:rsidRDefault="000C581A" w:rsidP="000C581A">
            <w:pPr>
              <w:pStyle w:val="ListParagraph"/>
              <w:numPr>
                <w:ilvl w:val="0"/>
                <w:numId w:val="9"/>
              </w:numPr>
            </w:pPr>
            <w:r>
              <w:t>Part 4 – Elections</w:t>
            </w:r>
          </w:p>
          <w:p w14:paraId="35CFACA6" w14:textId="77777777" w:rsidR="000C581A" w:rsidRDefault="000C581A" w:rsidP="000C581A">
            <w:pPr>
              <w:pStyle w:val="ListParagraph"/>
              <w:numPr>
                <w:ilvl w:val="0"/>
                <w:numId w:val="9"/>
              </w:numPr>
            </w:pPr>
            <w:r>
              <w:t>Part 15 – Council elections.</w:t>
            </w:r>
          </w:p>
          <w:p w14:paraId="7528D5F7" w14:textId="77D25903" w:rsidR="000C581A" w:rsidRDefault="000C581A" w:rsidP="000C581A"/>
        </w:tc>
      </w:tr>
    </w:tbl>
    <w:p w14:paraId="1E523130" w14:textId="77777777" w:rsidR="00ED6BFD" w:rsidRPr="00BA196D" w:rsidRDefault="00ED6BFD" w:rsidP="00DC7845"/>
    <w:sectPr w:rsidR="00ED6BFD" w:rsidRPr="00BA1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5014" w14:textId="77777777" w:rsidR="00AF5AA8" w:rsidRDefault="00AF5AA8" w:rsidP="00DC7845">
      <w:r>
        <w:separator/>
      </w:r>
    </w:p>
  </w:endnote>
  <w:endnote w:type="continuationSeparator" w:id="0">
    <w:p w14:paraId="51127114" w14:textId="77777777" w:rsidR="00AF5AA8" w:rsidRDefault="00AF5AA8" w:rsidP="00DC7845">
      <w:r>
        <w:continuationSeparator/>
      </w:r>
    </w:p>
  </w:endnote>
  <w:endnote w:type="continuationNotice" w:id="1">
    <w:p w14:paraId="5CA2FA7B" w14:textId="77777777" w:rsidR="00AF5AA8" w:rsidRDefault="00AF5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8DC8" w14:textId="670D4748" w:rsidR="00EA508F" w:rsidRDefault="0055595C" w:rsidP="00DC78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9" behindDoc="0" locked="0" layoutInCell="1" allowOverlap="1" wp14:anchorId="03747F2F" wp14:editId="0C897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1572829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C4E79" w14:textId="16BB4A62" w:rsidR="0055595C" w:rsidRPr="0055595C" w:rsidRDefault="0055595C" w:rsidP="0055595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559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47F2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3.45pt;height:29.65pt;z-index:2516695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8DC4E79" w14:textId="16BB4A62" w:rsidR="0055595C" w:rsidRPr="0055595C" w:rsidRDefault="0055595C" w:rsidP="0055595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559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CB4E" w14:textId="7EDC77BC" w:rsidR="00EA508F" w:rsidRDefault="0055595C" w:rsidP="00DC78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33" behindDoc="0" locked="0" layoutInCell="1" allowOverlap="1" wp14:anchorId="6AEA5238" wp14:editId="5D551818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96301691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EB75F" w14:textId="21BD9147" w:rsidR="0055595C" w:rsidRPr="0055595C" w:rsidRDefault="0055595C" w:rsidP="0055595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559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A52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43.45pt;height:29.65pt;z-index:2516705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8AEB75F" w14:textId="21BD9147" w:rsidR="0055595C" w:rsidRPr="0055595C" w:rsidRDefault="0055595C" w:rsidP="0055595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559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EF33" w14:textId="4B1ABA52" w:rsidR="00EA508F" w:rsidRDefault="0055595C" w:rsidP="00DC78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5B6AA7FD" wp14:editId="0E7DFD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8855114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4BD2F" w14:textId="649A8AD7" w:rsidR="0055595C" w:rsidRPr="0055595C" w:rsidRDefault="0055595C" w:rsidP="0055595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559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AA7F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C4BD2F" w14:textId="649A8AD7" w:rsidR="0055595C" w:rsidRPr="0055595C" w:rsidRDefault="0055595C" w:rsidP="0055595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559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B258" w14:textId="77777777" w:rsidR="00AF5AA8" w:rsidRDefault="00AF5AA8" w:rsidP="00DC7845">
      <w:r>
        <w:separator/>
      </w:r>
    </w:p>
  </w:footnote>
  <w:footnote w:type="continuationSeparator" w:id="0">
    <w:p w14:paraId="69FD9335" w14:textId="77777777" w:rsidR="00AF5AA8" w:rsidRDefault="00AF5AA8" w:rsidP="00DC7845">
      <w:r>
        <w:continuationSeparator/>
      </w:r>
    </w:p>
  </w:footnote>
  <w:footnote w:type="continuationNotice" w:id="1">
    <w:p w14:paraId="2678C530" w14:textId="77777777" w:rsidR="00AF5AA8" w:rsidRDefault="00AF5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A7B9" w14:textId="14C89D43" w:rsidR="00EA508F" w:rsidRDefault="0055595C" w:rsidP="00DC78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6F45CD42" wp14:editId="2DCE31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95042092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C8692" w14:textId="4BC3571F" w:rsidR="0055595C" w:rsidRPr="0055595C" w:rsidRDefault="0055595C" w:rsidP="0055595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559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5CD4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3.45pt;height:29.65pt;z-index:251666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DFC8692" w14:textId="4BC3571F" w:rsidR="0055595C" w:rsidRPr="0055595C" w:rsidRDefault="0055595C" w:rsidP="0055595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559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A27A" w14:textId="1BA5D3D8" w:rsidR="00EA508F" w:rsidRDefault="0055595C" w:rsidP="00DC78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61" behindDoc="0" locked="0" layoutInCell="1" allowOverlap="1" wp14:anchorId="43BCD5DE" wp14:editId="58AB0C3D">
              <wp:simplePos x="914400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5089213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616AD" w14:textId="59E0D698" w:rsidR="0055595C" w:rsidRPr="0055595C" w:rsidRDefault="0055595C" w:rsidP="0055595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559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CD5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3.45pt;height:29.65pt;z-index:2516674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64616AD" w14:textId="59E0D698" w:rsidR="0055595C" w:rsidRPr="0055595C" w:rsidRDefault="0055595C" w:rsidP="0055595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559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04B2" w14:textId="595E4804" w:rsidR="00EA508F" w:rsidRDefault="0055595C" w:rsidP="00DC78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10FDAE1A" wp14:editId="0E2242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4288708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8AC51" w14:textId="0B177EF7" w:rsidR="0055595C" w:rsidRPr="0055595C" w:rsidRDefault="0055595C" w:rsidP="0055595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559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DAE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3.45pt;height:29.65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8AC51" w14:textId="0B177EF7" w:rsidR="0055595C" w:rsidRPr="0055595C" w:rsidRDefault="0055595C" w:rsidP="0055595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559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4EE"/>
    <w:multiLevelType w:val="hybridMultilevel"/>
    <w:tmpl w:val="2B62C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226D"/>
    <w:multiLevelType w:val="hybridMultilevel"/>
    <w:tmpl w:val="EE305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3313D"/>
    <w:multiLevelType w:val="hybridMultilevel"/>
    <w:tmpl w:val="3E689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1ECA"/>
    <w:multiLevelType w:val="hybridMultilevel"/>
    <w:tmpl w:val="8208D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30C36"/>
    <w:multiLevelType w:val="hybridMultilevel"/>
    <w:tmpl w:val="27043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D381D"/>
    <w:multiLevelType w:val="hybridMultilevel"/>
    <w:tmpl w:val="DE8E7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404ED"/>
    <w:multiLevelType w:val="hybridMultilevel"/>
    <w:tmpl w:val="6D605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1991"/>
    <w:multiLevelType w:val="hybridMultilevel"/>
    <w:tmpl w:val="09B25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634C8"/>
    <w:multiLevelType w:val="hybridMultilevel"/>
    <w:tmpl w:val="51327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455432">
    <w:abstractNumId w:val="8"/>
  </w:num>
  <w:num w:numId="2" w16cid:durableId="536162022">
    <w:abstractNumId w:val="7"/>
  </w:num>
  <w:num w:numId="3" w16cid:durableId="476648986">
    <w:abstractNumId w:val="3"/>
  </w:num>
  <w:num w:numId="4" w16cid:durableId="1624578710">
    <w:abstractNumId w:val="2"/>
  </w:num>
  <w:num w:numId="5" w16cid:durableId="1494830803">
    <w:abstractNumId w:val="5"/>
  </w:num>
  <w:num w:numId="6" w16cid:durableId="843788631">
    <w:abstractNumId w:val="1"/>
  </w:num>
  <w:num w:numId="7" w16cid:durableId="2002812626">
    <w:abstractNumId w:val="0"/>
  </w:num>
  <w:num w:numId="8" w16cid:durableId="1450781115">
    <w:abstractNumId w:val="4"/>
  </w:num>
  <w:num w:numId="9" w16cid:durableId="1374425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D"/>
    <w:rsid w:val="00016E69"/>
    <w:rsid w:val="00041757"/>
    <w:rsid w:val="000470CE"/>
    <w:rsid w:val="00086A4D"/>
    <w:rsid w:val="00090A70"/>
    <w:rsid w:val="00091B9F"/>
    <w:rsid w:val="000A7E00"/>
    <w:rsid w:val="000B73A6"/>
    <w:rsid w:val="000C581A"/>
    <w:rsid w:val="000E0C3F"/>
    <w:rsid w:val="000E2EB9"/>
    <w:rsid w:val="000E4664"/>
    <w:rsid w:val="000F0ACC"/>
    <w:rsid w:val="000F3153"/>
    <w:rsid w:val="001051FA"/>
    <w:rsid w:val="0012275E"/>
    <w:rsid w:val="00131825"/>
    <w:rsid w:val="0013752B"/>
    <w:rsid w:val="00141D72"/>
    <w:rsid w:val="00142836"/>
    <w:rsid w:val="00144840"/>
    <w:rsid w:val="00175909"/>
    <w:rsid w:val="001822F6"/>
    <w:rsid w:val="0019549C"/>
    <w:rsid w:val="001A5218"/>
    <w:rsid w:val="001B2450"/>
    <w:rsid w:val="001B3DEF"/>
    <w:rsid w:val="001B7F8B"/>
    <w:rsid w:val="001C2123"/>
    <w:rsid w:val="001C7EFE"/>
    <w:rsid w:val="002148AF"/>
    <w:rsid w:val="00221E10"/>
    <w:rsid w:val="00233C59"/>
    <w:rsid w:val="002358D5"/>
    <w:rsid w:val="00236D33"/>
    <w:rsid w:val="00242039"/>
    <w:rsid w:val="0025733B"/>
    <w:rsid w:val="00263C24"/>
    <w:rsid w:val="00263C89"/>
    <w:rsid w:val="00280B54"/>
    <w:rsid w:val="002A7DD3"/>
    <w:rsid w:val="002C7627"/>
    <w:rsid w:val="002F092E"/>
    <w:rsid w:val="00301052"/>
    <w:rsid w:val="00342F28"/>
    <w:rsid w:val="00350C34"/>
    <w:rsid w:val="003524F1"/>
    <w:rsid w:val="00363939"/>
    <w:rsid w:val="003868ED"/>
    <w:rsid w:val="00390653"/>
    <w:rsid w:val="003925C9"/>
    <w:rsid w:val="003935BF"/>
    <w:rsid w:val="003959CE"/>
    <w:rsid w:val="003A1C10"/>
    <w:rsid w:val="003B4D5D"/>
    <w:rsid w:val="003F4734"/>
    <w:rsid w:val="00405963"/>
    <w:rsid w:val="004301A9"/>
    <w:rsid w:val="00434B60"/>
    <w:rsid w:val="00451032"/>
    <w:rsid w:val="004555BF"/>
    <w:rsid w:val="00461095"/>
    <w:rsid w:val="00462156"/>
    <w:rsid w:val="00481ECE"/>
    <w:rsid w:val="004A1373"/>
    <w:rsid w:val="004D795D"/>
    <w:rsid w:val="004E49C7"/>
    <w:rsid w:val="004F32EB"/>
    <w:rsid w:val="004F65A3"/>
    <w:rsid w:val="004F7EDB"/>
    <w:rsid w:val="00502842"/>
    <w:rsid w:val="00503FD0"/>
    <w:rsid w:val="0052409C"/>
    <w:rsid w:val="00530158"/>
    <w:rsid w:val="00532CB3"/>
    <w:rsid w:val="00534B38"/>
    <w:rsid w:val="0055595C"/>
    <w:rsid w:val="00566FD1"/>
    <w:rsid w:val="00570697"/>
    <w:rsid w:val="005B04CD"/>
    <w:rsid w:val="005B32DF"/>
    <w:rsid w:val="005D6EDA"/>
    <w:rsid w:val="005E0816"/>
    <w:rsid w:val="005F7F02"/>
    <w:rsid w:val="00613E6F"/>
    <w:rsid w:val="0063597C"/>
    <w:rsid w:val="006371B3"/>
    <w:rsid w:val="006443E1"/>
    <w:rsid w:val="006466C4"/>
    <w:rsid w:val="00671D15"/>
    <w:rsid w:val="00691780"/>
    <w:rsid w:val="006953B5"/>
    <w:rsid w:val="006A214D"/>
    <w:rsid w:val="006D01CC"/>
    <w:rsid w:val="006D084F"/>
    <w:rsid w:val="006D1BE5"/>
    <w:rsid w:val="006D7760"/>
    <w:rsid w:val="006E4A9D"/>
    <w:rsid w:val="007015DA"/>
    <w:rsid w:val="0070610A"/>
    <w:rsid w:val="00706DCC"/>
    <w:rsid w:val="00712E10"/>
    <w:rsid w:val="00741A80"/>
    <w:rsid w:val="00761D05"/>
    <w:rsid w:val="00774BE4"/>
    <w:rsid w:val="007A07EA"/>
    <w:rsid w:val="007B4CD4"/>
    <w:rsid w:val="007C384D"/>
    <w:rsid w:val="007C7799"/>
    <w:rsid w:val="007D0DFB"/>
    <w:rsid w:val="007D2F2A"/>
    <w:rsid w:val="007D69A2"/>
    <w:rsid w:val="007E14FF"/>
    <w:rsid w:val="00804E9C"/>
    <w:rsid w:val="008327C5"/>
    <w:rsid w:val="008652EC"/>
    <w:rsid w:val="00873E7A"/>
    <w:rsid w:val="00893112"/>
    <w:rsid w:val="0089314E"/>
    <w:rsid w:val="00894738"/>
    <w:rsid w:val="008954C8"/>
    <w:rsid w:val="008B2451"/>
    <w:rsid w:val="008C3193"/>
    <w:rsid w:val="008D6E4D"/>
    <w:rsid w:val="008F2770"/>
    <w:rsid w:val="00932412"/>
    <w:rsid w:val="00950DE5"/>
    <w:rsid w:val="00962EF3"/>
    <w:rsid w:val="009729E2"/>
    <w:rsid w:val="009A25D3"/>
    <w:rsid w:val="009A3AF4"/>
    <w:rsid w:val="009A66F9"/>
    <w:rsid w:val="009C21DB"/>
    <w:rsid w:val="009E3A6E"/>
    <w:rsid w:val="009E47AE"/>
    <w:rsid w:val="009F0316"/>
    <w:rsid w:val="009F16D9"/>
    <w:rsid w:val="00A215A4"/>
    <w:rsid w:val="00A33E11"/>
    <w:rsid w:val="00A37F99"/>
    <w:rsid w:val="00A458FD"/>
    <w:rsid w:val="00A47773"/>
    <w:rsid w:val="00A5677A"/>
    <w:rsid w:val="00A60AF9"/>
    <w:rsid w:val="00A61079"/>
    <w:rsid w:val="00A75322"/>
    <w:rsid w:val="00A87B1F"/>
    <w:rsid w:val="00AA702E"/>
    <w:rsid w:val="00AB5529"/>
    <w:rsid w:val="00AC3C69"/>
    <w:rsid w:val="00AC5728"/>
    <w:rsid w:val="00AD4A41"/>
    <w:rsid w:val="00AF5AA8"/>
    <w:rsid w:val="00B03F56"/>
    <w:rsid w:val="00B11FCE"/>
    <w:rsid w:val="00B12CC9"/>
    <w:rsid w:val="00B32F06"/>
    <w:rsid w:val="00B33A59"/>
    <w:rsid w:val="00B57296"/>
    <w:rsid w:val="00B6236E"/>
    <w:rsid w:val="00B641A6"/>
    <w:rsid w:val="00B800BA"/>
    <w:rsid w:val="00B92AA8"/>
    <w:rsid w:val="00B92FFD"/>
    <w:rsid w:val="00BA15E2"/>
    <w:rsid w:val="00BA196D"/>
    <w:rsid w:val="00BB46E8"/>
    <w:rsid w:val="00BD1D34"/>
    <w:rsid w:val="00BD3E7B"/>
    <w:rsid w:val="00BF7804"/>
    <w:rsid w:val="00C0281C"/>
    <w:rsid w:val="00C12C6D"/>
    <w:rsid w:val="00C31F4D"/>
    <w:rsid w:val="00C363C6"/>
    <w:rsid w:val="00C612AB"/>
    <w:rsid w:val="00C743BD"/>
    <w:rsid w:val="00C76B16"/>
    <w:rsid w:val="00C809B9"/>
    <w:rsid w:val="00C91AB8"/>
    <w:rsid w:val="00C968D3"/>
    <w:rsid w:val="00CA2231"/>
    <w:rsid w:val="00CA6AFE"/>
    <w:rsid w:val="00CC02DB"/>
    <w:rsid w:val="00CC65EF"/>
    <w:rsid w:val="00CF7F3D"/>
    <w:rsid w:val="00D03185"/>
    <w:rsid w:val="00D04EE9"/>
    <w:rsid w:val="00D05915"/>
    <w:rsid w:val="00D14608"/>
    <w:rsid w:val="00D45BCC"/>
    <w:rsid w:val="00D5074A"/>
    <w:rsid w:val="00D6649E"/>
    <w:rsid w:val="00D71E82"/>
    <w:rsid w:val="00D87C9D"/>
    <w:rsid w:val="00D91F8B"/>
    <w:rsid w:val="00D95F42"/>
    <w:rsid w:val="00DC7845"/>
    <w:rsid w:val="00DD21F7"/>
    <w:rsid w:val="00DD2997"/>
    <w:rsid w:val="00DF1124"/>
    <w:rsid w:val="00E16692"/>
    <w:rsid w:val="00E216F4"/>
    <w:rsid w:val="00E2666D"/>
    <w:rsid w:val="00E40490"/>
    <w:rsid w:val="00E4396E"/>
    <w:rsid w:val="00E4428A"/>
    <w:rsid w:val="00E44C55"/>
    <w:rsid w:val="00E531C5"/>
    <w:rsid w:val="00E53506"/>
    <w:rsid w:val="00E56E6F"/>
    <w:rsid w:val="00E733FE"/>
    <w:rsid w:val="00E755A6"/>
    <w:rsid w:val="00EA2C6F"/>
    <w:rsid w:val="00EA508F"/>
    <w:rsid w:val="00EC70B3"/>
    <w:rsid w:val="00ED6BFD"/>
    <w:rsid w:val="00EE2370"/>
    <w:rsid w:val="00EF0CA1"/>
    <w:rsid w:val="00EF676E"/>
    <w:rsid w:val="00F019E3"/>
    <w:rsid w:val="00F07952"/>
    <w:rsid w:val="00F20C38"/>
    <w:rsid w:val="00F22806"/>
    <w:rsid w:val="00F63697"/>
    <w:rsid w:val="00F6666F"/>
    <w:rsid w:val="00F80C28"/>
    <w:rsid w:val="00F81CCC"/>
    <w:rsid w:val="00F82B9D"/>
    <w:rsid w:val="00FC3ACE"/>
    <w:rsid w:val="00FE1B25"/>
    <w:rsid w:val="00FF09AF"/>
    <w:rsid w:val="00FF5843"/>
    <w:rsid w:val="032F419B"/>
    <w:rsid w:val="03D782F0"/>
    <w:rsid w:val="14125EEB"/>
    <w:rsid w:val="141F4CF7"/>
    <w:rsid w:val="15EE3223"/>
    <w:rsid w:val="161FBE90"/>
    <w:rsid w:val="16B05B1F"/>
    <w:rsid w:val="1B709D4D"/>
    <w:rsid w:val="1E115031"/>
    <w:rsid w:val="1F4360BB"/>
    <w:rsid w:val="28C2A713"/>
    <w:rsid w:val="2A3C728F"/>
    <w:rsid w:val="2AF743AA"/>
    <w:rsid w:val="30502F8A"/>
    <w:rsid w:val="35D807E6"/>
    <w:rsid w:val="39AFE1D4"/>
    <w:rsid w:val="39B8BCD6"/>
    <w:rsid w:val="3E6C2E72"/>
    <w:rsid w:val="402C2B27"/>
    <w:rsid w:val="406A8AC5"/>
    <w:rsid w:val="43E28239"/>
    <w:rsid w:val="47B38A17"/>
    <w:rsid w:val="4DB96431"/>
    <w:rsid w:val="4E9E33F0"/>
    <w:rsid w:val="51FE4960"/>
    <w:rsid w:val="5469E7B8"/>
    <w:rsid w:val="588D0AC1"/>
    <w:rsid w:val="5A460324"/>
    <w:rsid w:val="5C8721C8"/>
    <w:rsid w:val="60E6D98C"/>
    <w:rsid w:val="65ACA09C"/>
    <w:rsid w:val="67B687E1"/>
    <w:rsid w:val="70B7D85D"/>
    <w:rsid w:val="7106213D"/>
    <w:rsid w:val="7246B9EA"/>
    <w:rsid w:val="72CD5A0A"/>
    <w:rsid w:val="768D9A0D"/>
    <w:rsid w:val="7723B5D9"/>
    <w:rsid w:val="7A399F35"/>
    <w:rsid w:val="7DFC8D9E"/>
    <w:rsid w:val="7EF8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E5577"/>
  <w15:chartTrackingRefBased/>
  <w15:docId w15:val="{51DB8A27-F756-4C45-9418-C84C7587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845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3C6"/>
    <w:pPr>
      <w:keepNext/>
      <w:keepLines/>
      <w:spacing w:before="360" w:after="80"/>
      <w:outlineLvl w:val="0"/>
    </w:pPr>
    <w:rPr>
      <w:rFonts w:eastAsiaTheme="majorEastAsia"/>
      <w:spacing w:val="-10"/>
      <w:kern w:val="28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3C6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9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3C6"/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363C6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9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196D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26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C8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50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08F"/>
  </w:style>
  <w:style w:type="paragraph" w:styleId="Footer">
    <w:name w:val="footer"/>
    <w:basedOn w:val="Normal"/>
    <w:link w:val="FooterChar"/>
    <w:uiPriority w:val="99"/>
    <w:unhideWhenUsed/>
    <w:rsid w:val="00EA50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08F"/>
  </w:style>
  <w:style w:type="paragraph" w:styleId="Revision">
    <w:name w:val="Revision"/>
    <w:hidden/>
    <w:uiPriority w:val="99"/>
    <w:semiHidden/>
    <w:rsid w:val="00706DCC"/>
    <w:pPr>
      <w:spacing w:after="0" w:line="240" w:lineRule="auto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363C6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363C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363C6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B32D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3245-ECB5-43F6-9867-6869F97B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2589</Words>
  <Characters>13463</Characters>
  <Application>Microsoft Office Word</Application>
  <DocSecurity>0</DocSecurity>
  <Lines>538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Beek, Haylee</dc:creator>
  <cp:keywords/>
  <dc:description/>
  <cp:lastModifiedBy>Van Beek, Haylee</cp:lastModifiedBy>
  <cp:revision>2</cp:revision>
  <dcterms:created xsi:type="dcterms:W3CDTF">2026-04-24T08:02:00Z</dcterms:created>
  <dcterms:modified xsi:type="dcterms:W3CDTF">2026-04-24T08:02:00Z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73ce1aa9,5f12692c,4a8f1964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34f636e4,4280a9a2,592fc07b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2025-12-08T06:08:41Z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1a8ffdff-b835-4d7b-82b4-296d540ee494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</Properties>
</file>