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4426F6" w:rsidRDefault="009969D5" w:rsidP="004426F6">
      <w:pPr>
        <w:pStyle w:val="Heading-cover"/>
        <w:spacing w:line="240" w:lineRule="auto"/>
        <w:ind w:right="-8"/>
        <w:rPr>
          <w:b/>
          <w:sz w:val="36"/>
          <w:szCs w:val="36"/>
        </w:rPr>
      </w:pPr>
      <w:r w:rsidRPr="004426F6">
        <w:rPr>
          <w:b/>
          <w:sz w:val="36"/>
          <w:szCs w:val="36"/>
        </w:rPr>
        <w:t>Template</w:t>
      </w:r>
    </w:p>
    <w:p w:rsidR="008B07AE" w:rsidRPr="004426F6" w:rsidRDefault="00162C78" w:rsidP="004426F6">
      <w:pPr>
        <w:pStyle w:val="Sub-heading-cover"/>
        <w:rPr>
          <w:b w:val="0"/>
          <w:sz w:val="56"/>
          <w:szCs w:val="56"/>
        </w:rPr>
      </w:pPr>
      <w:r w:rsidRPr="004426F6">
        <w:rPr>
          <w:b w:val="0"/>
          <w:sz w:val="56"/>
          <w:szCs w:val="56"/>
        </w:rPr>
        <w:t>Measuring the benefits of change</w:t>
      </w:r>
    </w:p>
    <w:p w:rsidR="004426F6" w:rsidRPr="00685B1D" w:rsidRDefault="004426F6" w:rsidP="004426F6">
      <w:pPr>
        <w:pStyle w:val="HeadingOne"/>
      </w:pPr>
      <w:r w:rsidRPr="004426F6">
        <w:t>Change: &lt;Insert change title&gt;</w:t>
      </w:r>
      <w:r w:rsidRPr="004426F6">
        <w:tab/>
      </w:r>
      <w:r w:rsidRPr="00685B1D">
        <w:t>Date: &lt;Insert date&gt;</w:t>
      </w:r>
    </w:p>
    <w:p w:rsidR="00162C78" w:rsidRPr="00162C78" w:rsidRDefault="00162C78" w:rsidP="00162C78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62C78">
        <w:rPr>
          <w:rFonts w:ascii="Gill Sans MT" w:hAnsi="Gill Sans MT" w:cs="Arial"/>
          <w:szCs w:val="20"/>
        </w:rPr>
        <w:t xml:space="preserve">Use this template to plan how you will measure the impact of your activities. </w:t>
      </w:r>
    </w:p>
    <w:p w:rsidR="001D05B1" w:rsidRDefault="00125943" w:rsidP="004426F6">
      <w:pPr>
        <w:pStyle w:val="HeadingThree"/>
        <w:spacing w:before="0"/>
        <w:rPr>
          <w:rFonts w:cs="Arial"/>
          <w:b w:val="0"/>
        </w:rPr>
      </w:pPr>
      <w:r w:rsidRPr="006D10E9">
        <w:t>1</w:t>
      </w:r>
      <w:r w:rsidR="000B51E4">
        <w:t xml:space="preserve">. </w:t>
      </w:r>
      <w:r w:rsidR="00162C78">
        <w:t>Output measures</w:t>
      </w:r>
      <w:r w:rsidR="002932E2">
        <w:t>.</w:t>
      </w:r>
      <w:r w:rsidR="001D05B1" w:rsidRPr="001D05B1">
        <w:rPr>
          <w:rFonts w:cs="Arial"/>
          <w:b w:val="0"/>
        </w:rPr>
        <w:t xml:space="preserve"> </w:t>
      </w:r>
    </w:p>
    <w:p w:rsidR="00162C78" w:rsidRDefault="00162C78" w:rsidP="00162C78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62C78">
        <w:rPr>
          <w:rFonts w:ascii="Gill Sans MT" w:hAnsi="Gill Sans MT" w:cs="Arial"/>
          <w:szCs w:val="20"/>
        </w:rPr>
        <w:t xml:space="preserve">You will need to record the </w:t>
      </w:r>
      <w:r w:rsidRPr="00162C78">
        <w:rPr>
          <w:rFonts w:ascii="Gill Sans MT" w:hAnsi="Gill Sans MT" w:cs="Arial"/>
          <w:b/>
          <w:szCs w:val="20"/>
        </w:rPr>
        <w:t>output measures</w:t>
      </w:r>
      <w:r w:rsidRPr="00162C78">
        <w:rPr>
          <w:rFonts w:ascii="Gill Sans MT" w:hAnsi="Gill Sans MT" w:cs="Arial"/>
          <w:szCs w:val="20"/>
        </w:rPr>
        <w:t xml:space="preserve">, or project milestones, including standards, timings, </w:t>
      </w:r>
      <w:proofErr w:type="gramStart"/>
      <w:r w:rsidRPr="00162C78">
        <w:rPr>
          <w:rFonts w:ascii="Gill Sans MT" w:hAnsi="Gill Sans MT" w:cs="Arial"/>
          <w:szCs w:val="20"/>
        </w:rPr>
        <w:t>locations</w:t>
      </w:r>
      <w:proofErr w:type="gramEnd"/>
      <w:r w:rsidRPr="00162C78">
        <w:rPr>
          <w:rFonts w:ascii="Gill Sans MT" w:hAnsi="Gill Sans MT" w:cs="Arial"/>
          <w:szCs w:val="20"/>
        </w:rPr>
        <w:t xml:space="preserve"> (where relevant), benefit realisation and costing ie what you are doing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9998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620" w:firstRow="1" w:lastRow="0" w:firstColumn="0" w:lastColumn="0" w:noHBand="1" w:noVBand="1"/>
      </w:tblPr>
      <w:tblGrid>
        <w:gridCol w:w="1451"/>
        <w:gridCol w:w="1243"/>
        <w:gridCol w:w="1134"/>
        <w:gridCol w:w="1451"/>
        <w:gridCol w:w="1452"/>
        <w:gridCol w:w="1815"/>
        <w:gridCol w:w="1452"/>
      </w:tblGrid>
      <w:tr w:rsidR="00162C78" w:rsidRPr="002875D4" w:rsidTr="00BD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451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62C78" w:rsidRPr="001D05B1" w:rsidRDefault="00162C78" w:rsidP="00A3325B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162C78">
              <w:rPr>
                <w:rFonts w:ascii="Gill Sans MT" w:hAnsi="Gill Sans MT" w:cs="Arial"/>
              </w:rPr>
              <w:t>Output measure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62C78" w:rsidRPr="00DA2BFD" w:rsidRDefault="00162C78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Baseline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Target</w:t>
            </w:r>
          </w:p>
        </w:tc>
        <w:tc>
          <w:tcPr>
            <w:tcW w:w="14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How we’ll measure it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Frequency</w:t>
            </w:r>
          </w:p>
        </w:tc>
        <w:tc>
          <w:tcPr>
            <w:tcW w:w="1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Responsibility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162C78" w:rsidRPr="00DA2BFD" w:rsidRDefault="00162C78" w:rsidP="00A3325B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Audience</w:t>
            </w:r>
          </w:p>
        </w:tc>
      </w:tr>
      <w:tr w:rsidR="00162C78" w:rsidRPr="002875D4" w:rsidTr="00162C78">
        <w:trPr>
          <w:cantSplit/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162C78">
        <w:trPr>
          <w:cantSplit/>
          <w:trHeight w:val="20"/>
        </w:trPr>
        <w:tc>
          <w:tcPr>
            <w:tcW w:w="1451" w:type="dxa"/>
            <w:shd w:val="clear" w:color="auto" w:fill="auto"/>
            <w:vAlign w:val="center"/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162C7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162C78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</w:tbl>
    <w:p w:rsidR="002932E2" w:rsidRDefault="002932E2" w:rsidP="002932E2">
      <w:pPr>
        <w:pStyle w:val="HeadingThree"/>
      </w:pPr>
      <w:r>
        <w:t>2</w:t>
      </w:r>
      <w:r w:rsidRPr="00A56ED3">
        <w:t xml:space="preserve">. </w:t>
      </w:r>
      <w:r w:rsidR="00162C78">
        <w:t>Outcome measures</w:t>
      </w:r>
      <w:r>
        <w:t xml:space="preserve">. </w:t>
      </w:r>
    </w:p>
    <w:p w:rsidR="00162C78" w:rsidRDefault="00162C78" w:rsidP="00162C78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62C78">
        <w:rPr>
          <w:rFonts w:ascii="Gill Sans MT" w:hAnsi="Gill Sans MT" w:cs="Arial"/>
          <w:szCs w:val="20"/>
        </w:rPr>
        <w:t xml:space="preserve">You will need to record the </w:t>
      </w:r>
      <w:r w:rsidRPr="00162C78">
        <w:rPr>
          <w:rFonts w:ascii="Gill Sans MT" w:hAnsi="Gill Sans MT" w:cs="Arial"/>
          <w:b/>
          <w:szCs w:val="20"/>
        </w:rPr>
        <w:t>outcome measures</w:t>
      </w:r>
      <w:r w:rsidRPr="00162C78">
        <w:rPr>
          <w:rFonts w:ascii="Gill Sans MT" w:hAnsi="Gill Sans MT" w:cs="Arial"/>
          <w:szCs w:val="20"/>
        </w:rPr>
        <w:t>, or a set of agreed key performance indicators ie the results and ultimate impacts of your actions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9998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620" w:firstRow="1" w:lastRow="0" w:firstColumn="0" w:lastColumn="0" w:noHBand="1" w:noVBand="1"/>
      </w:tblPr>
      <w:tblGrid>
        <w:gridCol w:w="1451"/>
        <w:gridCol w:w="1243"/>
        <w:gridCol w:w="1134"/>
        <w:gridCol w:w="1451"/>
        <w:gridCol w:w="1452"/>
        <w:gridCol w:w="1815"/>
        <w:gridCol w:w="1452"/>
      </w:tblGrid>
      <w:tr w:rsidR="00162C78" w:rsidRPr="002875D4" w:rsidTr="00BD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451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62C78" w:rsidRPr="001D05B1" w:rsidRDefault="00162C78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162C78">
              <w:rPr>
                <w:rFonts w:ascii="Gill Sans MT" w:hAnsi="Gill Sans MT" w:cs="Arial"/>
              </w:rPr>
              <w:t>Output measure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Baseline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Target</w:t>
            </w:r>
          </w:p>
        </w:tc>
        <w:tc>
          <w:tcPr>
            <w:tcW w:w="14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How we’ll measure it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Frequency</w:t>
            </w:r>
          </w:p>
        </w:tc>
        <w:tc>
          <w:tcPr>
            <w:tcW w:w="1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Responsibility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Audience</w:t>
            </w:r>
          </w:p>
        </w:tc>
      </w:tr>
      <w:tr w:rsidR="00162C78" w:rsidRPr="002875D4" w:rsidTr="008315F4">
        <w:trPr>
          <w:cantSplit/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8315F4">
        <w:trPr>
          <w:cantSplit/>
          <w:trHeight w:val="20"/>
        </w:trPr>
        <w:tc>
          <w:tcPr>
            <w:tcW w:w="1451" w:type="dxa"/>
            <w:shd w:val="clear" w:color="auto" w:fill="auto"/>
            <w:vAlign w:val="center"/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8315F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8315F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</w:tbl>
    <w:p w:rsidR="00162C78" w:rsidRDefault="00162C78" w:rsidP="00162C78">
      <w:pPr>
        <w:pStyle w:val="HeadingThree"/>
      </w:pPr>
      <w:r>
        <w:t>3</w:t>
      </w:r>
      <w:r w:rsidRPr="00A56ED3">
        <w:t xml:space="preserve">. </w:t>
      </w:r>
      <w:r>
        <w:t xml:space="preserve">Control measures. </w:t>
      </w:r>
    </w:p>
    <w:p w:rsidR="00162C78" w:rsidRDefault="00162C78" w:rsidP="00162C78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62C78">
        <w:rPr>
          <w:rFonts w:ascii="Gill Sans MT" w:hAnsi="Gill Sans MT" w:cs="Arial"/>
          <w:szCs w:val="20"/>
        </w:rPr>
        <w:t xml:space="preserve">You will need to record the </w:t>
      </w:r>
      <w:r w:rsidRPr="00162C78">
        <w:rPr>
          <w:rFonts w:ascii="Gill Sans MT" w:hAnsi="Gill Sans MT" w:cs="Arial"/>
          <w:b/>
          <w:szCs w:val="20"/>
        </w:rPr>
        <w:t>control measures</w:t>
      </w:r>
      <w:r w:rsidRPr="00162C78">
        <w:rPr>
          <w:rFonts w:ascii="Gill Sans MT" w:hAnsi="Gill Sans MT" w:cs="Arial"/>
          <w:szCs w:val="20"/>
        </w:rPr>
        <w:t>, which may have been identified on your risk register. Your control measures are things that you do not want to change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9998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620" w:firstRow="1" w:lastRow="0" w:firstColumn="0" w:lastColumn="0" w:noHBand="1" w:noVBand="1"/>
      </w:tblPr>
      <w:tblGrid>
        <w:gridCol w:w="1451"/>
        <w:gridCol w:w="1243"/>
        <w:gridCol w:w="1134"/>
        <w:gridCol w:w="1451"/>
        <w:gridCol w:w="1452"/>
        <w:gridCol w:w="1815"/>
        <w:gridCol w:w="1452"/>
      </w:tblGrid>
      <w:tr w:rsidR="00162C78" w:rsidRPr="002875D4" w:rsidTr="00BD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1451" w:type="dxa"/>
            <w:tcBorders>
              <w:left w:val="single" w:sz="8" w:space="0" w:color="1F497D" w:themeColor="text2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62C78" w:rsidRPr="001D05B1" w:rsidRDefault="00162C78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162C78">
              <w:rPr>
                <w:rFonts w:ascii="Gill Sans MT" w:hAnsi="Gill Sans MT" w:cs="Arial"/>
              </w:rPr>
              <w:t>Output measure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Baseline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Target</w:t>
            </w:r>
          </w:p>
        </w:tc>
        <w:tc>
          <w:tcPr>
            <w:tcW w:w="14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How we’ll measure it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Frequency</w:t>
            </w:r>
          </w:p>
        </w:tc>
        <w:tc>
          <w:tcPr>
            <w:tcW w:w="1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Responsibility</w:t>
            </w:r>
          </w:p>
        </w:tc>
        <w:tc>
          <w:tcPr>
            <w:tcW w:w="1452" w:type="dxa"/>
            <w:tcBorders>
              <w:left w:val="single" w:sz="4" w:space="0" w:color="FFFFFF" w:themeColor="background1"/>
              <w:right w:val="single" w:sz="8" w:space="0" w:color="1F497D" w:themeColor="text2"/>
            </w:tcBorders>
            <w:shd w:val="clear" w:color="auto" w:fill="1F497D" w:themeFill="text2"/>
          </w:tcPr>
          <w:p w:rsidR="00162C78" w:rsidRPr="00DA2BFD" w:rsidRDefault="00162C78" w:rsidP="008315F4">
            <w:pPr>
              <w:spacing w:before="60" w:after="60" w:line="276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Audience</w:t>
            </w:r>
          </w:p>
        </w:tc>
      </w:tr>
      <w:tr w:rsidR="00162C78" w:rsidRPr="002875D4" w:rsidTr="008315F4">
        <w:trPr>
          <w:cantSplit/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vAlign w:val="center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bottom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8315F4">
        <w:trPr>
          <w:cantSplit/>
          <w:trHeight w:val="20"/>
        </w:trPr>
        <w:tc>
          <w:tcPr>
            <w:tcW w:w="1451" w:type="dxa"/>
            <w:shd w:val="clear" w:color="auto" w:fill="auto"/>
            <w:vAlign w:val="center"/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vAlign w:val="center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8315F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  <w:tr w:rsidR="00162C78" w:rsidRPr="002875D4" w:rsidTr="008315F4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685B1D" w:rsidRDefault="00162C78" w:rsidP="00685B1D">
            <w:pPr>
              <w:spacing w:before="40" w:after="40" w:line="276" w:lineRule="auto"/>
              <w:rPr>
                <w:rFonts w:ascii="Gill Sans MT" w:hAnsi="Gill Sans MT" w:cs="Arial"/>
                <w:bCs/>
              </w:rPr>
            </w:pPr>
          </w:p>
        </w:tc>
        <w:tc>
          <w:tcPr>
            <w:tcW w:w="124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81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  <w:tc>
          <w:tcPr>
            <w:tcW w:w="145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162C78" w:rsidRPr="002875D4" w:rsidRDefault="00162C78" w:rsidP="00685B1D">
            <w:pPr>
              <w:spacing w:before="40" w:after="40" w:line="276" w:lineRule="auto"/>
              <w:rPr>
                <w:rFonts w:ascii="Gill Sans MT" w:hAnsi="Gill Sans MT" w:cs="Arial"/>
              </w:rPr>
            </w:pPr>
          </w:p>
        </w:tc>
      </w:tr>
    </w:tbl>
    <w:p w:rsidR="00DA2BFD" w:rsidRPr="00252B92" w:rsidRDefault="00F2142B" w:rsidP="00F2142B">
      <w:pPr>
        <w:spacing w:before="120" w:after="120" w:line="276" w:lineRule="auto"/>
        <w:rPr>
          <w:b/>
        </w:rPr>
      </w:pP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Adapted with permission from material attributed to:</w:t>
      </w:r>
      <w:r w:rsidRPr="009C16EC">
        <w:rPr>
          <w:rFonts w:ascii="Gill Sans MT" w:hAnsi="Gill Sans MT" w:cs="Arial"/>
          <w:color w:val="000000" w:themeColor="text1"/>
          <w:sz w:val="20"/>
        </w:rPr>
        <w:t xml:space="preserve">  </w:t>
      </w:r>
      <w:r w:rsidRPr="003B66C8">
        <w:rPr>
          <w:rFonts w:ascii="Gill Sans MT" w:hAnsi="Gill Sans MT" w:cs="Arial"/>
          <w:sz w:val="20"/>
        </w:rPr>
        <w:t>The Office for the Public Sector, the Government of South Australia, Change Management Resources 2014, Sourced on 3 February 2016, http://publicsector.sa.gov.au/culture/change-management-toolkit/</w:t>
      </w:r>
      <w:bookmarkStart w:id="0" w:name="_GoBack"/>
      <w:bookmarkEnd w:id="0"/>
    </w:p>
    <w:sectPr w:rsidR="00DA2BFD" w:rsidRPr="00252B92" w:rsidSect="00774DD0">
      <w:footerReference w:type="default" r:id="rId9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9A23B7" w:rsidP="009A23B7">
    <w:pPr>
      <w:pStyle w:val="Footer"/>
      <w:rPr>
        <w:rFonts w:ascii="Gill Sans MT" w:hAnsi="Gill Sans MT"/>
        <w:sz w:val="20"/>
        <w:szCs w:val="20"/>
      </w:rPr>
    </w:pPr>
    <w:r w:rsidRPr="005D13D8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B1165A8" wp14:editId="5575A9C8">
          <wp:simplePos x="0" y="0"/>
          <wp:positionH relativeFrom="column">
            <wp:posOffset>4497232</wp:posOffset>
          </wp:positionH>
          <wp:positionV relativeFrom="paragraph">
            <wp:posOffset>-218440</wp:posOffset>
          </wp:positionV>
          <wp:extent cx="1323975" cy="476250"/>
          <wp:effectExtent l="0" t="0" r="9525" b="0"/>
          <wp:wrapNone/>
          <wp:docPr id="22" name="Picture 22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3D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FF5000" wp14:editId="66ACCA84">
          <wp:simplePos x="0" y="0"/>
          <wp:positionH relativeFrom="column">
            <wp:posOffset>-670873</wp:posOffset>
          </wp:positionH>
          <wp:positionV relativeFrom="page">
            <wp:posOffset>9606915</wp:posOffset>
          </wp:positionV>
          <wp:extent cx="7366000" cy="393700"/>
          <wp:effectExtent l="0" t="0" r="6350" b="6350"/>
          <wp:wrapNone/>
          <wp:docPr id="23" name="Picture 23" descr="Base 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Wav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448B5"/>
    <w:rsid w:val="00085EB6"/>
    <w:rsid w:val="000A1775"/>
    <w:rsid w:val="000B51E4"/>
    <w:rsid w:val="000B756F"/>
    <w:rsid w:val="000D275D"/>
    <w:rsid w:val="000D357A"/>
    <w:rsid w:val="0010352C"/>
    <w:rsid w:val="00125943"/>
    <w:rsid w:val="00141B66"/>
    <w:rsid w:val="0015038A"/>
    <w:rsid w:val="00155BF0"/>
    <w:rsid w:val="00162C78"/>
    <w:rsid w:val="001C3A70"/>
    <w:rsid w:val="001D05B1"/>
    <w:rsid w:val="001D2D1F"/>
    <w:rsid w:val="001E20B5"/>
    <w:rsid w:val="00217A8D"/>
    <w:rsid w:val="002247ED"/>
    <w:rsid w:val="00231AFF"/>
    <w:rsid w:val="00252B92"/>
    <w:rsid w:val="002559EF"/>
    <w:rsid w:val="0027037B"/>
    <w:rsid w:val="00281957"/>
    <w:rsid w:val="002875D4"/>
    <w:rsid w:val="002932E2"/>
    <w:rsid w:val="002B3937"/>
    <w:rsid w:val="002B61D0"/>
    <w:rsid w:val="002C3698"/>
    <w:rsid w:val="002E6FE9"/>
    <w:rsid w:val="00317549"/>
    <w:rsid w:val="00324B30"/>
    <w:rsid w:val="003339C7"/>
    <w:rsid w:val="00333D63"/>
    <w:rsid w:val="00356BC5"/>
    <w:rsid w:val="003C2C83"/>
    <w:rsid w:val="00410CD2"/>
    <w:rsid w:val="00430D69"/>
    <w:rsid w:val="004426F6"/>
    <w:rsid w:val="00473E80"/>
    <w:rsid w:val="0049608C"/>
    <w:rsid w:val="004F14F9"/>
    <w:rsid w:val="00506E90"/>
    <w:rsid w:val="0051715E"/>
    <w:rsid w:val="00527764"/>
    <w:rsid w:val="00536C92"/>
    <w:rsid w:val="00540405"/>
    <w:rsid w:val="00561591"/>
    <w:rsid w:val="005C146D"/>
    <w:rsid w:val="005C1B98"/>
    <w:rsid w:val="005D13D8"/>
    <w:rsid w:val="005F461B"/>
    <w:rsid w:val="0062162A"/>
    <w:rsid w:val="006240C5"/>
    <w:rsid w:val="0062487F"/>
    <w:rsid w:val="00644B3A"/>
    <w:rsid w:val="00644F07"/>
    <w:rsid w:val="00655156"/>
    <w:rsid w:val="0065613B"/>
    <w:rsid w:val="0065639F"/>
    <w:rsid w:val="00685B1D"/>
    <w:rsid w:val="00686724"/>
    <w:rsid w:val="00693E2A"/>
    <w:rsid w:val="006A030A"/>
    <w:rsid w:val="006C1611"/>
    <w:rsid w:val="006C4A37"/>
    <w:rsid w:val="006C60B0"/>
    <w:rsid w:val="006D10E9"/>
    <w:rsid w:val="006D7662"/>
    <w:rsid w:val="006E541F"/>
    <w:rsid w:val="006E7AD5"/>
    <w:rsid w:val="00703E8B"/>
    <w:rsid w:val="0074481F"/>
    <w:rsid w:val="007453D3"/>
    <w:rsid w:val="007722E8"/>
    <w:rsid w:val="00774DD0"/>
    <w:rsid w:val="00791F0F"/>
    <w:rsid w:val="007D1713"/>
    <w:rsid w:val="007D2BC0"/>
    <w:rsid w:val="007D3770"/>
    <w:rsid w:val="008107AC"/>
    <w:rsid w:val="00813DC0"/>
    <w:rsid w:val="0081649D"/>
    <w:rsid w:val="0085135C"/>
    <w:rsid w:val="008A2E4E"/>
    <w:rsid w:val="008B07AE"/>
    <w:rsid w:val="008E1BC1"/>
    <w:rsid w:val="009510C0"/>
    <w:rsid w:val="00955418"/>
    <w:rsid w:val="009969D5"/>
    <w:rsid w:val="009A23B7"/>
    <w:rsid w:val="009D1EC3"/>
    <w:rsid w:val="009E78CD"/>
    <w:rsid w:val="00A3325B"/>
    <w:rsid w:val="00A56ED3"/>
    <w:rsid w:val="00A64471"/>
    <w:rsid w:val="00A73C92"/>
    <w:rsid w:val="00A80BB8"/>
    <w:rsid w:val="00A95491"/>
    <w:rsid w:val="00AA3DE4"/>
    <w:rsid w:val="00AB5B71"/>
    <w:rsid w:val="00AD1118"/>
    <w:rsid w:val="00AE1088"/>
    <w:rsid w:val="00B051EE"/>
    <w:rsid w:val="00B32754"/>
    <w:rsid w:val="00B65D0E"/>
    <w:rsid w:val="00B94118"/>
    <w:rsid w:val="00BA557F"/>
    <w:rsid w:val="00BC68B3"/>
    <w:rsid w:val="00BD6807"/>
    <w:rsid w:val="00BF4211"/>
    <w:rsid w:val="00C05BC3"/>
    <w:rsid w:val="00C320EB"/>
    <w:rsid w:val="00C44143"/>
    <w:rsid w:val="00C459C1"/>
    <w:rsid w:val="00C517F5"/>
    <w:rsid w:val="00CC3181"/>
    <w:rsid w:val="00CC7B11"/>
    <w:rsid w:val="00CE7BFE"/>
    <w:rsid w:val="00CF1C1C"/>
    <w:rsid w:val="00D30A8E"/>
    <w:rsid w:val="00D60D98"/>
    <w:rsid w:val="00D63E64"/>
    <w:rsid w:val="00D906D5"/>
    <w:rsid w:val="00DA2BFD"/>
    <w:rsid w:val="00E51265"/>
    <w:rsid w:val="00E97FF8"/>
    <w:rsid w:val="00EA0567"/>
    <w:rsid w:val="00EA5CBA"/>
    <w:rsid w:val="00F150C3"/>
    <w:rsid w:val="00F155A2"/>
    <w:rsid w:val="00F2142B"/>
    <w:rsid w:val="00F5203F"/>
    <w:rsid w:val="00F66FFB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4426F6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6D10E9"/>
    <w:pPr>
      <w:spacing w:line="276" w:lineRule="auto"/>
      <w:ind w:right="0"/>
    </w:pPr>
    <w:rPr>
      <w:rFonts w:ascii="Gill Sans MT" w:hAnsi="Gill Sans MT"/>
      <w:color w:val="1F497D" w:themeColor="text2"/>
      <w:sz w:val="56"/>
      <w:szCs w:val="56"/>
    </w:rPr>
  </w:style>
  <w:style w:type="paragraph" w:customStyle="1" w:styleId="Sub-heading-cover">
    <w:name w:val="Sub-heading - cover"/>
    <w:basedOn w:val="Heading2"/>
    <w:qFormat/>
    <w:rsid w:val="006D10E9"/>
    <w:pPr>
      <w:spacing w:before="0" w:after="0" w:line="276" w:lineRule="auto"/>
    </w:pPr>
    <w:rPr>
      <w:rFonts w:ascii="Gill Sans MT" w:hAnsi="Gill Sans MT"/>
      <w:i w:val="0"/>
      <w:color w:val="1F497D" w:themeColor="text2"/>
      <w:sz w:val="36"/>
      <w:szCs w:val="3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4426F6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6090-5853-49B0-8854-6F1EAF28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Measuring the benefits of change</vt:lpstr>
    </vt:vector>
  </TitlesOfParts>
  <Company>Department of Premier and Cabinet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Measuring the benefits of change</dc:title>
  <dc:creator>amy.breen</dc:creator>
  <cp:lastModifiedBy>Molhuysen, Jodi</cp:lastModifiedBy>
  <cp:revision>3</cp:revision>
  <cp:lastPrinted>2016-02-16T05:18:00Z</cp:lastPrinted>
  <dcterms:created xsi:type="dcterms:W3CDTF">2016-03-04T05:59:00Z</dcterms:created>
  <dcterms:modified xsi:type="dcterms:W3CDTF">2016-03-23T01:17:00Z</dcterms:modified>
</cp:coreProperties>
</file>