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552F9F" w:rsidRDefault="00383024" w:rsidP="00552F9F">
      <w:pPr>
        <w:pStyle w:val="Heading-cover"/>
        <w:rPr>
          <w:b/>
          <w:sz w:val="36"/>
          <w:szCs w:val="36"/>
        </w:rPr>
      </w:pPr>
      <w:r w:rsidRPr="00552F9F">
        <w:rPr>
          <w:b/>
          <w:sz w:val="36"/>
          <w:szCs w:val="36"/>
        </w:rPr>
        <w:t>Factsheet</w:t>
      </w:r>
    </w:p>
    <w:p w:rsidR="008B07AE" w:rsidRPr="00552F9F" w:rsidRDefault="00552F9F" w:rsidP="00552F9F">
      <w:pPr>
        <w:pStyle w:val="Sub-heading-cover"/>
        <w:rPr>
          <w:b w:val="0"/>
          <w:sz w:val="56"/>
          <w:szCs w:val="56"/>
        </w:rPr>
      </w:pPr>
      <w:r w:rsidRPr="00552F9F">
        <w:rPr>
          <w:b w:val="0"/>
          <w:sz w:val="56"/>
          <w:szCs w:val="56"/>
        </w:rPr>
        <w:t>Change I</w:t>
      </w:r>
      <w:r w:rsidR="00F27721" w:rsidRPr="00552F9F">
        <w:rPr>
          <w:b w:val="0"/>
          <w:sz w:val="56"/>
          <w:szCs w:val="56"/>
        </w:rPr>
        <w:t xml:space="preserve">mpact </w:t>
      </w:r>
      <w:r w:rsidRPr="00552F9F">
        <w:rPr>
          <w:b w:val="0"/>
          <w:sz w:val="56"/>
          <w:szCs w:val="56"/>
        </w:rPr>
        <w:t>A</w:t>
      </w:r>
      <w:r w:rsidR="00F27721" w:rsidRPr="00552F9F">
        <w:rPr>
          <w:b w:val="0"/>
          <w:sz w:val="56"/>
          <w:szCs w:val="56"/>
        </w:rPr>
        <w:t>ssessment</w:t>
      </w:r>
    </w:p>
    <w:p w:rsidR="00361FBC" w:rsidRDefault="00F27721" w:rsidP="00361FBC">
      <w:pPr>
        <w:spacing w:before="120" w:after="120" w:line="276" w:lineRule="auto"/>
        <w:ind w:right="-23"/>
        <w:rPr>
          <w:rFonts w:ascii="Gill Sans MT" w:hAnsi="Gill Sans MT" w:cs="Arial"/>
        </w:rPr>
      </w:pPr>
      <w:r w:rsidRPr="00F27721">
        <w:rPr>
          <w:rFonts w:ascii="Gill Sans MT" w:hAnsi="Gill Sans MT" w:cs="Arial"/>
        </w:rPr>
        <w:t xml:space="preserve">A change impact assessment is the starting point for developing your change plan so that you can actively manage the implications of your change project. Your change impact assessment is successful if you have a realistic understanding of how the change will impact your agency or department and key stakeholder groups. </w:t>
      </w:r>
    </w:p>
    <w:p w:rsidR="007045D3" w:rsidRPr="00F27721" w:rsidRDefault="00F27721" w:rsidP="00361FBC">
      <w:pPr>
        <w:spacing w:before="120" w:after="120" w:line="276" w:lineRule="auto"/>
        <w:ind w:right="-23"/>
        <w:rPr>
          <w:rFonts w:ascii="Gill Sans MT" w:hAnsi="Gill Sans MT" w:cs="Arial"/>
          <w:sz w:val="20"/>
          <w:szCs w:val="20"/>
        </w:rPr>
      </w:pPr>
      <w:r w:rsidRPr="00F27721">
        <w:rPr>
          <w:rFonts w:ascii="Gill Sans MT" w:hAnsi="Gill Sans MT" w:cs="Arial"/>
        </w:rPr>
        <w:t>Use your stakeholder engagement plan/map and change impact assessment tools to identify groups of people, internal and external, who may be impacted directly or indirectly by the change and then assess impacts to the following categories:</w:t>
      </w:r>
      <w:r w:rsidR="00E45F19" w:rsidRPr="00F27721">
        <w:rPr>
          <w:rFonts w:ascii="Gill Sans MT" w:hAnsi="Gill Sans MT" w:cs="Arial"/>
          <w:sz w:val="20"/>
          <w:szCs w:val="20"/>
        </w:rPr>
        <w:t xml:space="preserve"> </w:t>
      </w:r>
    </w:p>
    <w:tbl>
      <w:tblPr>
        <w:tblStyle w:val="TableGrid"/>
        <w:tblW w:w="992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00" w:firstRow="0" w:lastRow="0" w:firstColumn="0" w:lastColumn="0" w:noHBand="1" w:noVBand="1"/>
        <w:tblCaption w:val="Change impact categories"/>
        <w:tblDescription w:val="Change impact categories - explained"/>
      </w:tblPr>
      <w:tblGrid>
        <w:gridCol w:w="1985"/>
        <w:gridCol w:w="7938"/>
      </w:tblGrid>
      <w:tr w:rsidR="00D17EE9" w:rsidRPr="00D17EE9" w:rsidTr="00E10B63">
        <w:trPr>
          <w:cantSplit/>
          <w:trHeight w:val="361"/>
          <w:tblHeader/>
        </w:trPr>
        <w:tc>
          <w:tcPr>
            <w:tcW w:w="1985" w:type="dxa"/>
            <w:tcBorders>
              <w:right w:val="single" w:sz="4" w:space="0" w:color="FFFFFF" w:themeColor="background1"/>
            </w:tcBorders>
            <w:shd w:val="clear" w:color="auto" w:fill="1F497D" w:themeFill="text2"/>
            <w:vAlign w:val="center"/>
          </w:tcPr>
          <w:p w:rsidR="00D17EE9" w:rsidRPr="00D17EE9" w:rsidRDefault="00D17EE9" w:rsidP="00D17EE9">
            <w:pPr>
              <w:tabs>
                <w:tab w:val="left" w:pos="-142"/>
              </w:tabs>
              <w:spacing w:before="60" w:after="60" w:line="276" w:lineRule="auto"/>
              <w:ind w:right="34"/>
              <w:rPr>
                <w:rFonts w:ascii="Gill Sans MT" w:eastAsiaTheme="minorHAnsi" w:hAnsi="Gill Sans MT" w:cs="Arial"/>
                <w:b/>
                <w:color w:val="FFFFFF" w:themeColor="background1"/>
              </w:rPr>
            </w:pPr>
            <w:r w:rsidRPr="00D17EE9">
              <w:rPr>
                <w:rFonts w:ascii="Gill Sans MT" w:eastAsiaTheme="minorHAnsi" w:hAnsi="Gill Sans MT" w:cs="Arial"/>
                <w:b/>
                <w:color w:val="FFFFFF" w:themeColor="background1"/>
              </w:rPr>
              <w:t>Category</w:t>
            </w:r>
            <w:r w:rsidRPr="00E032E5">
              <w:rPr>
                <w:rFonts w:ascii="Gill Sans MT" w:eastAsiaTheme="minorHAnsi" w:hAnsi="Gill Sans MT" w:cs="Arial"/>
                <w:b/>
                <w:color w:val="1F497D" w:themeColor="text2"/>
              </w:rPr>
              <w:t>.</w:t>
            </w:r>
          </w:p>
        </w:tc>
        <w:tc>
          <w:tcPr>
            <w:tcW w:w="7938" w:type="dxa"/>
            <w:tcBorders>
              <w:left w:val="single" w:sz="4" w:space="0" w:color="FFFFFF" w:themeColor="background1"/>
            </w:tcBorders>
            <w:shd w:val="clear" w:color="auto" w:fill="1F497D" w:themeFill="text2"/>
            <w:vAlign w:val="center"/>
          </w:tcPr>
          <w:p w:rsidR="00D17EE9" w:rsidRPr="00D17EE9" w:rsidRDefault="00D17EE9" w:rsidP="00D17EE9">
            <w:pPr>
              <w:pStyle w:val="HeadingThree"/>
              <w:spacing w:before="60"/>
              <w:rPr>
                <w:color w:val="FFFFFF" w:themeColor="background1"/>
              </w:rPr>
            </w:pPr>
            <w:r w:rsidRPr="00D17EE9">
              <w:rPr>
                <w:color w:val="FFFFFF" w:themeColor="background1"/>
              </w:rPr>
              <w:t>Explanation</w:t>
            </w:r>
            <w:r w:rsidRPr="00E032E5">
              <w:rPr>
                <w:color w:val="1F497D" w:themeColor="text2"/>
              </w:rPr>
              <w:t>.</w:t>
            </w:r>
          </w:p>
        </w:tc>
      </w:tr>
      <w:tr w:rsidR="005B2098" w:rsidRPr="00D17EE9" w:rsidTr="00E10B63">
        <w:tblPrEx>
          <w:tblLook w:val="04A0" w:firstRow="1" w:lastRow="0" w:firstColumn="1" w:lastColumn="0" w:noHBand="0" w:noVBand="1"/>
        </w:tblPrEx>
        <w:trPr>
          <w:trHeight w:val="1871"/>
        </w:trPr>
        <w:tc>
          <w:tcPr>
            <w:tcW w:w="1985" w:type="dxa"/>
            <w:shd w:val="clear" w:color="auto" w:fill="DBE5F1" w:themeFill="accent1" w:themeFillTint="33"/>
          </w:tcPr>
          <w:p w:rsidR="005B2098" w:rsidRPr="00D17EE9" w:rsidRDefault="005B2098" w:rsidP="00E57B91">
            <w:pPr>
              <w:pStyle w:val="HeadingThree"/>
              <w:rPr>
                <w:rFonts w:eastAsiaTheme="minorHAnsi"/>
              </w:rPr>
            </w:pPr>
            <w:r w:rsidRPr="00D17EE9">
              <w:rPr>
                <w:rFonts w:eastAsiaTheme="minorHAnsi"/>
              </w:rPr>
              <w:t>Legislation</w:t>
            </w:r>
            <w:r w:rsidR="00C46E08" w:rsidRPr="00C46E08">
              <w:rPr>
                <w:rFonts w:eastAsiaTheme="minorHAnsi"/>
                <w:color w:val="DBE5F1" w:themeColor="accent1" w:themeTint="33"/>
              </w:rPr>
              <w:t>.</w:t>
            </w:r>
          </w:p>
          <w:p w:rsidR="005B2098" w:rsidRPr="00D17EE9" w:rsidRDefault="005B2098" w:rsidP="00E57B91">
            <w:pPr>
              <w:pStyle w:val="HeadingThree"/>
              <w:rPr>
                <w:rFonts w:eastAsiaTheme="minorHAnsi"/>
              </w:rPr>
            </w:pPr>
            <w:r w:rsidRPr="00D17EE9">
              <w:rPr>
                <w:rFonts w:eastAsiaTheme="minorHAnsi"/>
              </w:rPr>
              <w:t>Awards</w:t>
            </w:r>
            <w:r w:rsidR="00C46E08" w:rsidRPr="00C46E08">
              <w:rPr>
                <w:rFonts w:eastAsiaTheme="minorHAnsi"/>
                <w:color w:val="DBE5F1" w:themeColor="accent1" w:themeTint="33"/>
                <w:shd w:val="clear" w:color="auto" w:fill="DBE5F1" w:themeFill="accent1" w:themeFillTint="33"/>
              </w:rPr>
              <w:t>.</w:t>
            </w:r>
          </w:p>
        </w:tc>
        <w:tc>
          <w:tcPr>
            <w:tcW w:w="7938" w:type="dxa"/>
            <w:shd w:val="clear" w:color="auto" w:fill="DBE5F1" w:themeFill="accent1" w:themeFillTint="33"/>
          </w:tcPr>
          <w:p w:rsidR="005B2098" w:rsidRPr="00D17EE9" w:rsidRDefault="005B2098" w:rsidP="00E57B91">
            <w:pPr>
              <w:pStyle w:val="HeadingThree"/>
            </w:pPr>
            <w:r w:rsidRPr="00D17EE9">
              <w:t xml:space="preserve">The Legislation and Awards operating in the Service: </w:t>
            </w:r>
          </w:p>
          <w:p w:rsidR="005B2098" w:rsidRPr="00D17EE9" w:rsidRDefault="005B2098"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State and Federal pieces of legislation which may constrain and/or require amendment</w:t>
            </w:r>
            <w:r>
              <w:rPr>
                <w:rFonts w:ascii="Gill Sans MT" w:hAnsi="Gill Sans MT" w:cs="Arial"/>
              </w:rPr>
              <w:t>.</w:t>
            </w:r>
          </w:p>
          <w:p w:rsidR="005B2098" w:rsidRPr="00D17EE9" w:rsidRDefault="005B2098"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Awards may constrain and/or require amendment</w:t>
            </w:r>
            <w:r>
              <w:rPr>
                <w:rFonts w:ascii="Gill Sans MT" w:hAnsi="Gill Sans MT" w:cs="Arial"/>
              </w:rPr>
              <w:t>.</w:t>
            </w:r>
          </w:p>
        </w:tc>
      </w:tr>
      <w:tr w:rsidR="005B2098" w:rsidRPr="00D17EE9" w:rsidTr="00E10B63">
        <w:tblPrEx>
          <w:tblLook w:val="04A0" w:firstRow="1" w:lastRow="0" w:firstColumn="1" w:lastColumn="0" w:noHBand="0" w:noVBand="1"/>
        </w:tblPrEx>
        <w:trPr>
          <w:trHeight w:val="2154"/>
        </w:trPr>
        <w:tc>
          <w:tcPr>
            <w:tcW w:w="1985" w:type="dxa"/>
          </w:tcPr>
          <w:p w:rsidR="005B2098" w:rsidRPr="00D17EE9" w:rsidRDefault="005B2098" w:rsidP="00E57B91">
            <w:pPr>
              <w:pStyle w:val="HeadingThree"/>
              <w:rPr>
                <w:rFonts w:eastAsiaTheme="minorHAnsi"/>
              </w:rPr>
            </w:pPr>
            <w:r w:rsidRPr="00D17EE9">
              <w:rPr>
                <w:rFonts w:eastAsiaTheme="minorHAnsi"/>
              </w:rPr>
              <w:t>Structure</w:t>
            </w:r>
            <w:r w:rsidR="00C46E08" w:rsidRPr="00C46E08">
              <w:rPr>
                <w:rFonts w:eastAsiaTheme="minorHAnsi"/>
                <w:color w:val="FFFFFF" w:themeColor="background1"/>
              </w:rPr>
              <w:t>.</w:t>
            </w:r>
          </w:p>
        </w:tc>
        <w:tc>
          <w:tcPr>
            <w:tcW w:w="7938" w:type="dxa"/>
          </w:tcPr>
          <w:p w:rsidR="005B2098" w:rsidRPr="00D17EE9" w:rsidRDefault="005B2098" w:rsidP="00E57B91">
            <w:pPr>
              <w:pStyle w:val="HeadingThree"/>
            </w:pPr>
            <w:r w:rsidRPr="00D17EE9">
              <w:t xml:space="preserve">The formal and informal structures used to organise: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Formal diagrams of organisational structure and reporting relationships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Spans of control; number of organisation levels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Informal</w:t>
            </w:r>
            <w:r w:rsidR="005B2098" w:rsidRPr="00D17EE9">
              <w:rPr>
                <w:rFonts w:ascii="Gill Sans MT" w:hAnsi="Gill Sans MT" w:cs="Arial"/>
              </w:rPr>
              <w:t xml:space="preserve"> chains of command, relationships and networks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Approvals required to make day-to</w:t>
            </w:r>
            <w:r w:rsidR="005B2098" w:rsidRPr="00D17EE9">
              <w:rPr>
                <w:rFonts w:ascii="Gill Sans MT" w:hAnsi="Gill Sans MT" w:cs="Arial"/>
              </w:rPr>
              <w:t>-day decisions</w:t>
            </w:r>
            <w:r w:rsidR="005B2098">
              <w:rPr>
                <w:rFonts w:ascii="Gill Sans MT" w:hAnsi="Gill Sans MT" w:cs="Arial"/>
              </w:rPr>
              <w:t>.</w:t>
            </w:r>
            <w:r w:rsidR="005B2098" w:rsidRPr="00D17EE9">
              <w:rPr>
                <w:rFonts w:ascii="Gill Sans MT" w:hAnsi="Gill Sans MT" w:cs="Arial"/>
                <w:b/>
              </w:rPr>
              <w:t xml:space="preserve"> </w:t>
            </w:r>
          </w:p>
        </w:tc>
      </w:tr>
      <w:tr w:rsidR="005B2098" w:rsidRPr="00D17EE9" w:rsidTr="00E10B63">
        <w:tblPrEx>
          <w:tblLook w:val="04A0" w:firstRow="1" w:lastRow="0" w:firstColumn="1" w:lastColumn="0" w:noHBand="0" w:noVBand="1"/>
        </w:tblPrEx>
        <w:trPr>
          <w:trHeight w:val="2041"/>
        </w:trPr>
        <w:tc>
          <w:tcPr>
            <w:tcW w:w="1985" w:type="dxa"/>
            <w:shd w:val="clear" w:color="auto" w:fill="DBE5F1" w:themeFill="accent1" w:themeFillTint="33"/>
          </w:tcPr>
          <w:p w:rsidR="005B2098" w:rsidRPr="00D17EE9" w:rsidRDefault="005B2098" w:rsidP="00E57B91">
            <w:pPr>
              <w:pStyle w:val="HeadingThree"/>
              <w:rPr>
                <w:rFonts w:eastAsiaTheme="minorHAnsi"/>
              </w:rPr>
            </w:pPr>
            <w:r w:rsidRPr="00D17EE9">
              <w:rPr>
                <w:rFonts w:eastAsiaTheme="minorHAnsi"/>
              </w:rPr>
              <w:t>Process</w:t>
            </w:r>
            <w:r w:rsidR="00C46E08" w:rsidRPr="00C46E08">
              <w:rPr>
                <w:rFonts w:eastAsiaTheme="minorHAnsi"/>
                <w:color w:val="DBE5F1" w:themeColor="accent1" w:themeTint="33"/>
              </w:rPr>
              <w:t>.</w:t>
            </w:r>
          </w:p>
        </w:tc>
        <w:tc>
          <w:tcPr>
            <w:tcW w:w="7938" w:type="dxa"/>
            <w:shd w:val="clear" w:color="auto" w:fill="DBE5F1" w:themeFill="accent1" w:themeFillTint="33"/>
          </w:tcPr>
          <w:p w:rsidR="005B2098" w:rsidRPr="00D17EE9" w:rsidRDefault="005B2098" w:rsidP="00E57B91">
            <w:pPr>
              <w:pStyle w:val="HeadingThree"/>
            </w:pPr>
            <w:r w:rsidRPr="00D17EE9">
              <w:t xml:space="preserve">Formal and informal guidelines for daily work activities; policies provide general guidelines while procedures define specific action requirements: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Administrative and business procedures and policies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Quality</w:t>
            </w:r>
            <w:r w:rsidR="005B2098" w:rsidRPr="00D17EE9">
              <w:rPr>
                <w:rFonts w:ascii="Gill Sans MT" w:hAnsi="Gill Sans MT" w:cs="Arial"/>
              </w:rPr>
              <w:t xml:space="preserve"> standards and criteria</w:t>
            </w:r>
            <w:r w:rsidR="005B2098">
              <w:rPr>
                <w:rFonts w:ascii="Gill Sans MT" w:hAnsi="Gill Sans MT" w:cs="Arial"/>
              </w:rPr>
              <w:t>.</w:t>
            </w:r>
            <w:r w:rsidR="005B2098" w:rsidRPr="00D17EE9">
              <w:rPr>
                <w:rFonts w:ascii="Gill Sans MT" w:hAnsi="Gill Sans MT" w:cs="Arial"/>
              </w:rPr>
              <w:t xml:space="preserve"> </w:t>
            </w:r>
          </w:p>
        </w:tc>
      </w:tr>
      <w:tr w:rsidR="005B2098" w:rsidRPr="00D17EE9" w:rsidTr="00E10B63">
        <w:tblPrEx>
          <w:tblLook w:val="04A0" w:firstRow="1" w:lastRow="0" w:firstColumn="1" w:lastColumn="0" w:noHBand="0" w:noVBand="1"/>
        </w:tblPrEx>
        <w:trPr>
          <w:trHeight w:val="2381"/>
        </w:trPr>
        <w:tc>
          <w:tcPr>
            <w:tcW w:w="1985" w:type="dxa"/>
          </w:tcPr>
          <w:p w:rsidR="005B2098" w:rsidRPr="00D17EE9" w:rsidRDefault="005B2098" w:rsidP="00E57B91">
            <w:pPr>
              <w:pStyle w:val="HeadingThree"/>
              <w:rPr>
                <w:rFonts w:eastAsiaTheme="minorHAnsi"/>
              </w:rPr>
            </w:pPr>
            <w:r w:rsidRPr="00D17EE9">
              <w:rPr>
                <w:rFonts w:eastAsiaTheme="minorHAnsi"/>
              </w:rPr>
              <w:t>Measures</w:t>
            </w:r>
            <w:r w:rsidR="00C46E08" w:rsidRPr="00C46E08">
              <w:rPr>
                <w:rFonts w:eastAsiaTheme="minorHAnsi"/>
                <w:color w:val="FFFFFF" w:themeColor="background1"/>
              </w:rPr>
              <w:t>.</w:t>
            </w:r>
          </w:p>
        </w:tc>
        <w:tc>
          <w:tcPr>
            <w:tcW w:w="7938" w:type="dxa"/>
          </w:tcPr>
          <w:p w:rsidR="005B2098" w:rsidRPr="00D17EE9" w:rsidRDefault="005B2098" w:rsidP="00E57B91">
            <w:pPr>
              <w:pStyle w:val="HeadingThree"/>
            </w:pPr>
            <w:r w:rsidRPr="00D17EE9">
              <w:t xml:space="preserve">Formal and informal guidelines for the management of organisational and individual performance. Based on: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Measurement standards and criteria</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Performance</w:t>
            </w:r>
            <w:r w:rsidR="005B2098" w:rsidRPr="00D17EE9">
              <w:rPr>
                <w:rFonts w:ascii="Gill Sans MT" w:hAnsi="Gill Sans MT" w:cs="Arial"/>
              </w:rPr>
              <w:t xml:space="preserve"> agreement frameworks and agreements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Internal and external perceptions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 xml:space="preserve">Staff </w:t>
            </w:r>
            <w:r w:rsidR="005B2098" w:rsidRPr="00D17EE9">
              <w:rPr>
                <w:rFonts w:ascii="Gill Sans MT" w:hAnsi="Gill Sans MT" w:cs="Arial"/>
              </w:rPr>
              <w:t>survey and client feedback</w:t>
            </w:r>
            <w:r w:rsidR="005B2098">
              <w:rPr>
                <w:rFonts w:ascii="Gill Sans MT" w:hAnsi="Gill Sans MT" w:cs="Arial"/>
              </w:rPr>
              <w:t>.</w:t>
            </w:r>
            <w:r w:rsidR="005B2098" w:rsidRPr="00D17EE9">
              <w:rPr>
                <w:rFonts w:ascii="Gill Sans MT" w:hAnsi="Gill Sans MT" w:cs="Arial"/>
                <w:b/>
              </w:rPr>
              <w:t xml:space="preserve"> </w:t>
            </w:r>
          </w:p>
        </w:tc>
      </w:tr>
    </w:tbl>
    <w:p w:rsidR="00361FBC" w:rsidRDefault="00361FBC">
      <w:pPr>
        <w:sectPr w:rsidR="00361FBC" w:rsidSect="00E10B63">
          <w:footerReference w:type="default" r:id="rId9"/>
          <w:footerReference w:type="first" r:id="rId10"/>
          <w:type w:val="continuous"/>
          <w:pgSz w:w="11906" w:h="16838"/>
          <w:pgMar w:top="993" w:right="849" w:bottom="1287" w:left="1134" w:header="709" w:footer="539" w:gutter="0"/>
          <w:cols w:space="709"/>
          <w:docGrid w:linePitch="360"/>
        </w:sectPr>
      </w:pPr>
    </w:p>
    <w:tbl>
      <w:tblPr>
        <w:tblStyle w:val="TableGrid"/>
        <w:tblW w:w="992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00" w:firstRow="0" w:lastRow="0" w:firstColumn="0" w:lastColumn="0" w:noHBand="1" w:noVBand="1"/>
        <w:tblCaption w:val="Change impact categories continued."/>
        <w:tblDescription w:val="Change impact categories explained - continued."/>
      </w:tblPr>
      <w:tblGrid>
        <w:gridCol w:w="1985"/>
        <w:gridCol w:w="7938"/>
      </w:tblGrid>
      <w:tr w:rsidR="00D17EE9" w:rsidRPr="00D17EE9" w:rsidTr="00E10B63">
        <w:trPr>
          <w:cantSplit/>
          <w:trHeight w:val="361"/>
          <w:tblHeader/>
        </w:trPr>
        <w:tc>
          <w:tcPr>
            <w:tcW w:w="1985" w:type="dxa"/>
            <w:tcBorders>
              <w:right w:val="single" w:sz="4" w:space="0" w:color="FFFFFF" w:themeColor="background1"/>
            </w:tcBorders>
            <w:shd w:val="clear" w:color="auto" w:fill="1F497D" w:themeFill="text2"/>
            <w:vAlign w:val="center"/>
          </w:tcPr>
          <w:p w:rsidR="00D17EE9" w:rsidRPr="00D17EE9" w:rsidRDefault="00D17EE9" w:rsidP="00E57B91">
            <w:pPr>
              <w:tabs>
                <w:tab w:val="left" w:pos="-142"/>
              </w:tabs>
              <w:spacing w:before="60" w:after="60" w:line="276" w:lineRule="auto"/>
              <w:ind w:right="34"/>
              <w:rPr>
                <w:rFonts w:ascii="Gill Sans MT" w:eastAsiaTheme="minorHAnsi" w:hAnsi="Gill Sans MT" w:cs="Arial"/>
                <w:b/>
                <w:color w:val="FFFFFF" w:themeColor="background1"/>
              </w:rPr>
            </w:pPr>
            <w:r w:rsidRPr="00D17EE9">
              <w:rPr>
                <w:rFonts w:ascii="Gill Sans MT" w:eastAsiaTheme="minorHAnsi" w:hAnsi="Gill Sans MT" w:cs="Arial"/>
                <w:b/>
                <w:color w:val="FFFFFF" w:themeColor="background1"/>
              </w:rPr>
              <w:lastRenderedPageBreak/>
              <w:t>Category</w:t>
            </w:r>
            <w:r w:rsidRPr="00E032E5">
              <w:rPr>
                <w:rFonts w:ascii="Gill Sans MT" w:eastAsiaTheme="minorHAnsi" w:hAnsi="Gill Sans MT" w:cs="Arial"/>
                <w:b/>
                <w:color w:val="1F497D" w:themeColor="text2"/>
              </w:rPr>
              <w:t>.</w:t>
            </w:r>
          </w:p>
        </w:tc>
        <w:tc>
          <w:tcPr>
            <w:tcW w:w="7938" w:type="dxa"/>
            <w:tcBorders>
              <w:left w:val="single" w:sz="4" w:space="0" w:color="FFFFFF" w:themeColor="background1"/>
            </w:tcBorders>
            <w:shd w:val="clear" w:color="auto" w:fill="1F497D" w:themeFill="text2"/>
            <w:vAlign w:val="center"/>
          </w:tcPr>
          <w:p w:rsidR="00D17EE9" w:rsidRPr="00D17EE9" w:rsidRDefault="00D17EE9" w:rsidP="00E57B91">
            <w:pPr>
              <w:pStyle w:val="HeadingThree"/>
              <w:spacing w:before="60"/>
              <w:rPr>
                <w:color w:val="FFFFFF" w:themeColor="background1"/>
              </w:rPr>
            </w:pPr>
            <w:r w:rsidRPr="00D17EE9">
              <w:rPr>
                <w:color w:val="FFFFFF" w:themeColor="background1"/>
              </w:rPr>
              <w:t>Explanation</w:t>
            </w:r>
            <w:r w:rsidRPr="00E032E5">
              <w:rPr>
                <w:color w:val="1F497D" w:themeColor="text2"/>
              </w:rPr>
              <w:t>.</w:t>
            </w:r>
          </w:p>
        </w:tc>
      </w:tr>
      <w:tr w:rsidR="005B2098" w:rsidRPr="00D17EE9" w:rsidTr="00E10B63">
        <w:tblPrEx>
          <w:tblLook w:val="04A0" w:firstRow="1" w:lastRow="0" w:firstColumn="1" w:lastColumn="0" w:noHBand="0" w:noVBand="1"/>
        </w:tblPrEx>
        <w:trPr>
          <w:trHeight w:val="2835"/>
        </w:trPr>
        <w:tc>
          <w:tcPr>
            <w:tcW w:w="1985" w:type="dxa"/>
            <w:shd w:val="clear" w:color="auto" w:fill="DBE5F1" w:themeFill="accent1" w:themeFillTint="33"/>
          </w:tcPr>
          <w:p w:rsidR="005B2098" w:rsidRPr="00D17EE9" w:rsidRDefault="005B2098" w:rsidP="00E57B91">
            <w:pPr>
              <w:pStyle w:val="HeadingThree"/>
              <w:rPr>
                <w:rFonts w:eastAsiaTheme="minorHAnsi"/>
              </w:rPr>
            </w:pPr>
            <w:r w:rsidRPr="00D17EE9">
              <w:rPr>
                <w:rFonts w:eastAsiaTheme="minorHAnsi"/>
              </w:rPr>
              <w:t>Skills</w:t>
            </w:r>
            <w:r w:rsidR="00C46E08" w:rsidRPr="00C46E08">
              <w:rPr>
                <w:rFonts w:eastAsiaTheme="minorHAnsi"/>
                <w:color w:val="DBE5F1" w:themeColor="accent1" w:themeTint="33"/>
              </w:rPr>
              <w:t>.</w:t>
            </w:r>
          </w:p>
        </w:tc>
        <w:tc>
          <w:tcPr>
            <w:tcW w:w="7938" w:type="dxa"/>
            <w:shd w:val="clear" w:color="auto" w:fill="DBE5F1" w:themeFill="accent1" w:themeFillTint="33"/>
          </w:tcPr>
          <w:p w:rsidR="005B2098" w:rsidRPr="00D17EE9" w:rsidRDefault="005B2098" w:rsidP="00E57B91">
            <w:pPr>
              <w:pStyle w:val="HeadingThree"/>
            </w:pPr>
            <w:r w:rsidRPr="00D17EE9">
              <w:t xml:space="preserve">The special knowledge, skills, or capabilities required of the workforce to effectively perform their jobs: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Specialised skills required for specific new tasks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General knowledge for improved work performance</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Tools and job aids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Physical</w:t>
            </w:r>
            <w:r w:rsidR="005B2098" w:rsidRPr="00D17EE9">
              <w:rPr>
                <w:rFonts w:ascii="Gill Sans MT" w:hAnsi="Gill Sans MT" w:cs="Arial"/>
              </w:rPr>
              <w:t xml:space="preserve"> or mental traits necessary to perform work tasks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Management</w:t>
            </w:r>
            <w:r w:rsidR="005B2098" w:rsidRPr="00D17EE9">
              <w:rPr>
                <w:rFonts w:ascii="Gill Sans MT" w:hAnsi="Gill Sans MT" w:cs="Arial"/>
              </w:rPr>
              <w:t>/supervisory/leadership skills</w:t>
            </w:r>
            <w:r w:rsidR="005B2098">
              <w:rPr>
                <w:rFonts w:ascii="Gill Sans MT" w:hAnsi="Gill Sans MT" w:cs="Arial"/>
              </w:rPr>
              <w:t>.</w:t>
            </w:r>
            <w:r w:rsidR="005B2098" w:rsidRPr="00D17EE9">
              <w:rPr>
                <w:rFonts w:ascii="Gill Sans MT" w:hAnsi="Gill Sans MT" w:cs="Arial"/>
                <w:b/>
              </w:rPr>
              <w:t xml:space="preserve"> </w:t>
            </w:r>
          </w:p>
        </w:tc>
      </w:tr>
      <w:tr w:rsidR="005B2098" w:rsidRPr="00D17EE9" w:rsidTr="00E10B63">
        <w:tblPrEx>
          <w:tblLook w:val="04A0" w:firstRow="1" w:lastRow="0" w:firstColumn="1" w:lastColumn="0" w:noHBand="0" w:noVBand="1"/>
        </w:tblPrEx>
        <w:trPr>
          <w:trHeight w:val="2041"/>
        </w:trPr>
        <w:tc>
          <w:tcPr>
            <w:tcW w:w="1985" w:type="dxa"/>
          </w:tcPr>
          <w:p w:rsidR="005B2098" w:rsidRPr="00D17EE9" w:rsidRDefault="005B2098" w:rsidP="00E57B91">
            <w:pPr>
              <w:pStyle w:val="HeadingThree"/>
              <w:rPr>
                <w:rFonts w:eastAsiaTheme="minorHAnsi"/>
              </w:rPr>
            </w:pPr>
            <w:r w:rsidRPr="00D17EE9">
              <w:rPr>
                <w:rFonts w:eastAsiaTheme="minorHAnsi"/>
              </w:rPr>
              <w:t>Systems</w:t>
            </w:r>
            <w:r w:rsidR="00C46E08" w:rsidRPr="00C46E08">
              <w:rPr>
                <w:rFonts w:eastAsiaTheme="minorHAnsi"/>
                <w:color w:val="FFFFFF" w:themeColor="background1"/>
              </w:rPr>
              <w:t>.</w:t>
            </w:r>
          </w:p>
        </w:tc>
        <w:tc>
          <w:tcPr>
            <w:tcW w:w="7938" w:type="dxa"/>
          </w:tcPr>
          <w:p w:rsidR="005B2098" w:rsidRPr="00D17EE9" w:rsidRDefault="005B2098" w:rsidP="00E57B91">
            <w:pPr>
              <w:pStyle w:val="HeadingThree"/>
            </w:pPr>
            <w:r w:rsidRPr="00D17EE9">
              <w:t xml:space="preserve">The underpinning enablers for the functions of the organisation to be performed consistently and efficiently: </w:t>
            </w:r>
          </w:p>
          <w:p w:rsidR="005B2098" w:rsidRPr="00D17EE9" w:rsidRDefault="005B2098"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IT platforms</w:t>
            </w:r>
            <w:r>
              <w:rPr>
                <w:rFonts w:ascii="Gill Sans MT" w:hAnsi="Gill Sans MT" w:cs="Arial"/>
              </w:rPr>
              <w:t>.</w:t>
            </w:r>
            <w:r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Standardised reporting tem</w:t>
            </w:r>
            <w:r w:rsidR="005B2098" w:rsidRPr="00D17EE9">
              <w:rPr>
                <w:rFonts w:ascii="Gill Sans MT" w:hAnsi="Gill Sans MT" w:cs="Arial"/>
              </w:rPr>
              <w:t>plates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 xml:space="preserve">Information </w:t>
            </w:r>
            <w:r w:rsidR="005B2098" w:rsidRPr="00D17EE9">
              <w:rPr>
                <w:rFonts w:ascii="Gill Sans MT" w:hAnsi="Gill Sans MT" w:cs="Arial"/>
              </w:rPr>
              <w:t>management and communications channels</w:t>
            </w:r>
            <w:r w:rsidR="005B2098">
              <w:rPr>
                <w:rFonts w:ascii="Gill Sans MT" w:hAnsi="Gill Sans MT" w:cs="Arial"/>
              </w:rPr>
              <w:t>.</w:t>
            </w:r>
          </w:p>
        </w:tc>
      </w:tr>
      <w:tr w:rsidR="005B2098" w:rsidRPr="00D17EE9" w:rsidTr="00E10B63">
        <w:tblPrEx>
          <w:tblLook w:val="04A0" w:firstRow="1" w:lastRow="0" w:firstColumn="1" w:lastColumn="0" w:noHBand="0" w:noVBand="1"/>
        </w:tblPrEx>
        <w:trPr>
          <w:trHeight w:val="2835"/>
        </w:trPr>
        <w:tc>
          <w:tcPr>
            <w:tcW w:w="1985" w:type="dxa"/>
            <w:shd w:val="clear" w:color="auto" w:fill="DBE5F1" w:themeFill="accent1" w:themeFillTint="33"/>
          </w:tcPr>
          <w:p w:rsidR="005B2098" w:rsidRPr="00D17EE9" w:rsidRDefault="005B2098" w:rsidP="00E57B91">
            <w:pPr>
              <w:pStyle w:val="HeadingThree"/>
              <w:rPr>
                <w:rFonts w:eastAsiaTheme="minorHAnsi"/>
              </w:rPr>
            </w:pPr>
            <w:r w:rsidRPr="00D17EE9">
              <w:rPr>
                <w:rFonts w:eastAsiaTheme="minorHAnsi"/>
              </w:rPr>
              <w:t>Behaviour</w:t>
            </w:r>
            <w:r w:rsidR="00C46E08" w:rsidRPr="00C46E08">
              <w:rPr>
                <w:rFonts w:eastAsiaTheme="minorHAnsi"/>
                <w:color w:val="DBE5F1" w:themeColor="accent1" w:themeTint="33"/>
              </w:rPr>
              <w:t>.</w:t>
            </w:r>
          </w:p>
        </w:tc>
        <w:tc>
          <w:tcPr>
            <w:tcW w:w="7938" w:type="dxa"/>
            <w:shd w:val="clear" w:color="auto" w:fill="DBE5F1" w:themeFill="accent1" w:themeFillTint="33"/>
          </w:tcPr>
          <w:p w:rsidR="005B2098" w:rsidRPr="00D17EE9" w:rsidRDefault="005B2098" w:rsidP="00E57B91">
            <w:pPr>
              <w:pStyle w:val="HeadingThree"/>
            </w:pPr>
            <w:r w:rsidRPr="00D17EE9">
              <w:t xml:space="preserve">The basic fabric and beliefs of your agency or department; the organisation's ‘way of life’ based on assumptions that have been adopted: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Individual</w:t>
            </w:r>
            <w:r w:rsidR="005B2098" w:rsidRPr="00D17EE9">
              <w:rPr>
                <w:rFonts w:ascii="Gill Sans MT" w:hAnsi="Gill Sans MT" w:cs="Arial"/>
              </w:rPr>
              <w:t xml:space="preserve"> and company norms, values, and beliefs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Management/supervisory style of philosophy</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rPr>
            </w:pPr>
            <w:r w:rsidRPr="00D17EE9">
              <w:rPr>
                <w:rFonts w:ascii="Gill Sans MT" w:hAnsi="Gill Sans MT" w:cs="Arial"/>
              </w:rPr>
              <w:t>Attitudes towards employees and customers</w:t>
            </w:r>
            <w:r w:rsidR="005B2098">
              <w:rPr>
                <w:rFonts w:ascii="Gill Sans MT" w:hAnsi="Gill Sans MT" w:cs="Arial"/>
              </w:rPr>
              <w:t>.</w:t>
            </w:r>
            <w:r w:rsidR="005B2098" w:rsidRPr="00D17EE9">
              <w:rPr>
                <w:rFonts w:ascii="Gill Sans MT" w:hAnsi="Gill Sans MT" w:cs="Arial"/>
              </w:rPr>
              <w:t xml:space="preserve"> </w:t>
            </w:r>
          </w:p>
          <w:p w:rsidR="005B2098" w:rsidRPr="00D17EE9" w:rsidRDefault="00E032E5" w:rsidP="00E10B63">
            <w:pPr>
              <w:pStyle w:val="ListParagraph"/>
              <w:numPr>
                <w:ilvl w:val="0"/>
                <w:numId w:val="14"/>
              </w:numPr>
              <w:spacing w:before="60" w:after="60" w:line="276" w:lineRule="auto"/>
              <w:ind w:left="459" w:right="34" w:hanging="425"/>
              <w:contextualSpacing w:val="0"/>
              <w:rPr>
                <w:rFonts w:ascii="Gill Sans MT" w:hAnsi="Gill Sans MT" w:cs="Arial"/>
                <w:b/>
              </w:rPr>
            </w:pPr>
            <w:r w:rsidRPr="00D17EE9">
              <w:rPr>
                <w:rFonts w:ascii="Gill Sans MT" w:hAnsi="Gill Sans MT" w:cs="Arial"/>
              </w:rPr>
              <w:t xml:space="preserve">Measures </w:t>
            </w:r>
            <w:r w:rsidR="005B2098" w:rsidRPr="00D17EE9">
              <w:rPr>
                <w:rFonts w:ascii="Gill Sans MT" w:hAnsi="Gill Sans MT" w:cs="Arial"/>
              </w:rPr>
              <w:t>of success</w:t>
            </w:r>
            <w:r w:rsidR="005B2098">
              <w:rPr>
                <w:rFonts w:ascii="Gill Sans MT" w:hAnsi="Gill Sans MT" w:cs="Arial"/>
              </w:rPr>
              <w:t>.</w:t>
            </w:r>
          </w:p>
        </w:tc>
      </w:tr>
    </w:tbl>
    <w:p w:rsidR="007045D3" w:rsidRPr="00361FBC" w:rsidRDefault="007045D3" w:rsidP="00511421">
      <w:pPr>
        <w:spacing w:before="240" w:after="120" w:line="276" w:lineRule="auto"/>
        <w:ind w:right="-23"/>
        <w:rPr>
          <w:rFonts w:ascii="Gill Sans MT" w:hAnsi="Gill Sans MT" w:cs="Arial"/>
        </w:rPr>
      </w:pPr>
      <w:bookmarkStart w:id="0" w:name="_GoBack"/>
      <w:bookmarkEnd w:id="0"/>
    </w:p>
    <w:sectPr w:rsidR="007045D3" w:rsidRPr="00361FBC" w:rsidSect="00361FBC">
      <w:headerReference w:type="default" r:id="rId11"/>
      <w:footerReference w:type="default" r:id="rId12"/>
      <w:pgSz w:w="11906" w:h="16838"/>
      <w:pgMar w:top="567"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70" w:rsidRDefault="004A1370" w:rsidP="001E20B5">
      <w:r>
        <w:separator/>
      </w:r>
    </w:p>
  </w:endnote>
  <w:endnote w:type="continuationSeparator" w:id="0">
    <w:p w:rsidR="004A1370" w:rsidRDefault="004A1370"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F916BD"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17BCE26A" wp14:editId="4446AC16">
          <wp:simplePos x="0" y="0"/>
          <wp:positionH relativeFrom="column">
            <wp:posOffset>-262890</wp:posOffset>
          </wp:positionH>
          <wp:positionV relativeFrom="paragraph">
            <wp:posOffset>-508445</wp:posOffset>
          </wp:positionV>
          <wp:extent cx="6947535" cy="661670"/>
          <wp:effectExtent l="0" t="0" r="5715" b="5080"/>
          <wp:wrapNone/>
          <wp:docPr id="6" name="Picture 6"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6616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BC" w:rsidRPr="00361FBC" w:rsidRDefault="00511421" w:rsidP="00511421">
    <w:pPr>
      <w:spacing w:before="120" w:after="120" w:line="276" w:lineRule="auto"/>
    </w:pPr>
    <w:r w:rsidRPr="009C16EC">
      <w:rPr>
        <w:rFonts w:ascii="Gill Sans MT" w:hAnsi="Gill Sans MT" w:cs="Arial"/>
        <w:b/>
        <w:color w:val="000000" w:themeColor="text1"/>
        <w:sz w:val="20"/>
        <w:szCs w:val="20"/>
      </w:rPr>
      <w:t>Adapted with permission from material attributed to:</w:t>
    </w:r>
    <w:r w:rsidRPr="009C16EC">
      <w:rPr>
        <w:rFonts w:ascii="Gill Sans MT" w:hAnsi="Gill Sans MT" w:cs="Arial"/>
        <w:color w:val="000000" w:themeColor="text1"/>
        <w:sz w:val="20"/>
      </w:rPr>
      <w:t xml:space="preserve">  </w:t>
    </w:r>
    <w:r w:rsidRPr="003B66C8">
      <w:rPr>
        <w:rFonts w:ascii="Gill Sans MT" w:hAnsi="Gill Sans MT" w:cs="Arial"/>
        <w:sz w:val="20"/>
      </w:rPr>
      <w:t>The Office for the Public Sector, the Government of South Australia, Change Management Resources 2014, Sourced on 3 February 2016, http://publicsector.sa.gov.au/culture/change-management-toolkit/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70" w:rsidRDefault="004A1370" w:rsidP="001E20B5">
      <w:r>
        <w:separator/>
      </w:r>
    </w:p>
  </w:footnote>
  <w:footnote w:type="continuationSeparator" w:id="0">
    <w:p w:rsidR="004A1370" w:rsidRDefault="004A1370"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BC" w:rsidRPr="00361FBC" w:rsidRDefault="0038415F" w:rsidP="0038415F">
    <w:pPr>
      <w:pStyle w:val="Header"/>
      <w:tabs>
        <w:tab w:val="clear" w:pos="4513"/>
        <w:tab w:val="clear" w:pos="9026"/>
        <w:tab w:val="right" w:pos="10206"/>
      </w:tabs>
      <w:spacing w:before="120" w:after="240" w:line="276" w:lineRule="auto"/>
      <w:jc w:val="right"/>
      <w:rPr>
        <w:rFonts w:ascii="Gill Sans MT" w:hAnsi="Gill Sans MT"/>
      </w:rPr>
    </w:pPr>
    <w:r>
      <w:rPr>
        <w:rFonts w:ascii="Gill Sans MT" w:hAnsi="Gill Sans MT"/>
      </w:rPr>
      <w:t>2</w:t>
    </w:r>
    <w:r>
      <w:rPr>
        <w:rFonts w:ascii="Gill Sans MT" w:hAnsi="Gill Sans MT"/>
      </w:rPr>
      <w:tab/>
    </w:r>
    <w:r w:rsidR="00361FBC" w:rsidRPr="00361FBC">
      <w:rPr>
        <w:rFonts w:ascii="Gill Sans MT" w:hAnsi="Gill Sans MT"/>
      </w:rPr>
      <w:t xml:space="preserve">Change </w:t>
    </w:r>
    <w:r w:rsidR="00552F9F">
      <w:rPr>
        <w:rFonts w:ascii="Gill Sans MT" w:hAnsi="Gill Sans MT"/>
      </w:rPr>
      <w:t>I</w:t>
    </w:r>
    <w:r w:rsidR="00361FBC" w:rsidRPr="00361FBC">
      <w:rPr>
        <w:rFonts w:ascii="Gill Sans MT" w:hAnsi="Gill Sans MT"/>
      </w:rPr>
      <w:t xml:space="preserve">mpact </w:t>
    </w:r>
    <w:r w:rsidR="00552F9F">
      <w:rPr>
        <w:rFonts w:ascii="Gill Sans MT" w:hAnsi="Gill Sans MT"/>
      </w:rPr>
      <w:t>A</w:t>
    </w:r>
    <w:r w:rsidR="00361FBC" w:rsidRPr="00361FBC">
      <w:rPr>
        <w:rFonts w:ascii="Gill Sans MT" w:hAnsi="Gill Sans MT"/>
      </w:rPr>
      <w:t>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28A1E56"/>
    <w:multiLevelType w:val="hybridMultilevel"/>
    <w:tmpl w:val="94089162"/>
    <w:lvl w:ilvl="0" w:tplc="F0823156">
      <w:start w:val="1"/>
      <w:numFmt w:val="decimal"/>
      <w:lvlText w:val="%1."/>
      <w:lvlJc w:val="left"/>
      <w:pPr>
        <w:ind w:left="428"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
    <w:nsid w:val="43235445"/>
    <w:multiLevelType w:val="hybridMultilevel"/>
    <w:tmpl w:val="E8849628"/>
    <w:lvl w:ilvl="0" w:tplc="620E3426">
      <w:start w:val="1"/>
      <w:numFmt w:val="decimal"/>
      <w:lvlText w:val="%1."/>
      <w:lvlJc w:val="left"/>
      <w:pPr>
        <w:ind w:left="727" w:hanging="58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47C5037F"/>
    <w:multiLevelType w:val="hybridMultilevel"/>
    <w:tmpl w:val="829AB68E"/>
    <w:lvl w:ilvl="0" w:tplc="F0823156">
      <w:start w:val="1"/>
      <w:numFmt w:val="decimal"/>
      <w:lvlText w:val="%1."/>
      <w:lvlJc w:val="left"/>
      <w:pPr>
        <w:ind w:left="428"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A07022"/>
    <w:multiLevelType w:val="hybridMultilevel"/>
    <w:tmpl w:val="082AA68E"/>
    <w:lvl w:ilvl="0" w:tplc="886C2148">
      <w:start w:val="1"/>
      <w:numFmt w:val="decimal"/>
      <w:lvlText w:val="%1."/>
      <w:lvlJc w:val="left"/>
      <w:pPr>
        <w:ind w:left="607" w:hanging="46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C73B6"/>
    <w:multiLevelType w:val="hybridMultilevel"/>
    <w:tmpl w:val="06264DE0"/>
    <w:lvl w:ilvl="0" w:tplc="F082315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3">
    <w:nsid w:val="7DE62D66"/>
    <w:multiLevelType w:val="hybridMultilevel"/>
    <w:tmpl w:val="B0D2E14E"/>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0"/>
  </w:num>
  <w:num w:numId="6">
    <w:abstractNumId w:val="1"/>
  </w:num>
  <w:num w:numId="7">
    <w:abstractNumId w:val="2"/>
  </w:num>
  <w:num w:numId="8">
    <w:abstractNumId w:val="9"/>
  </w:num>
  <w:num w:numId="9">
    <w:abstractNumId w:val="12"/>
  </w:num>
  <w:num w:numId="10">
    <w:abstractNumId w:val="6"/>
  </w:num>
  <w:num w:numId="11">
    <w:abstractNumId w:val="8"/>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53288"/>
    <w:rsid w:val="000557D2"/>
    <w:rsid w:val="000A3129"/>
    <w:rsid w:val="000B1688"/>
    <w:rsid w:val="000B756F"/>
    <w:rsid w:val="000D275D"/>
    <w:rsid w:val="000D357A"/>
    <w:rsid w:val="000F0026"/>
    <w:rsid w:val="001352FF"/>
    <w:rsid w:val="0015038A"/>
    <w:rsid w:val="00152CCB"/>
    <w:rsid w:val="001C562F"/>
    <w:rsid w:val="001E20B5"/>
    <w:rsid w:val="001F6E6F"/>
    <w:rsid w:val="002247ED"/>
    <w:rsid w:val="002559EF"/>
    <w:rsid w:val="0027037B"/>
    <w:rsid w:val="00281957"/>
    <w:rsid w:val="002866CF"/>
    <w:rsid w:val="00293F03"/>
    <w:rsid w:val="00296BA7"/>
    <w:rsid w:val="002B3937"/>
    <w:rsid w:val="002C1B10"/>
    <w:rsid w:val="002D1CBD"/>
    <w:rsid w:val="00317549"/>
    <w:rsid w:val="00324B30"/>
    <w:rsid w:val="003339C7"/>
    <w:rsid w:val="00361FBC"/>
    <w:rsid w:val="00383024"/>
    <w:rsid w:val="0038415F"/>
    <w:rsid w:val="00410CD2"/>
    <w:rsid w:val="00430D69"/>
    <w:rsid w:val="004666CE"/>
    <w:rsid w:val="0049608C"/>
    <w:rsid w:val="004A1370"/>
    <w:rsid w:val="00511421"/>
    <w:rsid w:val="00512C68"/>
    <w:rsid w:val="00514520"/>
    <w:rsid w:val="00527764"/>
    <w:rsid w:val="00536C92"/>
    <w:rsid w:val="00540405"/>
    <w:rsid w:val="00552F9F"/>
    <w:rsid w:val="00561591"/>
    <w:rsid w:val="005B2098"/>
    <w:rsid w:val="005C146D"/>
    <w:rsid w:val="005D13D8"/>
    <w:rsid w:val="006154C6"/>
    <w:rsid w:val="0062162A"/>
    <w:rsid w:val="006240C5"/>
    <w:rsid w:val="00655156"/>
    <w:rsid w:val="006A030A"/>
    <w:rsid w:val="006C60B0"/>
    <w:rsid w:val="006E7AD5"/>
    <w:rsid w:val="007045D3"/>
    <w:rsid w:val="007053C0"/>
    <w:rsid w:val="00715347"/>
    <w:rsid w:val="0074481F"/>
    <w:rsid w:val="007722E8"/>
    <w:rsid w:val="007A22C8"/>
    <w:rsid w:val="007D63F1"/>
    <w:rsid w:val="007E1A9D"/>
    <w:rsid w:val="0085135C"/>
    <w:rsid w:val="00871573"/>
    <w:rsid w:val="008A2E4E"/>
    <w:rsid w:val="008B07AE"/>
    <w:rsid w:val="008E1BC1"/>
    <w:rsid w:val="009510C0"/>
    <w:rsid w:val="009D1EC3"/>
    <w:rsid w:val="009E78CD"/>
    <w:rsid w:val="00A64471"/>
    <w:rsid w:val="00A80BB8"/>
    <w:rsid w:val="00AB5B71"/>
    <w:rsid w:val="00AD1118"/>
    <w:rsid w:val="00AE1088"/>
    <w:rsid w:val="00B051EE"/>
    <w:rsid w:val="00B65D0E"/>
    <w:rsid w:val="00BC2DCE"/>
    <w:rsid w:val="00BC68B3"/>
    <w:rsid w:val="00BD0D49"/>
    <w:rsid w:val="00C02934"/>
    <w:rsid w:val="00C2260B"/>
    <w:rsid w:val="00C320EB"/>
    <w:rsid w:val="00C44143"/>
    <w:rsid w:val="00C459C1"/>
    <w:rsid w:val="00C46E08"/>
    <w:rsid w:val="00C517F5"/>
    <w:rsid w:val="00C97000"/>
    <w:rsid w:val="00CA0454"/>
    <w:rsid w:val="00CC3181"/>
    <w:rsid w:val="00CC7B11"/>
    <w:rsid w:val="00CE7BFE"/>
    <w:rsid w:val="00CF1C1C"/>
    <w:rsid w:val="00D17EE9"/>
    <w:rsid w:val="00D30A8E"/>
    <w:rsid w:val="00D91A46"/>
    <w:rsid w:val="00DB21A1"/>
    <w:rsid w:val="00E032E5"/>
    <w:rsid w:val="00E10B63"/>
    <w:rsid w:val="00E226EE"/>
    <w:rsid w:val="00E3638C"/>
    <w:rsid w:val="00E45F19"/>
    <w:rsid w:val="00E51265"/>
    <w:rsid w:val="00E97FF8"/>
    <w:rsid w:val="00EA0567"/>
    <w:rsid w:val="00EA5CBA"/>
    <w:rsid w:val="00EA5DA5"/>
    <w:rsid w:val="00EB1E68"/>
    <w:rsid w:val="00F27721"/>
    <w:rsid w:val="00F31B86"/>
    <w:rsid w:val="00F5203F"/>
    <w:rsid w:val="00F569A2"/>
    <w:rsid w:val="00F8066F"/>
    <w:rsid w:val="00F916BD"/>
    <w:rsid w:val="00F933EE"/>
    <w:rsid w:val="00FB2C57"/>
    <w:rsid w:val="00FD27D2"/>
    <w:rsid w:val="00FF3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361FBC"/>
    <w:rPr>
      <w:rFonts w:ascii="Gill Sans MT" w:hAnsi="Gill Sans MT"/>
      <w:color w:val="1F497D" w:themeColor="text2"/>
      <w:sz w:val="56"/>
      <w:szCs w:val="56"/>
    </w:rPr>
  </w:style>
  <w:style w:type="paragraph" w:customStyle="1" w:styleId="Sub-heading-cover">
    <w:name w:val="Sub-heading - cover"/>
    <w:basedOn w:val="Heading2"/>
    <w:qFormat/>
    <w:rsid w:val="00361FBC"/>
    <w:pPr>
      <w:spacing w:before="0" w:after="0" w:line="276" w:lineRule="auto"/>
    </w:pPr>
    <w:rPr>
      <w:rFonts w:ascii="Gill Sans MT" w:hAnsi="Gill Sans MT"/>
      <w:i w:val="0"/>
      <w:color w:val="1F497D" w:themeColor="text2"/>
      <w:sz w:val="36"/>
      <w:szCs w:val="3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CA0454"/>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361FBC"/>
    <w:rPr>
      <w:rFonts w:ascii="Gill Sans MT" w:hAnsi="Gill Sans MT"/>
      <w:color w:val="1F497D" w:themeColor="text2"/>
      <w:sz w:val="56"/>
      <w:szCs w:val="56"/>
    </w:rPr>
  </w:style>
  <w:style w:type="paragraph" w:customStyle="1" w:styleId="Sub-heading-cover">
    <w:name w:val="Sub-heading - cover"/>
    <w:basedOn w:val="Heading2"/>
    <w:qFormat/>
    <w:rsid w:val="00361FBC"/>
    <w:pPr>
      <w:spacing w:before="0" w:after="0" w:line="276" w:lineRule="auto"/>
    </w:pPr>
    <w:rPr>
      <w:rFonts w:ascii="Gill Sans MT" w:hAnsi="Gill Sans MT"/>
      <w:i w:val="0"/>
      <w:color w:val="1F497D" w:themeColor="text2"/>
      <w:sz w:val="36"/>
      <w:szCs w:val="3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CA0454"/>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3413-4F97-4E84-93F5-BE26EF31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Impact Assessment Factsheet</dc:title>
  <dc:creator>amy.breen</dc:creator>
  <cp:lastModifiedBy>Molhuysen, Jodi</cp:lastModifiedBy>
  <cp:revision>22</cp:revision>
  <cp:lastPrinted>2016-02-16T01:35:00Z</cp:lastPrinted>
  <dcterms:created xsi:type="dcterms:W3CDTF">2016-02-16T23:03:00Z</dcterms:created>
  <dcterms:modified xsi:type="dcterms:W3CDTF">2016-03-22T23:08:00Z</dcterms:modified>
</cp:coreProperties>
</file>