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5F" w:rsidRDefault="0085537C" w:rsidP="001D035F">
      <w:pPr>
        <w:pStyle w:val="Numbering1"/>
        <w:spacing w:before="0"/>
        <w:jc w:val="both"/>
        <w:rPr>
          <w:rFonts w:ascii="Gill Sans MT" w:hAnsi="Gill Sans MT" w:cs="Arial"/>
          <w:b/>
          <w:iCs/>
          <w:color w:val="1F497D" w:themeColor="text2"/>
          <w:sz w:val="24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143A" wp14:editId="21139717">
                <wp:simplePos x="0" y="0"/>
                <wp:positionH relativeFrom="column">
                  <wp:posOffset>-890905</wp:posOffset>
                </wp:positionH>
                <wp:positionV relativeFrom="paragraph">
                  <wp:posOffset>19050</wp:posOffset>
                </wp:positionV>
                <wp:extent cx="8324215" cy="828675"/>
                <wp:effectExtent l="0" t="0" r="1968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215" cy="828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37C" w:rsidRPr="00B85300" w:rsidRDefault="0085537C" w:rsidP="0085537C">
                            <w:pPr>
                              <w:spacing w:after="120"/>
                              <w:ind w:left="284" w:right="228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Communication ideas for embedding the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4"/>
                                <w:szCs w:val="44"/>
                              </w:rPr>
                              <w:br/>
                              <w:t>Senior Executive Leadership Capability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70.15pt;margin-top:1.5pt;width:655.4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" fillcolor="#4f81bd">
                <v:textbox>
                  <w:txbxContent>
                    <w:p w:rsidR="0085537C" w:rsidRPr="00B85300" w:rsidRDefault="0085537C" w:rsidP="0085537C">
                      <w:pPr>
                        <w:spacing w:after="120"/>
                        <w:ind w:left="284" w:right="228"/>
                        <w:jc w:val="center"/>
                        <w:rPr>
                          <w:rFonts w:ascii="Arial Narrow" w:hAnsi="Arial Narrow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4"/>
                          <w:szCs w:val="44"/>
                        </w:rPr>
                        <w:t>Communication ideas for embedding the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44"/>
                          <w:szCs w:val="44"/>
                        </w:rPr>
                        <w:br/>
                        <w:t>Senior Executive Leadership Capability Framework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85537C" w:rsidRDefault="0085537C" w:rsidP="001D035F">
      <w:pPr>
        <w:pStyle w:val="Numbering1"/>
        <w:spacing w:before="0"/>
        <w:jc w:val="both"/>
        <w:rPr>
          <w:rFonts w:ascii="Gill Sans MT" w:hAnsi="Gill Sans MT" w:cs="Arial"/>
          <w:b/>
          <w:iCs/>
          <w:color w:val="1F497D" w:themeColor="text2"/>
          <w:sz w:val="24"/>
          <w:lang w:eastAsia="en-AU"/>
        </w:rPr>
      </w:pPr>
    </w:p>
    <w:p w:rsidR="0085537C" w:rsidRDefault="0085537C" w:rsidP="001D035F">
      <w:pPr>
        <w:pStyle w:val="Numbering1"/>
        <w:spacing w:before="0"/>
        <w:jc w:val="both"/>
        <w:rPr>
          <w:rFonts w:ascii="Gill Sans MT" w:hAnsi="Gill Sans MT" w:cs="Arial"/>
          <w:b/>
          <w:iCs/>
          <w:color w:val="1F497D" w:themeColor="text2"/>
          <w:sz w:val="24"/>
          <w:lang w:eastAsia="en-AU"/>
        </w:rPr>
      </w:pPr>
    </w:p>
    <w:p w:rsidR="0085537C" w:rsidRPr="00E15073" w:rsidRDefault="0085537C" w:rsidP="001D035F">
      <w:pPr>
        <w:pStyle w:val="Numbering1"/>
        <w:spacing w:before="0"/>
        <w:jc w:val="both"/>
        <w:rPr>
          <w:rFonts w:ascii="GillSans Light" w:hAnsi="GillSans Light" w:cs="Arial"/>
          <w:b/>
          <w:iCs/>
          <w:color w:val="1F497D" w:themeColor="text2"/>
          <w:sz w:val="24"/>
          <w:lang w:eastAsia="en-AU"/>
        </w:rPr>
      </w:pPr>
    </w:p>
    <w:p w:rsidR="0085537C" w:rsidRPr="00E15073" w:rsidRDefault="0085537C" w:rsidP="0085537C">
      <w:pPr>
        <w:pStyle w:val="Heading1"/>
        <w:numPr>
          <w:ilvl w:val="0"/>
          <w:numId w:val="8"/>
        </w:numPr>
        <w:spacing w:before="240" w:after="120"/>
        <w:rPr>
          <w:rFonts w:ascii="GillSans Light" w:hAnsi="GillSans Light" w:cs="Tahoma"/>
          <w:szCs w:val="24"/>
        </w:rPr>
      </w:pPr>
      <w:r w:rsidRPr="00E15073">
        <w:rPr>
          <w:rFonts w:ascii="GillSans Light" w:hAnsi="GillSans Light" w:cs="Tahoma"/>
          <w:szCs w:val="24"/>
        </w:rPr>
        <w:t>INTRODUCTION</w:t>
      </w:r>
    </w:p>
    <w:p w:rsidR="00E15073" w:rsidRPr="00AD2D8F" w:rsidRDefault="00E15073" w:rsidP="00E15073">
      <w:pPr>
        <w:spacing w:after="120"/>
        <w:rPr>
          <w:rFonts w:ascii="GillSans Light" w:hAnsi="GillSans Light"/>
          <w:szCs w:val="24"/>
        </w:rPr>
      </w:pPr>
      <w:r w:rsidRPr="00E15073">
        <w:rPr>
          <w:rFonts w:ascii="GillSans Light" w:hAnsi="GillSans Light" w:cs="Tahoma"/>
          <w:szCs w:val="24"/>
        </w:rPr>
        <w:t xml:space="preserve">These guidelines have been developed to assist with the communication of key statements and messages for Senior Executives </w:t>
      </w:r>
      <w:r w:rsidRPr="00E15073">
        <w:rPr>
          <w:rFonts w:ascii="GillSans Light" w:hAnsi="GillSans Light"/>
          <w:szCs w:val="24"/>
        </w:rPr>
        <w:t xml:space="preserve">to help embed the </w:t>
      </w:r>
      <w:r w:rsidRPr="00E15073">
        <w:rPr>
          <w:rFonts w:ascii="GillSans Light" w:hAnsi="GillSans Light"/>
          <w:i/>
          <w:szCs w:val="24"/>
        </w:rPr>
        <w:t xml:space="preserve">Senior Executive Leadership Capability Framework. </w:t>
      </w:r>
      <w:proofErr w:type="gramStart"/>
      <w:r w:rsidRPr="00E15073">
        <w:rPr>
          <w:rFonts w:ascii="GillSans Light" w:hAnsi="GillSans Light"/>
          <w:szCs w:val="24"/>
        </w:rPr>
        <w:t>into</w:t>
      </w:r>
      <w:proofErr w:type="gramEnd"/>
      <w:r w:rsidRPr="00E15073">
        <w:rPr>
          <w:rFonts w:ascii="GillSans Light" w:hAnsi="GillSans Light"/>
          <w:szCs w:val="24"/>
        </w:rPr>
        <w:t xml:space="preserve"> relevant agency processes and procedures.</w:t>
      </w:r>
      <w:r w:rsidR="007A308E">
        <w:rPr>
          <w:rFonts w:ascii="GillSans Light" w:hAnsi="GillSans Light"/>
          <w:szCs w:val="24"/>
        </w:rPr>
        <w:t xml:space="preserve"> </w:t>
      </w:r>
      <w:r w:rsidRPr="00AD2D8F">
        <w:rPr>
          <w:rFonts w:ascii="GillSans Light" w:hAnsi="GillSans Light"/>
          <w:szCs w:val="24"/>
        </w:rPr>
        <w:t xml:space="preserve">For more information about the </w:t>
      </w:r>
      <w:r w:rsidRPr="00AD2D8F">
        <w:rPr>
          <w:rFonts w:ascii="GillSans Light" w:hAnsi="GillSans Light"/>
          <w:i/>
          <w:szCs w:val="24"/>
        </w:rPr>
        <w:t>Senior Executive Leadership Capability Framework</w:t>
      </w:r>
      <w:r w:rsidRPr="00AD2D8F">
        <w:rPr>
          <w:rFonts w:ascii="GillSans Light" w:hAnsi="GillSans Light"/>
          <w:szCs w:val="24"/>
        </w:rPr>
        <w:t xml:space="preserve"> (SELCF) click </w:t>
      </w:r>
      <w:hyperlink r:id="rId8" w:history="1">
        <w:r w:rsidRPr="00AD2D8F">
          <w:rPr>
            <w:rStyle w:val="Hyperlink"/>
            <w:rFonts w:ascii="GillSans Light" w:hAnsi="GillSans Light"/>
            <w:szCs w:val="24"/>
          </w:rPr>
          <w:t>here</w:t>
        </w:r>
      </w:hyperlink>
      <w:r>
        <w:rPr>
          <w:rFonts w:ascii="GillSans Light" w:hAnsi="GillSans Light"/>
          <w:szCs w:val="24"/>
        </w:rPr>
        <w:t>.</w:t>
      </w:r>
    </w:p>
    <w:p w:rsidR="00E15073" w:rsidRPr="00E15073" w:rsidRDefault="00E15073" w:rsidP="00E15073">
      <w:pPr>
        <w:spacing w:after="120"/>
        <w:rPr>
          <w:rFonts w:ascii="GillSans Light" w:hAnsi="GillSans Light" w:cs="Tahoma"/>
          <w:szCs w:val="24"/>
        </w:rPr>
      </w:pPr>
    </w:p>
    <w:p w:rsidR="0085537C" w:rsidRPr="00E15073" w:rsidRDefault="0085537C" w:rsidP="0085537C">
      <w:pPr>
        <w:pStyle w:val="Heading1"/>
        <w:numPr>
          <w:ilvl w:val="0"/>
          <w:numId w:val="8"/>
        </w:numPr>
        <w:spacing w:before="240" w:after="120"/>
        <w:rPr>
          <w:rFonts w:ascii="GillSans Light" w:hAnsi="GillSans Light" w:cs="Tahoma"/>
          <w:szCs w:val="24"/>
        </w:rPr>
      </w:pPr>
      <w:r w:rsidRPr="00E15073">
        <w:rPr>
          <w:rFonts w:ascii="GillSans Light" w:hAnsi="GillSans Light" w:cs="Tahoma"/>
          <w:szCs w:val="24"/>
        </w:rPr>
        <w:t>HOW TO USE THIS GUIDE</w:t>
      </w:r>
    </w:p>
    <w:p w:rsidR="00D64B3E" w:rsidRDefault="00E15073" w:rsidP="00E15073">
      <w:pPr>
        <w:spacing w:after="120"/>
        <w:rPr>
          <w:rFonts w:ascii="GillSans Light" w:hAnsi="GillSans Light" w:cs="Tahoma"/>
          <w:szCs w:val="24"/>
        </w:rPr>
      </w:pPr>
      <w:r w:rsidRPr="00E15073">
        <w:rPr>
          <w:rFonts w:ascii="GillSans Light" w:hAnsi="GillSans Light" w:cs="Tahoma"/>
          <w:szCs w:val="24"/>
        </w:rPr>
        <w:t>This document provides background information and suggested key points to help construct communication messages for your senior executive cohort around the Senior Executive Leadership Capability Framework</w:t>
      </w:r>
      <w:r w:rsidR="00D64B3E">
        <w:rPr>
          <w:rFonts w:ascii="GillSans Light" w:hAnsi="GillSans Light" w:cs="Tahoma"/>
          <w:szCs w:val="24"/>
        </w:rPr>
        <w:t>.</w:t>
      </w:r>
    </w:p>
    <w:p w:rsidR="00E15073" w:rsidRPr="00E15073" w:rsidRDefault="00E15073" w:rsidP="00E15073">
      <w:pPr>
        <w:spacing w:after="120"/>
        <w:rPr>
          <w:rFonts w:ascii="GillSans Light" w:hAnsi="GillSans Light" w:cs="Tahoma"/>
          <w:szCs w:val="24"/>
        </w:rPr>
      </w:pPr>
      <w:r w:rsidRPr="00E15073">
        <w:rPr>
          <w:rFonts w:ascii="GillSans Light" w:hAnsi="GillSans Light" w:cs="Tahoma"/>
          <w:szCs w:val="24"/>
        </w:rPr>
        <w:t>It also contains a communication plan template to help you structure your commu</w:t>
      </w:r>
      <w:r w:rsidR="00D64B3E">
        <w:rPr>
          <w:rFonts w:ascii="GillSans Light" w:hAnsi="GillSans Light" w:cs="Tahoma"/>
          <w:szCs w:val="24"/>
        </w:rPr>
        <w:t>nications around the Framework.</w:t>
      </w:r>
    </w:p>
    <w:p w:rsidR="00E15073" w:rsidRPr="00E15073" w:rsidRDefault="00E15073" w:rsidP="00E15073">
      <w:pPr>
        <w:spacing w:after="120"/>
        <w:rPr>
          <w:rFonts w:ascii="GillSans Light" w:hAnsi="GillSans Light" w:cs="Tahoma"/>
          <w:szCs w:val="24"/>
        </w:rPr>
      </w:pPr>
      <w:r w:rsidRPr="00E15073">
        <w:rPr>
          <w:rFonts w:ascii="GillSans Light" w:hAnsi="GillSans Light" w:cs="Tahoma"/>
          <w:szCs w:val="24"/>
        </w:rPr>
        <w:t xml:space="preserve">You may modify any of the suggested communication points as required to better suit your organisation. </w:t>
      </w:r>
    </w:p>
    <w:p w:rsidR="00E15073" w:rsidRDefault="00E15073" w:rsidP="0085537C">
      <w:pPr>
        <w:spacing w:after="120"/>
        <w:rPr>
          <w:rFonts w:ascii="GillSans Light" w:hAnsi="GillSans Light"/>
          <w:szCs w:val="24"/>
        </w:rPr>
      </w:pPr>
    </w:p>
    <w:p w:rsidR="0085537C" w:rsidRPr="00E15073" w:rsidRDefault="0085537C" w:rsidP="0085537C">
      <w:pPr>
        <w:pStyle w:val="Heading1"/>
        <w:numPr>
          <w:ilvl w:val="0"/>
          <w:numId w:val="8"/>
        </w:numPr>
        <w:spacing w:before="240" w:after="120"/>
        <w:rPr>
          <w:rFonts w:ascii="GillSans Light" w:hAnsi="GillSans Light" w:cs="Tahoma"/>
          <w:szCs w:val="24"/>
        </w:rPr>
      </w:pPr>
      <w:r w:rsidRPr="00E15073">
        <w:rPr>
          <w:rFonts w:ascii="GillSans Light" w:hAnsi="GillSans Light" w:cs="Tahoma"/>
          <w:szCs w:val="24"/>
        </w:rPr>
        <w:t>CONTACT</w:t>
      </w:r>
    </w:p>
    <w:p w:rsidR="00E15073" w:rsidRPr="00E15073" w:rsidRDefault="00E15073" w:rsidP="00E15073">
      <w:pPr>
        <w:spacing w:after="120"/>
        <w:rPr>
          <w:rFonts w:ascii="GillSans Light" w:hAnsi="GillSans Light"/>
          <w:szCs w:val="24"/>
        </w:rPr>
      </w:pPr>
      <w:r w:rsidRPr="00E15073">
        <w:rPr>
          <w:rFonts w:ascii="GillSans Light" w:hAnsi="GillSans Light"/>
          <w:szCs w:val="24"/>
        </w:rPr>
        <w:t>SSMO is interested in your feedback, in particular:</w:t>
      </w:r>
    </w:p>
    <w:p w:rsidR="00E15073" w:rsidRPr="007A308E" w:rsidRDefault="00E15073" w:rsidP="007A30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extra messages you think need to be communicated to increase awareness and utili</w:t>
      </w:r>
      <w:r w:rsidR="00D64B3E" w:rsidRPr="007A308E">
        <w:rPr>
          <w:rFonts w:ascii="GillSans Light" w:hAnsi="GillSans Light" w:cs="GillSans Light"/>
          <w:color w:val="000000"/>
          <w:sz w:val="24"/>
          <w:szCs w:val="24"/>
        </w:rPr>
        <w:t>s</w:t>
      </w:r>
      <w:r w:rsidRPr="007A308E">
        <w:rPr>
          <w:rFonts w:ascii="GillSans Light" w:hAnsi="GillSans Light" w:cs="GillSans Light"/>
          <w:color w:val="000000"/>
          <w:sz w:val="24"/>
          <w:szCs w:val="24"/>
        </w:rPr>
        <w:t>ation of the SELCF amongst your senior executive cohort</w:t>
      </w:r>
    </w:p>
    <w:p w:rsidR="00E15073" w:rsidRPr="007A308E" w:rsidRDefault="00E15073" w:rsidP="007A30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hearing how your Agency/Authority has gone about communicating and embedding the SELCF; and</w:t>
      </w:r>
    </w:p>
    <w:p w:rsidR="00E15073" w:rsidRPr="007A308E" w:rsidRDefault="00E15073" w:rsidP="007A30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proofErr w:type="gramStart"/>
      <w:r w:rsidRPr="007A308E">
        <w:rPr>
          <w:rFonts w:ascii="GillSans Light" w:hAnsi="GillSans Light" w:cs="GillSans Light"/>
          <w:color w:val="000000"/>
          <w:sz w:val="24"/>
          <w:szCs w:val="24"/>
        </w:rPr>
        <w:t>how</w:t>
      </w:r>
      <w:proofErr w:type="gramEnd"/>
      <w:r w:rsidRPr="007A308E">
        <w:rPr>
          <w:rFonts w:ascii="GillSans Light" w:hAnsi="GillSans Light" w:cs="GillSans Light"/>
          <w:color w:val="000000"/>
          <w:sz w:val="24"/>
          <w:szCs w:val="24"/>
        </w:rPr>
        <w:t xml:space="preserve"> we can share this information more broadly across the State Service. </w:t>
      </w:r>
    </w:p>
    <w:p w:rsidR="00E15073" w:rsidRPr="00E15073" w:rsidRDefault="00E15073" w:rsidP="00E15073">
      <w:pPr>
        <w:rPr>
          <w:rFonts w:ascii="GillSans Light" w:hAnsi="GillSans Light"/>
          <w:szCs w:val="24"/>
        </w:rPr>
      </w:pPr>
      <w:r w:rsidRPr="00E15073">
        <w:rPr>
          <w:rFonts w:ascii="GillSans Light" w:hAnsi="GillSans Light"/>
          <w:szCs w:val="24"/>
        </w:rPr>
        <w:t xml:space="preserve">Please direct any feedback or questions on the SELCF, to Viv Burgess at the State Service Management Office – email </w:t>
      </w:r>
      <w:hyperlink r:id="rId9" w:history="1">
        <w:r w:rsidRPr="00E15073">
          <w:rPr>
            <w:rStyle w:val="Hyperlink"/>
            <w:rFonts w:ascii="GillSans Light" w:hAnsi="GillSans Light"/>
            <w:szCs w:val="24"/>
          </w:rPr>
          <w:t>viv.burgess@dpac.tas.gov.au</w:t>
        </w:r>
      </w:hyperlink>
      <w:r w:rsidRPr="00E15073">
        <w:rPr>
          <w:rFonts w:ascii="GillSans Light" w:hAnsi="GillSans Light"/>
          <w:szCs w:val="24"/>
        </w:rPr>
        <w:t xml:space="preserve"> or phone 6232 7140.</w:t>
      </w:r>
    </w:p>
    <w:p w:rsidR="00E15073" w:rsidRPr="00E15073" w:rsidRDefault="00E15073" w:rsidP="00E15073">
      <w:pPr>
        <w:spacing w:after="120"/>
        <w:rPr>
          <w:rFonts w:ascii="GillSans Light" w:hAnsi="GillSans Light"/>
          <w:szCs w:val="24"/>
        </w:rPr>
      </w:pPr>
    </w:p>
    <w:p w:rsidR="00E15073" w:rsidRPr="00E15073" w:rsidRDefault="00E15073" w:rsidP="0085537C">
      <w:pPr>
        <w:rPr>
          <w:rFonts w:ascii="GillSans Light" w:hAnsi="GillSans Light"/>
          <w:szCs w:val="24"/>
        </w:rPr>
      </w:pPr>
    </w:p>
    <w:p w:rsidR="0085537C" w:rsidRDefault="0085537C" w:rsidP="007A30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/>
          <w:szCs w:val="24"/>
        </w:rPr>
      </w:pPr>
      <w:bookmarkStart w:id="0" w:name="_GoBack"/>
      <w:bookmarkEnd w:id="0"/>
      <w:r>
        <w:rPr>
          <w:rFonts w:ascii="GillSans Light" w:hAnsi="GillSans Light"/>
          <w:szCs w:val="24"/>
        </w:rPr>
        <w:br w:type="page"/>
      </w:r>
    </w:p>
    <w:p w:rsidR="0085537C" w:rsidRDefault="0085537C" w:rsidP="0085537C">
      <w:pPr>
        <w:spacing w:after="120"/>
        <w:rPr>
          <w:rFonts w:ascii="GillSans Light" w:hAnsi="GillSans Light"/>
          <w:szCs w:val="24"/>
        </w:rPr>
      </w:pPr>
    </w:p>
    <w:p w:rsidR="007210E8" w:rsidRPr="007A308E" w:rsidRDefault="007210E8" w:rsidP="006662B8">
      <w:pPr>
        <w:pStyle w:val="Numbering1"/>
        <w:spacing w:before="0"/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</w:pPr>
      <w:r w:rsidRPr="007A308E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>Strengthening management and leadership across the State Service</w:t>
      </w:r>
    </w:p>
    <w:p w:rsidR="006662B8" w:rsidRPr="007A308E" w:rsidRDefault="006662B8" w:rsidP="006662B8">
      <w:pPr>
        <w:autoSpaceDE w:val="0"/>
        <w:autoSpaceDN w:val="0"/>
        <w:adjustRightInd w:val="0"/>
        <w:spacing w:before="120" w:after="120"/>
        <w:rPr>
          <w:rFonts w:ascii="GillSans Light" w:hAnsi="GillSans Light" w:cs="GillSans Light"/>
          <w:color w:val="000000"/>
          <w:szCs w:val="24"/>
        </w:rPr>
      </w:pPr>
      <w:r w:rsidRPr="007A308E">
        <w:rPr>
          <w:rFonts w:ascii="GillSans Light" w:hAnsi="GillSans Light" w:cs="GillSans Light"/>
          <w:color w:val="000000"/>
          <w:szCs w:val="24"/>
        </w:rPr>
        <w:t>The Government's commitment to an effectively led and efficient Tasmanian State Service is demonstrated by recruiting, developing and retaining a professional leadership cohort of h</w:t>
      </w:r>
      <w:r w:rsidR="0085537C" w:rsidRPr="007A308E">
        <w:rPr>
          <w:rFonts w:ascii="GillSans Light" w:hAnsi="GillSans Light" w:cs="GillSans Light"/>
          <w:color w:val="000000"/>
          <w:szCs w:val="24"/>
        </w:rPr>
        <w:t xml:space="preserve">ighly skilled senior executives. </w:t>
      </w:r>
      <w:r w:rsidRPr="007A308E">
        <w:rPr>
          <w:rFonts w:ascii="GillSans Light" w:hAnsi="GillSans Light" w:cs="GillSans Light"/>
          <w:color w:val="000000"/>
          <w:szCs w:val="24"/>
        </w:rPr>
        <w:t xml:space="preserve"> </w:t>
      </w:r>
      <w:r w:rsidRPr="007A308E">
        <w:rPr>
          <w:rFonts w:ascii="GillSans Light" w:hAnsi="GillSans Light" w:cs="GillSans"/>
          <w:bCs/>
          <w:color w:val="000000"/>
          <w:szCs w:val="24"/>
        </w:rPr>
        <w:t>Members of the Senior Executive Service:</w:t>
      </w:r>
    </w:p>
    <w:p w:rsidR="006662B8" w:rsidRPr="007A308E" w:rsidRDefault="006662B8" w:rsidP="006662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are appointed to the Tasmanian State Service and not to a particular Agency</w:t>
      </w:r>
      <w:r w:rsidR="00130024" w:rsidRPr="007A308E">
        <w:rPr>
          <w:rFonts w:ascii="GillSans Light" w:hAnsi="GillSans Light" w:cs="GillSans Light"/>
          <w:color w:val="000000"/>
          <w:sz w:val="24"/>
          <w:szCs w:val="24"/>
        </w:rPr>
        <w:t>;</w:t>
      </w:r>
    </w:p>
    <w:p w:rsidR="006662B8" w:rsidRPr="007A308E" w:rsidRDefault="006662B8" w:rsidP="006662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 xml:space="preserve">have a particular accountability for the achievement of </w:t>
      </w:r>
      <w:r w:rsidR="00130024" w:rsidRPr="007A308E">
        <w:rPr>
          <w:rFonts w:ascii="GillSans Light" w:hAnsi="GillSans Light" w:cs="GillSans Light"/>
          <w:color w:val="000000"/>
          <w:sz w:val="24"/>
          <w:szCs w:val="24"/>
        </w:rPr>
        <w:t xml:space="preserve">Government and </w:t>
      </w:r>
      <w:r w:rsidRPr="007A308E">
        <w:rPr>
          <w:rFonts w:ascii="GillSans Light" w:hAnsi="GillSans Light" w:cs="GillSans Light"/>
          <w:color w:val="000000"/>
          <w:sz w:val="24"/>
          <w:szCs w:val="24"/>
        </w:rPr>
        <w:t>Agency goals reflected in their statement of duties, instrument of appointment and performance management system</w:t>
      </w:r>
      <w:r w:rsidR="00130024" w:rsidRPr="007A308E">
        <w:rPr>
          <w:rFonts w:ascii="GillSans Light" w:hAnsi="GillSans Light" w:cs="GillSans Light"/>
          <w:color w:val="000000"/>
          <w:sz w:val="24"/>
          <w:szCs w:val="24"/>
        </w:rPr>
        <w:t>;</w:t>
      </w:r>
    </w:p>
    <w:p w:rsidR="006662B8" w:rsidRPr="007A308E" w:rsidRDefault="006662B8" w:rsidP="006662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furnish high level policy advice and undertake high level responsibilities in and across agencies to achieve Government targets</w:t>
      </w:r>
      <w:r w:rsidR="00130024" w:rsidRPr="007A308E">
        <w:rPr>
          <w:rFonts w:ascii="GillSans Light" w:hAnsi="GillSans Light" w:cs="GillSans Light"/>
          <w:color w:val="000000"/>
          <w:sz w:val="24"/>
          <w:szCs w:val="24"/>
        </w:rPr>
        <w:t>;</w:t>
      </w:r>
    </w:p>
    <w:p w:rsidR="006662B8" w:rsidRPr="007A308E" w:rsidRDefault="006662B8" w:rsidP="006662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are required to develop and apply a broad range of knowledge, skills and abilities across the State Service</w:t>
      </w:r>
      <w:r w:rsidR="00130024" w:rsidRPr="007A308E">
        <w:rPr>
          <w:rFonts w:ascii="GillSans Light" w:hAnsi="GillSans Light" w:cs="GillSans Light"/>
          <w:color w:val="000000"/>
          <w:sz w:val="24"/>
          <w:szCs w:val="24"/>
        </w:rPr>
        <w:t>; and</w:t>
      </w:r>
    </w:p>
    <w:p w:rsidR="006662B8" w:rsidRPr="007A308E" w:rsidRDefault="006662B8" w:rsidP="006662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proofErr w:type="gramStart"/>
      <w:r w:rsidRPr="007A308E">
        <w:rPr>
          <w:rFonts w:ascii="GillSans Light" w:hAnsi="GillSans Light" w:cs="GillSans Light"/>
          <w:color w:val="000000"/>
          <w:sz w:val="24"/>
          <w:szCs w:val="24"/>
        </w:rPr>
        <w:t>are</w:t>
      </w:r>
      <w:proofErr w:type="gramEnd"/>
      <w:r w:rsidRPr="007A308E">
        <w:rPr>
          <w:rFonts w:ascii="GillSans Light" w:hAnsi="GillSans Light" w:cs="GillSans Light"/>
          <w:color w:val="000000"/>
          <w:sz w:val="24"/>
          <w:szCs w:val="24"/>
        </w:rPr>
        <w:t xml:space="preserve"> required to display high level leadership and personal attributes that shape strategic thinking and achieve results on an Agency and </w:t>
      </w:r>
      <w:proofErr w:type="spellStart"/>
      <w:r w:rsidRPr="007A308E">
        <w:rPr>
          <w:rFonts w:ascii="GillSans Light" w:hAnsi="GillSans Light" w:cs="GillSans Light"/>
          <w:color w:val="000000"/>
          <w:sz w:val="24"/>
          <w:szCs w:val="24"/>
        </w:rPr>
        <w:t>whoIe</w:t>
      </w:r>
      <w:proofErr w:type="spellEnd"/>
      <w:r w:rsidRPr="007A308E">
        <w:rPr>
          <w:rFonts w:ascii="GillSans Light" w:hAnsi="GillSans Light" w:cs="GillSans Light"/>
          <w:color w:val="000000"/>
          <w:sz w:val="24"/>
          <w:szCs w:val="24"/>
        </w:rPr>
        <w:t xml:space="preserve">-of-service basis. </w:t>
      </w:r>
    </w:p>
    <w:p w:rsidR="00232D56" w:rsidRPr="007A308E" w:rsidRDefault="00232D56" w:rsidP="00130024">
      <w:pPr>
        <w:pStyle w:val="Default"/>
        <w:spacing w:before="120" w:after="120"/>
        <w:rPr>
          <w:rFonts w:ascii="GillSans Light" w:hAnsi="GillSans Light" w:cs="Gill Sans MT"/>
          <w:color w:val="auto"/>
        </w:rPr>
      </w:pPr>
    </w:p>
    <w:p w:rsidR="006662B8" w:rsidRPr="007A308E" w:rsidRDefault="006662B8" w:rsidP="00130024">
      <w:pPr>
        <w:pStyle w:val="Default"/>
        <w:spacing w:before="120" w:after="120"/>
        <w:rPr>
          <w:rFonts w:ascii="GillSans Light" w:hAnsi="GillSans Light" w:cs="Gill Sans MT"/>
          <w:color w:val="auto"/>
        </w:rPr>
      </w:pPr>
      <w:r w:rsidRPr="007A308E">
        <w:rPr>
          <w:rFonts w:ascii="GillSans Light" w:hAnsi="GillSans Light" w:cs="Gill Sans MT"/>
          <w:color w:val="auto"/>
        </w:rPr>
        <w:t xml:space="preserve">The Senior Executive Leadership Capability Framework (the Framework) </w:t>
      </w:r>
      <w:r w:rsidR="00232D56" w:rsidRPr="007A308E">
        <w:rPr>
          <w:rFonts w:ascii="GillSans Light" w:hAnsi="GillSans Light" w:cs="Gill Sans MT"/>
          <w:color w:val="auto"/>
        </w:rPr>
        <w:t xml:space="preserve">has been developed as </w:t>
      </w:r>
      <w:r w:rsidRPr="007A308E">
        <w:rPr>
          <w:rFonts w:ascii="GillSans Light" w:hAnsi="GillSans Light" w:cs="Gill Sans MT"/>
          <w:color w:val="auto"/>
        </w:rPr>
        <w:t>part of a comprehensive and broader management and leadership initiative that is being progressed across the State Service.</w:t>
      </w:r>
      <w:r w:rsidR="00130024" w:rsidRPr="007A308E">
        <w:rPr>
          <w:rFonts w:ascii="GillSans Light" w:hAnsi="GillSans Light" w:cs="Gill Sans MT"/>
          <w:color w:val="auto"/>
        </w:rPr>
        <w:t xml:space="preserve"> It:</w:t>
      </w:r>
    </w:p>
    <w:p w:rsidR="00130024" w:rsidRPr="007A308E" w:rsidRDefault="00130024" w:rsidP="001300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GillSans Light" w:hAnsi="GillSans Light" w:cs="GillSans Light"/>
          <w:color w:val="000000"/>
          <w:sz w:val="24"/>
          <w:szCs w:val="24"/>
        </w:rPr>
      </w:pPr>
      <w:proofErr w:type="gramStart"/>
      <w:r w:rsidRPr="007A308E">
        <w:rPr>
          <w:rFonts w:ascii="GillSans Light" w:hAnsi="GillSans Light" w:cs="GillSans Light"/>
          <w:color w:val="000000"/>
          <w:sz w:val="24"/>
          <w:szCs w:val="24"/>
        </w:rPr>
        <w:t>applies</w:t>
      </w:r>
      <w:proofErr w:type="gramEnd"/>
      <w:r w:rsidRPr="007A308E">
        <w:rPr>
          <w:rFonts w:ascii="GillSans Light" w:hAnsi="GillSans Light" w:cs="GillSans Light"/>
          <w:color w:val="000000"/>
          <w:sz w:val="24"/>
          <w:szCs w:val="24"/>
        </w:rPr>
        <w:t xml:space="preserve"> to all Senior Executive</w:t>
      </w:r>
      <w:r w:rsidR="00232D56" w:rsidRPr="007A308E">
        <w:rPr>
          <w:rFonts w:ascii="GillSans Light" w:hAnsi="GillSans Light" w:cs="GillSans Light"/>
          <w:color w:val="000000"/>
          <w:sz w:val="24"/>
          <w:szCs w:val="24"/>
        </w:rPr>
        <w:t xml:space="preserve">s at Level 1 through to Level 4, </w:t>
      </w:r>
      <w:r w:rsidRPr="007A308E">
        <w:rPr>
          <w:rFonts w:ascii="GillSans Light" w:hAnsi="GillSans Light" w:cs="GillSans Light"/>
          <w:color w:val="000000"/>
          <w:sz w:val="24"/>
          <w:szCs w:val="24"/>
        </w:rPr>
        <w:t xml:space="preserve">and equivalents. </w:t>
      </w:r>
    </w:p>
    <w:p w:rsidR="006662B8" w:rsidRPr="007A308E" w:rsidRDefault="006662B8" w:rsidP="006662B8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defines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the capabilities, or knowledge, skills and abilities, required for </w:t>
      </w:r>
      <w:r w:rsidR="00130024" w:rsidRPr="007A308E">
        <w:rPr>
          <w:rFonts w:ascii="GillSans Light" w:hAnsi="GillSans Light" w:cs="Gill Sans MT"/>
          <w:color w:val="auto"/>
        </w:rPr>
        <w:t>s</w:t>
      </w:r>
      <w:r w:rsidRPr="007A308E">
        <w:rPr>
          <w:rFonts w:ascii="GillSans Light" w:hAnsi="GillSans Light" w:cs="Gill Sans MT"/>
          <w:color w:val="auto"/>
        </w:rPr>
        <w:t xml:space="preserve">enior </w:t>
      </w:r>
      <w:r w:rsidR="00130024" w:rsidRPr="007A308E">
        <w:rPr>
          <w:rFonts w:ascii="GillSans Light" w:hAnsi="GillSans Light" w:cs="Gill Sans MT"/>
          <w:color w:val="auto"/>
        </w:rPr>
        <w:t>e</w:t>
      </w:r>
      <w:r w:rsidRPr="007A308E">
        <w:rPr>
          <w:rFonts w:ascii="GillSans Light" w:hAnsi="GillSans Light" w:cs="Gill Sans MT"/>
          <w:color w:val="auto"/>
        </w:rPr>
        <w:t>xecutives and equivalents to be effective leaders within their agency and the broader Tasmanian State Service, regardless of their location, agency or job role.</w:t>
      </w:r>
    </w:p>
    <w:p w:rsidR="006662B8" w:rsidRPr="007A308E" w:rsidRDefault="006662B8" w:rsidP="006662B8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r w:rsidRPr="007A308E">
        <w:rPr>
          <w:rFonts w:ascii="GillSans Light" w:hAnsi="GillSans Light" w:cs="Gill Sans MT"/>
          <w:color w:val="auto"/>
        </w:rPr>
        <w:t xml:space="preserve">provides a consistent and common language for </w:t>
      </w:r>
      <w:r w:rsidR="00130024" w:rsidRPr="007A308E">
        <w:rPr>
          <w:rFonts w:ascii="GillSans Light" w:hAnsi="GillSans Light" w:cs="Gill Sans MT"/>
          <w:color w:val="auto"/>
        </w:rPr>
        <w:t>s</w:t>
      </w:r>
      <w:r w:rsidRPr="007A308E">
        <w:rPr>
          <w:rFonts w:ascii="GillSans Light" w:hAnsi="GillSans Light" w:cs="Gill Sans MT"/>
          <w:color w:val="auto"/>
        </w:rPr>
        <w:t xml:space="preserve">enior </w:t>
      </w:r>
      <w:r w:rsidR="00130024" w:rsidRPr="007A308E">
        <w:rPr>
          <w:rFonts w:ascii="GillSans Light" w:hAnsi="GillSans Light" w:cs="Gill Sans MT"/>
          <w:color w:val="auto"/>
        </w:rPr>
        <w:t>e</w:t>
      </w:r>
      <w:r w:rsidRPr="007A308E">
        <w:rPr>
          <w:rFonts w:ascii="GillSans Light" w:hAnsi="GillSans Light" w:cs="Gill Sans MT"/>
          <w:color w:val="auto"/>
        </w:rPr>
        <w:t>xecutives and equivalents across the State Service, to understand what is required of them in their roles, regardless of whe</w:t>
      </w:r>
      <w:r w:rsidR="00232D56" w:rsidRPr="007A308E">
        <w:rPr>
          <w:rFonts w:ascii="GillSans Light" w:hAnsi="GillSans Light" w:cs="Gill Sans MT"/>
          <w:color w:val="auto"/>
        </w:rPr>
        <w:t>re they work in an organis</w:t>
      </w:r>
      <w:r w:rsidR="00130024" w:rsidRPr="007A308E">
        <w:rPr>
          <w:rFonts w:ascii="GillSans Light" w:hAnsi="GillSans Light" w:cs="Gill Sans MT"/>
          <w:color w:val="auto"/>
        </w:rPr>
        <w:t>ation; and</w:t>
      </w:r>
    </w:p>
    <w:p w:rsidR="006662B8" w:rsidRPr="007A308E" w:rsidRDefault="006662B8" w:rsidP="006662B8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describes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the behaviours which are common </w:t>
      </w:r>
      <w:r w:rsidR="00130024" w:rsidRPr="007A308E">
        <w:rPr>
          <w:rFonts w:ascii="GillSans Light" w:hAnsi="GillSans Light" w:cs="Gill Sans MT"/>
          <w:color w:val="auto"/>
        </w:rPr>
        <w:t xml:space="preserve">to all executive level roles </w:t>
      </w:r>
      <w:r w:rsidRPr="007A308E">
        <w:rPr>
          <w:rFonts w:ascii="GillSans Light" w:hAnsi="GillSans Light" w:cs="Gill Sans MT"/>
          <w:color w:val="auto"/>
        </w:rPr>
        <w:t>as well as specific skills, knowledge and abilities required to perform ce</w:t>
      </w:r>
      <w:r w:rsidR="00130024" w:rsidRPr="007A308E">
        <w:rPr>
          <w:rFonts w:ascii="GillSans Light" w:hAnsi="GillSans Light" w:cs="Gill Sans MT"/>
          <w:color w:val="auto"/>
        </w:rPr>
        <w:t>rtain types of work effectively.</w:t>
      </w:r>
    </w:p>
    <w:p w:rsidR="00232D56" w:rsidRPr="007A308E" w:rsidRDefault="00232D56" w:rsidP="00D64B3E">
      <w:pPr>
        <w:pStyle w:val="Default"/>
        <w:spacing w:before="120" w:after="120"/>
        <w:rPr>
          <w:rFonts w:ascii="GillSans Light" w:hAnsi="GillSans Light" w:cs="Gill Sans MT"/>
          <w:color w:val="auto"/>
        </w:rPr>
      </w:pPr>
    </w:p>
    <w:p w:rsidR="00130024" w:rsidRPr="007A308E" w:rsidRDefault="00130024" w:rsidP="00130024">
      <w:pPr>
        <w:pStyle w:val="Default"/>
        <w:spacing w:before="120" w:after="120"/>
        <w:rPr>
          <w:rFonts w:ascii="GillSans Light" w:hAnsi="GillSans Light" w:cs="Gill Sans MT"/>
          <w:color w:val="auto"/>
        </w:rPr>
      </w:pPr>
      <w:r w:rsidRPr="007A308E">
        <w:rPr>
          <w:rFonts w:ascii="GillSans Light" w:hAnsi="GillSans Light" w:cs="Gill Sans MT"/>
          <w:color w:val="auto"/>
        </w:rPr>
        <w:t>The Framework provides the following key potential benefits:</w:t>
      </w:r>
    </w:p>
    <w:p w:rsidR="006662B8" w:rsidRPr="007A308E" w:rsidRDefault="00130024" w:rsidP="00130024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r</w:t>
      </w:r>
      <w:r w:rsidR="006662B8" w:rsidRPr="007A308E">
        <w:rPr>
          <w:rFonts w:ascii="GillSans Light" w:hAnsi="GillSans Light" w:cs="Gill Sans MT"/>
          <w:color w:val="auto"/>
        </w:rPr>
        <w:t>elieve</w:t>
      </w:r>
      <w:proofErr w:type="gramEnd"/>
      <w:r w:rsidR="006662B8" w:rsidRPr="007A308E">
        <w:rPr>
          <w:rFonts w:ascii="GillSans Light" w:hAnsi="GillSans Light" w:cs="Gill Sans MT"/>
          <w:color w:val="auto"/>
        </w:rPr>
        <w:t xml:space="preserve"> agencies of the major cost of developing their own leadership capability framework.</w:t>
      </w:r>
    </w:p>
    <w:p w:rsidR="0052453C" w:rsidRPr="007A308E" w:rsidRDefault="0052453C" w:rsidP="0052453C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r w:rsidRPr="007A308E">
        <w:rPr>
          <w:rFonts w:ascii="GillSans Light" w:hAnsi="GillSans Light" w:cs="Gill Sans MT"/>
          <w:color w:val="auto"/>
        </w:rPr>
        <w:t>provides the opportunity to partner with other agencies in the production of resources to help embed the Framework in practices and procedures; and</w:t>
      </w:r>
    </w:p>
    <w:p w:rsidR="006662B8" w:rsidRPr="007A308E" w:rsidRDefault="0052453C" w:rsidP="006662B8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will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</w:t>
      </w:r>
      <w:r w:rsidR="006662B8" w:rsidRPr="007A308E">
        <w:rPr>
          <w:rFonts w:ascii="GillSans Light" w:hAnsi="GillSans Light" w:cs="Gill Sans MT"/>
          <w:color w:val="auto"/>
        </w:rPr>
        <w:t xml:space="preserve">be used to inform management and leadership development </w:t>
      </w:r>
      <w:r w:rsidR="00232D56" w:rsidRPr="007A308E">
        <w:rPr>
          <w:rFonts w:ascii="GillSans Light" w:hAnsi="GillSans Light" w:cs="Gill Sans MT"/>
          <w:color w:val="auto"/>
        </w:rPr>
        <w:t xml:space="preserve">needs and </w:t>
      </w:r>
      <w:r w:rsidR="006662B8" w:rsidRPr="007A308E">
        <w:rPr>
          <w:rFonts w:ascii="GillSans Light" w:hAnsi="GillSans Light" w:cs="Gill Sans MT"/>
          <w:color w:val="auto"/>
        </w:rPr>
        <w:t xml:space="preserve">opportunities. </w:t>
      </w:r>
    </w:p>
    <w:p w:rsidR="0052453C" w:rsidRPr="007A308E" w:rsidRDefault="0052453C">
      <w:pPr>
        <w:rPr>
          <w:rFonts w:ascii="GillSans Light" w:hAnsi="GillSans Light" w:cs="Arial"/>
          <w:b/>
          <w:iCs/>
          <w:color w:val="1F497D" w:themeColor="text2"/>
          <w:szCs w:val="24"/>
          <w:lang w:eastAsia="en-AU"/>
        </w:rPr>
      </w:pPr>
      <w:r w:rsidRPr="007A308E">
        <w:rPr>
          <w:rFonts w:ascii="GillSans Light" w:hAnsi="GillSans Light" w:cs="Arial"/>
          <w:b/>
          <w:iCs/>
          <w:color w:val="1F497D" w:themeColor="text2"/>
          <w:szCs w:val="24"/>
          <w:lang w:eastAsia="en-AU"/>
        </w:rPr>
        <w:br w:type="page"/>
      </w:r>
    </w:p>
    <w:p w:rsidR="0052453C" w:rsidRPr="007A308E" w:rsidRDefault="0052453C" w:rsidP="006662B8">
      <w:pPr>
        <w:pStyle w:val="Numbering1"/>
        <w:spacing w:before="240"/>
        <w:rPr>
          <w:rFonts w:ascii="GillSans Light" w:hAnsi="GillSans Light" w:cs="Arial"/>
          <w:b/>
          <w:iCs/>
          <w:color w:val="1F497D" w:themeColor="text2"/>
          <w:sz w:val="24"/>
          <w:lang w:eastAsia="en-AU"/>
        </w:rPr>
      </w:pPr>
    </w:p>
    <w:p w:rsidR="006662B8" w:rsidRPr="009F0F74" w:rsidRDefault="00FB2364" w:rsidP="009F0F74">
      <w:pPr>
        <w:pStyle w:val="Numbering1"/>
        <w:spacing w:before="0"/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</w:pPr>
      <w:r w:rsidRPr="009F0F74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 xml:space="preserve">The following </w:t>
      </w:r>
      <w:r w:rsidR="00232D56" w:rsidRPr="009F0F74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 xml:space="preserve">suggestions could be used </w:t>
      </w:r>
      <w:r w:rsidRPr="009F0F74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>in a variety of communication methods</w:t>
      </w:r>
    </w:p>
    <w:p w:rsidR="00232D56" w:rsidRPr="007A308E" w:rsidRDefault="006662B8" w:rsidP="00232D56">
      <w:pPr>
        <w:pStyle w:val="Default"/>
        <w:spacing w:before="120" w:after="120"/>
        <w:rPr>
          <w:rFonts w:ascii="GillSans Light" w:hAnsi="GillSans Light" w:cs="Gill Sans MT"/>
          <w:color w:val="auto"/>
        </w:rPr>
      </w:pPr>
      <w:r w:rsidRPr="007A308E">
        <w:rPr>
          <w:rFonts w:ascii="GillSans Light" w:hAnsi="GillSans Light" w:cs="Gill Sans MT"/>
          <w:color w:val="auto"/>
        </w:rPr>
        <w:t xml:space="preserve">The </w:t>
      </w:r>
      <w:r w:rsidR="00825053" w:rsidRPr="007A308E">
        <w:rPr>
          <w:rFonts w:ascii="GillSans Light" w:hAnsi="GillSans Light" w:cs="Gill Sans MT"/>
          <w:color w:val="auto"/>
        </w:rPr>
        <w:t xml:space="preserve">Senior Executive Leadership Capability </w:t>
      </w:r>
      <w:r w:rsidR="00232D56" w:rsidRPr="007A308E">
        <w:rPr>
          <w:rFonts w:ascii="GillSans Light" w:hAnsi="GillSans Light" w:cs="Gill Sans MT"/>
          <w:color w:val="auto"/>
        </w:rPr>
        <w:t>Framework:</w:t>
      </w:r>
    </w:p>
    <w:p w:rsidR="00232D56" w:rsidRPr="007A308E" w:rsidRDefault="00232D56" w:rsidP="00232D56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identifies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five explicit capabilities and their desired behaviours important for Senior Executives and equivalents in the State Service. These are:</w:t>
      </w:r>
    </w:p>
    <w:p w:rsidR="00232D56" w:rsidRPr="007A308E" w:rsidRDefault="00232D56" w:rsidP="00232D5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Shapes Strategic Thinking</w:t>
      </w:r>
    </w:p>
    <w:p w:rsidR="00232D56" w:rsidRPr="007A308E" w:rsidRDefault="00232D56" w:rsidP="00232D5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Achieves Results</w:t>
      </w:r>
    </w:p>
    <w:p w:rsidR="00232D56" w:rsidRPr="007A308E" w:rsidRDefault="00232D56" w:rsidP="00232D5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Cultivates productive working relationships</w:t>
      </w:r>
    </w:p>
    <w:p w:rsidR="00232D56" w:rsidRPr="007A308E" w:rsidRDefault="00232D56" w:rsidP="00232D5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Exemplifies personal drive and integrity</w:t>
      </w:r>
    </w:p>
    <w:p w:rsidR="00232D56" w:rsidRPr="007A308E" w:rsidRDefault="00232D56" w:rsidP="00232D5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rPr>
          <w:rFonts w:ascii="GillSans Light" w:hAnsi="GillSans Light" w:cs="GillSans Light"/>
          <w:color w:val="000000"/>
          <w:sz w:val="24"/>
          <w:szCs w:val="24"/>
        </w:rPr>
      </w:pPr>
      <w:r w:rsidRPr="007A308E">
        <w:rPr>
          <w:rFonts w:ascii="GillSans Light" w:hAnsi="GillSans Light" w:cs="GillSans Light"/>
          <w:color w:val="000000"/>
          <w:sz w:val="24"/>
          <w:szCs w:val="24"/>
        </w:rPr>
        <w:t>Communicates with influence.</w:t>
      </w:r>
    </w:p>
    <w:p w:rsidR="00D64B3E" w:rsidRPr="007A308E" w:rsidRDefault="00D64B3E" w:rsidP="00D64B3E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underpins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systematic workforce planning, as the capabilities are aligned with business plans and strategies to identify current and future workforce capability needs and gaps. </w:t>
      </w:r>
    </w:p>
    <w:p w:rsidR="00232D56" w:rsidRPr="007A308E" w:rsidRDefault="00232D56" w:rsidP="00232D56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provides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Senior Executives with a comprehensive set of capabilities and behavioural descriptors to self-assess their leadership capabilities needed to provide effective leadership in the State Service. </w:t>
      </w:r>
    </w:p>
    <w:p w:rsidR="00D64B3E" w:rsidRPr="007A308E" w:rsidRDefault="00D64B3E" w:rsidP="00D64B3E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will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help Senior Executives and equivalents to confirm capabilities where the Officer is confident in and help to identify areas where professional learning and development opportunities would be beneficial.</w:t>
      </w:r>
    </w:p>
    <w:p w:rsidR="00D64B3E" w:rsidRPr="007A308E" w:rsidRDefault="00D64B3E" w:rsidP="00D64B3E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will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help Senior Executives to target learning and development activities (including on-job training, work experience, rotation and mobility opportunities) is another benefit of the Framework. </w:t>
      </w:r>
    </w:p>
    <w:p w:rsidR="00D64B3E" w:rsidRPr="007A308E" w:rsidRDefault="00D64B3E" w:rsidP="00D64B3E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is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a tool for use by Senior Executives and equivalents to consider career and leadership development opportunities. </w:t>
      </w:r>
    </w:p>
    <w:p w:rsidR="006662B8" w:rsidRPr="007A308E" w:rsidRDefault="006662B8" w:rsidP="006662B8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will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enable consistency of approach in a number of areas including preparation of Statements of Duties; recruitment and selection of Senior Executives and equivalents; and performance management and development. </w:t>
      </w:r>
    </w:p>
    <w:p w:rsidR="00825053" w:rsidRPr="007A308E" w:rsidRDefault="00825053" w:rsidP="00825053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will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assist with better recruitment outcomes as selection panels have a clearer picture of the ca</w:t>
      </w:r>
      <w:r w:rsidR="00232D56" w:rsidRPr="007A308E">
        <w:rPr>
          <w:rFonts w:ascii="GillSans Light" w:hAnsi="GillSans Light" w:cs="Gill Sans MT"/>
          <w:color w:val="auto"/>
        </w:rPr>
        <w:t>pabilities required for Senior e</w:t>
      </w:r>
      <w:r w:rsidRPr="007A308E">
        <w:rPr>
          <w:rFonts w:ascii="GillSans Light" w:hAnsi="GillSans Light" w:cs="Gill Sans MT"/>
          <w:color w:val="auto"/>
        </w:rPr>
        <w:t>xecutive</w:t>
      </w:r>
      <w:r w:rsidR="00232D56" w:rsidRPr="007A308E">
        <w:rPr>
          <w:rFonts w:ascii="GillSans Light" w:hAnsi="GillSans Light" w:cs="Gill Sans MT"/>
          <w:color w:val="auto"/>
        </w:rPr>
        <w:t xml:space="preserve"> roles. </w:t>
      </w:r>
    </w:p>
    <w:p w:rsidR="006662B8" w:rsidRPr="007A308E" w:rsidRDefault="006662B8" w:rsidP="006662B8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will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help in managing performance as the capabilities enable a clearer understanding of job expectations and are an objective starting point for capability assessment and development planning.</w:t>
      </w:r>
    </w:p>
    <w:p w:rsidR="00232D56" w:rsidRPr="007A308E" w:rsidRDefault="00232D56" w:rsidP="00232D56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will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facilitate better individual career planning, to identify career and development pathways and see the capabilities required for progression. </w:t>
      </w:r>
    </w:p>
    <w:p w:rsidR="001232A4" w:rsidRPr="007A308E" w:rsidRDefault="006662B8" w:rsidP="00043F19">
      <w:pPr>
        <w:pStyle w:val="Default"/>
        <w:numPr>
          <w:ilvl w:val="0"/>
          <w:numId w:val="7"/>
        </w:numPr>
        <w:spacing w:before="120" w:after="120"/>
        <w:rPr>
          <w:rFonts w:ascii="GillSans Light" w:hAnsi="GillSans Light" w:cs="Gill Sans MT"/>
          <w:color w:val="auto"/>
        </w:rPr>
      </w:pPr>
      <w:proofErr w:type="gramStart"/>
      <w:r w:rsidRPr="007A308E">
        <w:rPr>
          <w:rFonts w:ascii="GillSans Light" w:hAnsi="GillSans Light" w:cs="Gill Sans MT"/>
          <w:color w:val="auto"/>
        </w:rPr>
        <w:t>will</w:t>
      </w:r>
      <w:proofErr w:type="gramEnd"/>
      <w:r w:rsidRPr="007A308E">
        <w:rPr>
          <w:rFonts w:ascii="GillSans Light" w:hAnsi="GillSans Light" w:cs="Gill Sans MT"/>
          <w:color w:val="auto"/>
        </w:rPr>
        <w:t xml:space="preserve"> assist with the r</w:t>
      </w:r>
      <w:r w:rsidR="00232D56" w:rsidRPr="007A308E">
        <w:rPr>
          <w:rFonts w:ascii="GillSans Light" w:hAnsi="GillSans Light" w:cs="Gill Sans MT"/>
          <w:color w:val="auto"/>
        </w:rPr>
        <w:t xml:space="preserve">otation and mobility </w:t>
      </w:r>
      <w:r w:rsidRPr="007A308E">
        <w:rPr>
          <w:rFonts w:ascii="GillSans Light" w:hAnsi="GillSans Light" w:cs="Gill Sans MT"/>
          <w:color w:val="auto"/>
        </w:rPr>
        <w:t xml:space="preserve">of Senior Executives and equivalents through clearer articulation of job and individual capability requirements. </w:t>
      </w:r>
    </w:p>
    <w:p w:rsidR="001232A4" w:rsidRPr="007A308E" w:rsidRDefault="001232A4" w:rsidP="00043F19">
      <w:pPr>
        <w:pStyle w:val="Default"/>
        <w:spacing w:before="120" w:after="120"/>
        <w:rPr>
          <w:rFonts w:ascii="GillSans Light" w:hAnsi="GillSans Light" w:cs="Gill Sans MT"/>
          <w:color w:val="auto"/>
        </w:rPr>
      </w:pPr>
    </w:p>
    <w:p w:rsidR="001C36CF" w:rsidRPr="007A308E" w:rsidRDefault="001C36CF">
      <w:pPr>
        <w:rPr>
          <w:rFonts w:ascii="GillSans Light" w:hAnsi="GillSans Light"/>
          <w:lang w:eastAsia="en-AU"/>
        </w:rPr>
        <w:sectPr w:rsidR="001C36CF" w:rsidRPr="007A308E" w:rsidSect="0030756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992" w:bottom="1440" w:left="907" w:header="709" w:footer="283" w:gutter="0"/>
          <w:cols w:space="708"/>
          <w:titlePg/>
          <w:docGrid w:linePitch="360"/>
        </w:sectPr>
      </w:pPr>
    </w:p>
    <w:p w:rsidR="007E6D76" w:rsidRPr="00D64B3E" w:rsidRDefault="007E6D76" w:rsidP="001C3056">
      <w:pPr>
        <w:pStyle w:val="Numbering1"/>
        <w:spacing w:before="600"/>
        <w:rPr>
          <w:rFonts w:ascii="GillSans Light" w:hAnsi="GillSans Light" w:cs="Arial"/>
          <w:b/>
          <w:iCs/>
          <w:color w:val="1F497D" w:themeColor="text2"/>
          <w:sz w:val="24"/>
          <w:lang w:eastAsia="en-AU"/>
        </w:rPr>
      </w:pPr>
    </w:p>
    <w:p w:rsidR="003A73AB" w:rsidRPr="00D64B3E" w:rsidRDefault="00232D56" w:rsidP="009F0F74">
      <w:pPr>
        <w:pStyle w:val="Numbering1"/>
        <w:spacing w:before="0"/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</w:pPr>
      <w:r w:rsidRPr="00D64B3E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>S</w:t>
      </w:r>
      <w:r w:rsidR="003A73AB" w:rsidRPr="00D64B3E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 xml:space="preserve">uggested communication </w:t>
      </w:r>
      <w:r w:rsidRPr="00D64B3E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 xml:space="preserve">plan </w:t>
      </w:r>
      <w:r w:rsidR="003A73AB" w:rsidRPr="00D64B3E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 xml:space="preserve">to inform </w:t>
      </w:r>
      <w:r w:rsidR="00D41208" w:rsidRPr="00D64B3E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 xml:space="preserve">Officers </w:t>
      </w:r>
      <w:r w:rsidR="003A73AB" w:rsidRPr="00D64B3E">
        <w:rPr>
          <w:rFonts w:ascii="GillSans Light" w:hAnsi="GillSans Light" w:cs="Arial"/>
          <w:b/>
          <w:iCs/>
          <w:color w:val="1F497D" w:themeColor="text2"/>
          <w:sz w:val="28"/>
          <w:lang w:eastAsia="en-AU"/>
        </w:rPr>
        <w:t>about the Framework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  <w:gridCol w:w="1936"/>
        <w:gridCol w:w="1233"/>
        <w:gridCol w:w="1366"/>
      </w:tblGrid>
      <w:tr w:rsidR="00232D56" w:rsidRPr="00D64B3E" w:rsidTr="00232D56">
        <w:trPr>
          <w:tblHeader/>
        </w:trPr>
        <w:tc>
          <w:tcPr>
            <w:tcW w:w="1100" w:type="pct"/>
          </w:tcPr>
          <w:p w:rsidR="00232D56" w:rsidRPr="00D64B3E" w:rsidRDefault="00232D56" w:rsidP="00653073">
            <w:pPr>
              <w:pStyle w:val="Tableheader"/>
              <w:spacing w:before="60" w:after="60"/>
              <w:rPr>
                <w:rFonts w:ascii="GillSans Light" w:hAnsi="GillSans Light" w:cs="Arial"/>
                <w:sz w:val="22"/>
                <w:szCs w:val="22"/>
              </w:rPr>
            </w:pPr>
            <w:r w:rsidRPr="00D64B3E">
              <w:rPr>
                <w:rFonts w:ascii="GillSans Light" w:hAnsi="GillSans Light" w:cs="Arial"/>
                <w:sz w:val="22"/>
                <w:szCs w:val="22"/>
              </w:rPr>
              <w:t>Communication method</w:t>
            </w:r>
          </w:p>
        </w:tc>
        <w:tc>
          <w:tcPr>
            <w:tcW w:w="2300" w:type="pct"/>
          </w:tcPr>
          <w:p w:rsidR="00232D56" w:rsidRPr="00D64B3E" w:rsidRDefault="00232D56" w:rsidP="00653073">
            <w:pPr>
              <w:pStyle w:val="Tableheader"/>
              <w:spacing w:before="60" w:after="60"/>
              <w:rPr>
                <w:rFonts w:ascii="GillSans Light" w:hAnsi="GillSans Light" w:cs="Arial"/>
                <w:sz w:val="22"/>
                <w:szCs w:val="22"/>
              </w:rPr>
            </w:pPr>
            <w:r w:rsidRPr="00D64B3E">
              <w:rPr>
                <w:rFonts w:ascii="GillSans Light" w:hAnsi="GillSans Light" w:cs="Arial"/>
                <w:sz w:val="22"/>
                <w:szCs w:val="22"/>
              </w:rPr>
              <w:t>Activities</w:t>
            </w:r>
          </w:p>
        </w:tc>
        <w:tc>
          <w:tcPr>
            <w:tcW w:w="683" w:type="pct"/>
          </w:tcPr>
          <w:p w:rsidR="00232D56" w:rsidRPr="00D64B3E" w:rsidRDefault="00232D56" w:rsidP="00653073">
            <w:pPr>
              <w:pStyle w:val="Tableheader"/>
              <w:spacing w:before="60" w:after="60"/>
              <w:rPr>
                <w:rFonts w:ascii="GillSans Light" w:hAnsi="GillSans Light" w:cs="Arial"/>
                <w:sz w:val="22"/>
                <w:szCs w:val="22"/>
              </w:rPr>
            </w:pPr>
            <w:r w:rsidRPr="00D64B3E">
              <w:rPr>
                <w:rFonts w:ascii="GillSans Light" w:hAnsi="GillSans Light" w:cs="Arial"/>
                <w:sz w:val="22"/>
                <w:szCs w:val="22"/>
              </w:rPr>
              <w:t>Action officer</w:t>
            </w:r>
          </w:p>
        </w:tc>
        <w:tc>
          <w:tcPr>
            <w:tcW w:w="435" w:type="pct"/>
          </w:tcPr>
          <w:p w:rsidR="00232D56" w:rsidRPr="00D64B3E" w:rsidRDefault="00232D56" w:rsidP="00653073">
            <w:pPr>
              <w:pStyle w:val="Tableheader"/>
              <w:spacing w:before="60" w:after="60"/>
              <w:rPr>
                <w:rFonts w:ascii="GillSans Light" w:hAnsi="GillSans Light" w:cs="Arial"/>
                <w:sz w:val="22"/>
                <w:szCs w:val="22"/>
              </w:rPr>
            </w:pPr>
            <w:r w:rsidRPr="00D64B3E">
              <w:rPr>
                <w:rFonts w:ascii="GillSans Light" w:hAnsi="GillSans Light" w:cs="Arial"/>
                <w:sz w:val="22"/>
                <w:szCs w:val="22"/>
              </w:rPr>
              <w:t>Deadline(s)</w:t>
            </w:r>
          </w:p>
        </w:tc>
        <w:tc>
          <w:tcPr>
            <w:tcW w:w="482" w:type="pct"/>
          </w:tcPr>
          <w:p w:rsidR="00232D56" w:rsidRPr="00D64B3E" w:rsidRDefault="00232D56" w:rsidP="00653073">
            <w:pPr>
              <w:pStyle w:val="Tableheader"/>
              <w:spacing w:before="60" w:after="60"/>
              <w:rPr>
                <w:rFonts w:ascii="GillSans Light" w:hAnsi="GillSans Light" w:cs="Arial"/>
                <w:sz w:val="22"/>
                <w:szCs w:val="22"/>
              </w:rPr>
            </w:pPr>
            <w:r w:rsidRPr="00D64B3E">
              <w:rPr>
                <w:rFonts w:ascii="GillSans Light" w:hAnsi="GillSans Light" w:cs="Arial"/>
                <w:sz w:val="22"/>
                <w:szCs w:val="22"/>
              </w:rPr>
              <w:t>Completed</w:t>
            </w:r>
          </w:p>
        </w:tc>
      </w:tr>
      <w:tr w:rsidR="00232D56" w:rsidRPr="00D64B3E" w:rsidTr="00232D56">
        <w:tc>
          <w:tcPr>
            <w:tcW w:w="1100" w:type="pct"/>
            <w:vMerge w:val="restar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 xml:space="preserve">Emails to Senior Executives </w:t>
            </w:r>
          </w:p>
        </w:tc>
        <w:tc>
          <w:tcPr>
            <w:tcW w:w="2300" w:type="pct"/>
            <w:vMerge w:val="restar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>Email Senior Executives about:</w:t>
            </w:r>
          </w:p>
          <w:p w:rsidR="00232D56" w:rsidRPr="00D64B3E" w:rsidRDefault="00232D56" w:rsidP="00653073">
            <w:pPr>
              <w:pStyle w:val="BodyText2"/>
              <w:numPr>
                <w:ilvl w:val="0"/>
                <w:numId w:val="12"/>
              </w:numPr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>Background to the Framework</w:t>
            </w:r>
          </w:p>
          <w:p w:rsidR="00232D56" w:rsidRPr="00D64B3E" w:rsidRDefault="00816C52" w:rsidP="00653073">
            <w:pPr>
              <w:pStyle w:val="BodyText2"/>
              <w:numPr>
                <w:ilvl w:val="0"/>
                <w:numId w:val="12"/>
              </w:numPr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 xml:space="preserve">Inform about </w:t>
            </w:r>
            <w:r w:rsidR="00232D56" w:rsidRPr="00D64B3E">
              <w:rPr>
                <w:rFonts w:ascii="GillSans Light" w:hAnsi="GillSans Light"/>
                <w:sz w:val="22"/>
                <w:szCs w:val="22"/>
              </w:rPr>
              <w:t xml:space="preserve">Agency processes to embed the Framework </w:t>
            </w:r>
          </w:p>
          <w:p w:rsidR="00232D56" w:rsidRPr="00D64B3E" w:rsidRDefault="00232D56" w:rsidP="00653073">
            <w:pPr>
              <w:pStyle w:val="BodyText2"/>
              <w:numPr>
                <w:ilvl w:val="0"/>
                <w:numId w:val="12"/>
              </w:numPr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 xml:space="preserve">What, when and how </w:t>
            </w:r>
          </w:p>
        </w:tc>
        <w:tc>
          <w:tcPr>
            <w:tcW w:w="683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82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232D56" w:rsidRPr="00D64B3E" w:rsidTr="00232D56">
        <w:tc>
          <w:tcPr>
            <w:tcW w:w="1100" w:type="pct"/>
            <w:vMerge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2300" w:type="pct"/>
            <w:vMerge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683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232D56" w:rsidRPr="00D64B3E" w:rsidRDefault="00232D56" w:rsidP="00653073">
            <w:pPr>
              <w:spacing w:before="60" w:after="60"/>
              <w:rPr>
                <w:rFonts w:ascii="GillSans Light" w:hAnsi="GillSans Light" w:cs="Arial"/>
              </w:rPr>
            </w:pPr>
          </w:p>
        </w:tc>
        <w:tc>
          <w:tcPr>
            <w:tcW w:w="482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232D56" w:rsidRPr="00D64B3E" w:rsidTr="00232D56">
        <w:tc>
          <w:tcPr>
            <w:tcW w:w="1100" w:type="pct"/>
            <w:vMerge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2300" w:type="pct"/>
            <w:vMerge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683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232D56" w:rsidRPr="00D64B3E" w:rsidRDefault="00232D56" w:rsidP="00653073">
            <w:pPr>
              <w:spacing w:before="60" w:after="60"/>
              <w:rPr>
                <w:rFonts w:ascii="GillSans Light" w:hAnsi="GillSans Light" w:cs="Arial"/>
              </w:rPr>
            </w:pPr>
          </w:p>
        </w:tc>
        <w:tc>
          <w:tcPr>
            <w:tcW w:w="482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232D56" w:rsidRPr="00D64B3E" w:rsidTr="00232D56">
        <w:tc>
          <w:tcPr>
            <w:tcW w:w="1100" w:type="pct"/>
            <w:vMerge w:val="restar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 xml:space="preserve">Agency Website </w:t>
            </w:r>
          </w:p>
        </w:tc>
        <w:tc>
          <w:tcPr>
            <w:tcW w:w="2300" w:type="pct"/>
          </w:tcPr>
          <w:p w:rsidR="00232D56" w:rsidRPr="00D64B3E" w:rsidRDefault="00816C52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 xml:space="preserve">Run an </w:t>
            </w:r>
            <w:r w:rsidR="00232D56" w:rsidRPr="00D64B3E">
              <w:rPr>
                <w:rFonts w:ascii="GillSans Light" w:hAnsi="GillSans Light"/>
                <w:sz w:val="22"/>
                <w:szCs w:val="22"/>
              </w:rPr>
              <w:t xml:space="preserve">Intranet story about Framework </w:t>
            </w:r>
            <w:r w:rsidRPr="00D64B3E">
              <w:rPr>
                <w:rFonts w:ascii="GillSans Light" w:hAnsi="GillSans Light"/>
                <w:sz w:val="22"/>
                <w:szCs w:val="22"/>
              </w:rPr>
              <w:t>o</w:t>
            </w:r>
            <w:r w:rsidR="00232D56" w:rsidRPr="00D64B3E">
              <w:rPr>
                <w:rFonts w:ascii="GillSans Light" w:hAnsi="GillSans Light"/>
                <w:sz w:val="22"/>
                <w:szCs w:val="22"/>
              </w:rPr>
              <w:t>n Agency website</w:t>
            </w:r>
          </w:p>
        </w:tc>
        <w:tc>
          <w:tcPr>
            <w:tcW w:w="683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82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232D56" w:rsidRPr="00D64B3E" w:rsidTr="00232D56">
        <w:tc>
          <w:tcPr>
            <w:tcW w:w="1100" w:type="pct"/>
            <w:vMerge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2300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 xml:space="preserve">Agency to put web link to </w:t>
            </w:r>
            <w:r w:rsidR="00670FDC" w:rsidRPr="00D64B3E">
              <w:rPr>
                <w:rFonts w:ascii="GillSans Light" w:hAnsi="GillSans Light"/>
                <w:sz w:val="22"/>
                <w:szCs w:val="22"/>
              </w:rPr>
              <w:t xml:space="preserve">Framework and FAQs </w:t>
            </w:r>
            <w:r w:rsidR="00816C52" w:rsidRPr="00D64B3E">
              <w:rPr>
                <w:rFonts w:ascii="GillSans Light" w:hAnsi="GillSans Light"/>
                <w:sz w:val="22"/>
                <w:szCs w:val="22"/>
              </w:rPr>
              <w:t xml:space="preserve">to </w:t>
            </w:r>
            <w:r w:rsidR="00670FDC" w:rsidRPr="00D64B3E">
              <w:rPr>
                <w:rFonts w:ascii="GillSans Light" w:hAnsi="GillSans Light"/>
                <w:sz w:val="22"/>
                <w:szCs w:val="22"/>
              </w:rPr>
              <w:t xml:space="preserve">SSMO </w:t>
            </w:r>
            <w:r w:rsidRPr="00D64B3E">
              <w:rPr>
                <w:rFonts w:ascii="GillSans Light" w:hAnsi="GillSans Light"/>
                <w:sz w:val="22"/>
                <w:szCs w:val="22"/>
              </w:rPr>
              <w:t>websit</w:t>
            </w:r>
            <w:r w:rsidR="00670FDC" w:rsidRPr="00D64B3E">
              <w:rPr>
                <w:rFonts w:ascii="GillSans Light" w:hAnsi="GillSans Light"/>
                <w:sz w:val="22"/>
                <w:szCs w:val="22"/>
              </w:rPr>
              <w:t>e</w:t>
            </w:r>
          </w:p>
        </w:tc>
        <w:tc>
          <w:tcPr>
            <w:tcW w:w="683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82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232D56" w:rsidRPr="00D64B3E" w:rsidTr="00232D56">
        <w:trPr>
          <w:cantSplit/>
        </w:trPr>
        <w:tc>
          <w:tcPr>
            <w:tcW w:w="1100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>Newsletters and supporting info</w:t>
            </w:r>
          </w:p>
        </w:tc>
        <w:tc>
          <w:tcPr>
            <w:tcW w:w="2300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>Promotion of Framework in Agency Newsletter/s</w:t>
            </w:r>
            <w:r w:rsidR="00816C52" w:rsidRPr="00D64B3E">
              <w:rPr>
                <w:rFonts w:ascii="GillSans Light" w:hAnsi="GillSans Light"/>
                <w:sz w:val="22"/>
                <w:szCs w:val="22"/>
              </w:rPr>
              <w:t xml:space="preserve"> as opportunity arises</w:t>
            </w:r>
          </w:p>
        </w:tc>
        <w:tc>
          <w:tcPr>
            <w:tcW w:w="683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82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670FDC" w:rsidRPr="00D64B3E" w:rsidTr="00232D56">
        <w:trPr>
          <w:cantSplit/>
        </w:trPr>
        <w:tc>
          <w:tcPr>
            <w:tcW w:w="1100" w:type="pct"/>
            <w:vMerge w:val="restar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>Agency Forums or workshops</w:t>
            </w:r>
          </w:p>
        </w:tc>
        <w:tc>
          <w:tcPr>
            <w:tcW w:w="2300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>Run information sessions for Senior Executives</w:t>
            </w:r>
          </w:p>
        </w:tc>
        <w:tc>
          <w:tcPr>
            <w:tcW w:w="683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82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670FDC" w:rsidRPr="00D64B3E" w:rsidTr="00232D56">
        <w:trPr>
          <w:cantSplit/>
        </w:trPr>
        <w:tc>
          <w:tcPr>
            <w:tcW w:w="1100" w:type="pct"/>
            <w:vMerge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2300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 xml:space="preserve">Promote Framework  with targeted audiences </w:t>
            </w:r>
          </w:p>
        </w:tc>
        <w:tc>
          <w:tcPr>
            <w:tcW w:w="683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82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670FDC" w:rsidRPr="00D64B3E" w:rsidTr="00232D56">
        <w:tc>
          <w:tcPr>
            <w:tcW w:w="1100" w:type="pct"/>
            <w:vMerge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2300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 xml:space="preserve">Promote and discuss Framework with HRM team </w:t>
            </w:r>
          </w:p>
        </w:tc>
        <w:tc>
          <w:tcPr>
            <w:tcW w:w="683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82" w:type="pct"/>
          </w:tcPr>
          <w:p w:rsidR="00670FDC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  <w:tr w:rsidR="00232D56" w:rsidRPr="00D64B3E" w:rsidTr="00232D56">
        <w:trPr>
          <w:trHeight w:val="595"/>
        </w:trPr>
        <w:tc>
          <w:tcPr>
            <w:tcW w:w="1100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>Evaluation</w:t>
            </w:r>
          </w:p>
        </w:tc>
        <w:tc>
          <w:tcPr>
            <w:tcW w:w="2300" w:type="pct"/>
          </w:tcPr>
          <w:p w:rsidR="00232D56" w:rsidRPr="00D64B3E" w:rsidRDefault="00670FDC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  <w:r w:rsidRPr="00D64B3E">
              <w:rPr>
                <w:rFonts w:ascii="GillSans Light" w:hAnsi="GillSans Light"/>
                <w:sz w:val="22"/>
                <w:szCs w:val="22"/>
              </w:rPr>
              <w:t>Consider ways to check how well the Communication strategies have worked in Agency</w:t>
            </w:r>
          </w:p>
        </w:tc>
        <w:tc>
          <w:tcPr>
            <w:tcW w:w="683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35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  <w:tc>
          <w:tcPr>
            <w:tcW w:w="482" w:type="pct"/>
          </w:tcPr>
          <w:p w:rsidR="00232D56" w:rsidRPr="00D64B3E" w:rsidRDefault="00232D56" w:rsidP="00653073">
            <w:pPr>
              <w:pStyle w:val="BodyText2"/>
              <w:spacing w:before="60" w:after="60"/>
              <w:rPr>
                <w:rFonts w:ascii="GillSans Light" w:hAnsi="GillSans Light"/>
                <w:sz w:val="22"/>
                <w:szCs w:val="22"/>
              </w:rPr>
            </w:pPr>
          </w:p>
        </w:tc>
      </w:tr>
    </w:tbl>
    <w:p w:rsidR="006A5107" w:rsidRPr="00D64B3E" w:rsidRDefault="006A5107">
      <w:pPr>
        <w:spacing w:before="120" w:after="120"/>
        <w:jc w:val="both"/>
        <w:rPr>
          <w:rFonts w:ascii="GillSans Light" w:hAnsi="GillSans Light"/>
          <w:szCs w:val="24"/>
        </w:rPr>
      </w:pPr>
    </w:p>
    <w:sectPr w:rsidR="006A5107" w:rsidRPr="00D64B3E" w:rsidSect="00442F75">
      <w:pgSz w:w="16838" w:h="11906" w:orient="landscape"/>
      <w:pgMar w:top="907" w:right="1440" w:bottom="851" w:left="1440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2B" w:rsidRDefault="0082002B">
      <w:r>
        <w:separator/>
      </w:r>
    </w:p>
  </w:endnote>
  <w:endnote w:type="continuationSeparator" w:id="0">
    <w:p w:rsidR="0082002B" w:rsidRDefault="008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A7" w:rsidRPr="004A5415" w:rsidRDefault="004A5415">
    <w:pPr>
      <w:pStyle w:val="Footer"/>
      <w:rPr>
        <w:rFonts w:ascii="GillSans Light" w:hAnsi="GillSans Light"/>
      </w:rPr>
    </w:pPr>
    <w:r w:rsidRPr="004A5415">
      <w:rPr>
        <w:rFonts w:ascii="GillSans Light" w:hAnsi="GillSans Light"/>
      </w:rPr>
      <w:t>A Whole-of-Service Project</w:t>
    </w:r>
    <w:r w:rsidRPr="004A5415">
      <w:rPr>
        <w:rFonts w:ascii="GillSans Light" w:hAnsi="GillSans Light"/>
      </w:rPr>
      <w:br/>
      <w:t>Strengthening Management and Leadership in the Tasmanian State Service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3"/>
      <w:gridCol w:w="1024"/>
    </w:tblGrid>
    <w:tr w:rsidR="00DB5344" w:rsidTr="00B33BE0">
      <w:tc>
        <w:tcPr>
          <w:tcW w:w="4500" w:type="pct"/>
          <w:tcBorders>
            <w:top w:val="single" w:sz="4" w:space="0" w:color="000000"/>
          </w:tcBorders>
        </w:tcPr>
        <w:p w:rsidR="00DB5344" w:rsidRPr="00DB715C" w:rsidRDefault="00DB5344" w:rsidP="00DB5344">
          <w:pPr>
            <w:pStyle w:val="Footer"/>
            <w:tabs>
              <w:tab w:val="clear" w:pos="4513"/>
              <w:tab w:val="left" w:pos="4536"/>
            </w:tabs>
            <w:rPr>
              <w:rFonts w:ascii="Arial Narrow" w:hAnsi="Arial Narrow"/>
            </w:rPr>
          </w:pPr>
          <w:r>
            <w:rPr>
              <w:rFonts w:ascii="Arial Narrow" w:hAnsi="Arial Narrow"/>
            </w:rPr>
            <w:tab/>
            <w:t xml:space="preserve">Whole-of-Service | Leadership Capability Framework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F497D"/>
        </w:tcPr>
        <w:p w:rsidR="00DB5344" w:rsidRPr="00DB715C" w:rsidRDefault="00DB5344" w:rsidP="00B33BE0">
          <w:pPr>
            <w:pStyle w:val="Header"/>
            <w:jc w:val="center"/>
            <w:rPr>
              <w:rFonts w:ascii="Arial Narrow" w:hAnsi="Arial Narrow"/>
              <w:b/>
              <w:color w:val="FFFFFF"/>
            </w:rPr>
          </w:pPr>
          <w:r w:rsidRPr="00DB715C">
            <w:rPr>
              <w:rFonts w:ascii="Arial Narrow" w:hAnsi="Arial Narrow"/>
              <w:b/>
            </w:rPr>
            <w:fldChar w:fldCharType="begin"/>
          </w:r>
          <w:r w:rsidRPr="00DB715C">
            <w:rPr>
              <w:rFonts w:ascii="Arial Narrow" w:hAnsi="Arial Narrow"/>
              <w:b/>
            </w:rPr>
            <w:instrText xml:space="preserve"> PAGE   \* MERGEFORMAT </w:instrText>
          </w:r>
          <w:r w:rsidRPr="00DB715C">
            <w:rPr>
              <w:rFonts w:ascii="Arial Narrow" w:hAnsi="Arial Narrow"/>
              <w:b/>
            </w:rPr>
            <w:fldChar w:fldCharType="separate"/>
          </w:r>
          <w:r w:rsidR="00307566" w:rsidRPr="00307566">
            <w:rPr>
              <w:rFonts w:ascii="Arial Narrow" w:hAnsi="Arial Narrow"/>
              <w:b/>
              <w:noProof/>
              <w:color w:val="FFFFFF"/>
            </w:rPr>
            <w:t>1</w:t>
          </w:r>
          <w:r w:rsidRPr="00DB715C">
            <w:rPr>
              <w:rFonts w:ascii="Arial Narrow" w:hAnsi="Arial Narrow"/>
              <w:b/>
              <w:noProof/>
              <w:color w:val="FFFFFF"/>
            </w:rPr>
            <w:fldChar w:fldCharType="end"/>
          </w:r>
        </w:p>
      </w:tc>
    </w:tr>
  </w:tbl>
  <w:p w:rsidR="00DB5344" w:rsidRDefault="00DB5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2B" w:rsidRDefault="0082002B">
      <w:r>
        <w:separator/>
      </w:r>
    </w:p>
  </w:footnote>
  <w:footnote w:type="continuationSeparator" w:id="0">
    <w:p w:rsidR="0082002B" w:rsidRDefault="0082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5F" w:rsidRPr="00BD5CB9" w:rsidRDefault="001D035F" w:rsidP="001D035F">
    <w:pPr>
      <w:pStyle w:val="GovWhiteHeading1"/>
      <w:rPr>
        <w:rFonts w:ascii="GillSans" w:hAnsi="GillSans"/>
        <w:sz w:val="80"/>
        <w:szCs w:val="8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53C4EEC" wp14:editId="25ACB3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25150" cy="10684247"/>
          <wp:effectExtent l="0" t="0" r="0" b="3175"/>
          <wp:wrapNone/>
          <wp:docPr id="1" name="Picture 2" descr="Description: Info Sheet_Series1_Blu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nfo Sheet_Series1_Blue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6052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CB9">
      <w:rPr>
        <w:rFonts w:ascii="GillSans" w:hAnsi="GillSans"/>
        <w:sz w:val="80"/>
        <w:szCs w:val="80"/>
      </w:rPr>
      <w:t>Senior Executive</w:t>
    </w:r>
    <w:r w:rsidRPr="00BD5CB9">
      <w:rPr>
        <w:rFonts w:ascii="GillSans" w:hAnsi="GillSans"/>
        <w:sz w:val="80"/>
        <w:szCs w:val="80"/>
      </w:rPr>
      <w:br/>
    </w:r>
    <w:r w:rsidRPr="00BD5CB9">
      <w:rPr>
        <w:rFonts w:ascii="GillSans" w:hAnsi="GillSans"/>
        <w:sz w:val="72"/>
        <w:szCs w:val="72"/>
      </w:rPr>
      <w:t>Leadership Capability</w:t>
    </w:r>
    <w:r>
      <w:rPr>
        <w:rFonts w:ascii="GillSans" w:hAnsi="GillSans"/>
        <w:sz w:val="72"/>
        <w:szCs w:val="72"/>
      </w:rPr>
      <w:t xml:space="preserve"> </w:t>
    </w:r>
    <w:r w:rsidRPr="00BD5CB9">
      <w:rPr>
        <w:rFonts w:ascii="GillSans" w:hAnsi="GillSans"/>
        <w:sz w:val="72"/>
        <w:szCs w:val="72"/>
      </w:rPr>
      <w:t>Framework</w:t>
    </w:r>
    <w:r>
      <w:rPr>
        <w:rFonts w:ascii="GillSans" w:hAnsi="GillSans"/>
        <w:sz w:val="72"/>
        <w:szCs w:val="72"/>
      </w:rPr>
      <w:br/>
    </w:r>
    <w:r w:rsidRPr="001D035F">
      <w:rPr>
        <w:rFonts w:ascii="GillSans" w:hAnsi="GillSans"/>
        <w:caps/>
        <w:sz w:val="36"/>
      </w:rPr>
      <w:t>KEY MESSAGE</w:t>
    </w:r>
    <w:r w:rsidR="0085537C">
      <w:rPr>
        <w:rFonts w:ascii="GillSans" w:hAnsi="GillSans"/>
        <w:caps/>
        <w:sz w:val="36"/>
      </w:rPr>
      <w:t>S</w:t>
    </w:r>
  </w:p>
  <w:p w:rsidR="001077A7" w:rsidRDefault="0082002B" w:rsidP="001D0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7C" w:rsidRPr="00777598" w:rsidRDefault="0085537C" w:rsidP="0085537C">
    <w:pPr>
      <w:tabs>
        <w:tab w:val="left" w:pos="705"/>
        <w:tab w:val="right" w:pos="9923"/>
        <w:tab w:val="right" w:pos="10204"/>
      </w:tabs>
      <w:rPr>
        <w:b/>
        <w:i/>
        <w:sz w:val="28"/>
        <w:szCs w:val="32"/>
      </w:rPr>
    </w:pPr>
    <w:r>
      <w:rPr>
        <w:b/>
        <w:i/>
        <w:noProof/>
        <w:sz w:val="28"/>
        <w:szCs w:val="3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17081" wp14:editId="33F5F2DC">
              <wp:simplePos x="0" y="0"/>
              <wp:positionH relativeFrom="column">
                <wp:posOffset>-143510</wp:posOffset>
              </wp:positionH>
              <wp:positionV relativeFrom="paragraph">
                <wp:posOffset>151130</wp:posOffset>
              </wp:positionV>
              <wp:extent cx="5313872" cy="966158"/>
              <wp:effectExtent l="0" t="0" r="127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872" cy="9661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170" w:rsidRPr="00D84606" w:rsidRDefault="00204170" w:rsidP="00204170">
                          <w:pPr>
                            <w:rPr>
                              <w:rFonts w:ascii="Arial Narrow" w:hAnsi="Arial Narrow"/>
                              <w:b/>
                              <w:color w:val="1F497D" w:themeColor="text2"/>
                              <w:sz w:val="56"/>
                            </w:rPr>
                          </w:pPr>
                          <w:r w:rsidRPr="00D84606">
                            <w:rPr>
                              <w:rFonts w:ascii="Arial Narrow" w:hAnsi="Arial Narrow"/>
                              <w:b/>
                              <w:color w:val="1F497D" w:themeColor="text2"/>
                              <w:sz w:val="56"/>
                            </w:rPr>
                            <w:t>Senior Executive</w:t>
                          </w:r>
                        </w:p>
                        <w:p w:rsidR="00204170" w:rsidRPr="00D84606" w:rsidRDefault="00204170" w:rsidP="00204170">
                          <w:pPr>
                            <w:rPr>
                              <w:rFonts w:ascii="Arial Narrow" w:hAnsi="Arial Narrow"/>
                              <w:b/>
                              <w:color w:val="1F497D" w:themeColor="text2"/>
                              <w:sz w:val="56"/>
                            </w:rPr>
                          </w:pPr>
                          <w:r w:rsidRPr="00D84606">
                            <w:rPr>
                              <w:rFonts w:ascii="Arial Narrow" w:hAnsi="Arial Narrow"/>
                              <w:b/>
                              <w:color w:val="1F497D" w:themeColor="text2"/>
                              <w:sz w:val="56"/>
                            </w:rPr>
                            <w:t>Leadership Capability Framework</w:t>
                          </w:r>
                        </w:p>
                        <w:p w:rsidR="0085537C" w:rsidRPr="00E30C9C" w:rsidRDefault="0085537C" w:rsidP="0085537C">
                          <w:pPr>
                            <w:rPr>
                              <w:rFonts w:ascii="Arial Narrow" w:hAnsi="Arial Narrow"/>
                              <w:b/>
                              <w:color w:val="1F497D" w:themeColor="text2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1.3pt;margin-top:11.9pt;width:418.4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" stroked="f">
              <v:textbox>
                <w:txbxContent>
                  <w:p w:rsidR="00204170" w:rsidRPr="00D84606" w:rsidRDefault="00204170" w:rsidP="00204170">
                    <w:pPr>
                      <w:rPr>
                        <w:rFonts w:ascii="Arial Narrow" w:hAnsi="Arial Narrow"/>
                        <w:b/>
                        <w:color w:val="1F497D" w:themeColor="text2"/>
                        <w:sz w:val="56"/>
                      </w:rPr>
                    </w:pPr>
                    <w:r w:rsidRPr="00D84606">
                      <w:rPr>
                        <w:rFonts w:ascii="Arial Narrow" w:hAnsi="Arial Narrow"/>
                        <w:b/>
                        <w:color w:val="1F497D" w:themeColor="text2"/>
                        <w:sz w:val="56"/>
                      </w:rPr>
                      <w:t>Senior Executive</w:t>
                    </w:r>
                  </w:p>
                  <w:p w:rsidR="00204170" w:rsidRPr="00D84606" w:rsidRDefault="00204170" w:rsidP="00204170">
                    <w:pPr>
                      <w:rPr>
                        <w:rFonts w:ascii="Arial Narrow" w:hAnsi="Arial Narrow"/>
                        <w:b/>
                        <w:color w:val="1F497D" w:themeColor="text2"/>
                        <w:sz w:val="56"/>
                      </w:rPr>
                    </w:pPr>
                    <w:r w:rsidRPr="00D84606">
                      <w:rPr>
                        <w:rFonts w:ascii="Arial Narrow" w:hAnsi="Arial Narrow"/>
                        <w:b/>
                        <w:color w:val="1F497D" w:themeColor="text2"/>
                        <w:sz w:val="56"/>
                      </w:rPr>
                      <w:t>Leadership Capability Framework</w:t>
                    </w:r>
                  </w:p>
                  <w:p w:rsidR="0085537C" w:rsidRPr="00E30C9C" w:rsidRDefault="0085537C" w:rsidP="0085537C">
                    <w:pPr>
                      <w:rPr>
                        <w:rFonts w:ascii="Arial Narrow" w:hAnsi="Arial Narrow"/>
                        <w:b/>
                        <w:color w:val="1F497D" w:themeColor="text2"/>
                        <w:sz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8"/>
        <w:szCs w:val="32"/>
        <w:lang w:eastAsia="en-AU"/>
      </w:rPr>
      <w:tab/>
    </w:r>
    <w:r>
      <w:rPr>
        <w:b/>
        <w:i/>
        <w:noProof/>
        <w:sz w:val="28"/>
        <w:szCs w:val="32"/>
        <w:lang w:eastAsia="en-AU"/>
      </w:rPr>
      <w:tab/>
    </w:r>
    <w:r w:rsidR="00204170">
      <w:rPr>
        <w:b/>
        <w:i/>
        <w:noProof/>
        <w:sz w:val="28"/>
        <w:szCs w:val="32"/>
        <w:lang w:eastAsia="en-AU"/>
      </w:rPr>
      <w:drawing>
        <wp:inline distT="0" distB="0" distL="0" distR="0" wp14:anchorId="7D72AE45" wp14:editId="339490CB">
          <wp:extent cx="1000125" cy="923925"/>
          <wp:effectExtent l="0" t="0" r="9525" b="9525"/>
          <wp:docPr id="3" name="Picture 3" descr="C:\Pictures\TasGovt 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ictures\TasGovt th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32"/>
        <w:lang w:eastAsia="en-AU"/>
      </w:rPr>
      <w:tab/>
    </w:r>
  </w:p>
  <w:p w:rsidR="0085537C" w:rsidRDefault="00855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CD9"/>
    <w:multiLevelType w:val="hybridMultilevel"/>
    <w:tmpl w:val="1184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0D31"/>
    <w:multiLevelType w:val="multilevel"/>
    <w:tmpl w:val="DC7AE2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3B2ACE"/>
    <w:multiLevelType w:val="hybridMultilevel"/>
    <w:tmpl w:val="97621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427"/>
    <w:multiLevelType w:val="hybridMultilevel"/>
    <w:tmpl w:val="0232B7DE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122D8"/>
    <w:multiLevelType w:val="hybridMultilevel"/>
    <w:tmpl w:val="D3A4B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43D"/>
    <w:multiLevelType w:val="multilevel"/>
    <w:tmpl w:val="AE00BC4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firstLine="851"/>
      </w:pPr>
      <w:rPr>
        <w:rFonts w:cs="Times New Roman"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6">
    <w:nsid w:val="47AE3503"/>
    <w:multiLevelType w:val="hybridMultilevel"/>
    <w:tmpl w:val="EC08A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DC1"/>
    <w:multiLevelType w:val="hybridMultilevel"/>
    <w:tmpl w:val="D160F01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CC1DB3"/>
    <w:multiLevelType w:val="hybridMultilevel"/>
    <w:tmpl w:val="81867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67D8F"/>
    <w:multiLevelType w:val="hybridMultilevel"/>
    <w:tmpl w:val="646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315AD"/>
    <w:multiLevelType w:val="hybridMultilevel"/>
    <w:tmpl w:val="83BC5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B25DD"/>
    <w:multiLevelType w:val="hybridMultilevel"/>
    <w:tmpl w:val="FA58C7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E8"/>
    <w:rsid w:val="000408B6"/>
    <w:rsid w:val="00043F19"/>
    <w:rsid w:val="00062ACC"/>
    <w:rsid w:val="000718BC"/>
    <w:rsid w:val="001232A4"/>
    <w:rsid w:val="00130024"/>
    <w:rsid w:val="001C3056"/>
    <w:rsid w:val="001C36CF"/>
    <w:rsid w:val="001D035F"/>
    <w:rsid w:val="001F633E"/>
    <w:rsid w:val="00203768"/>
    <w:rsid w:val="00204170"/>
    <w:rsid w:val="00224115"/>
    <w:rsid w:val="00232D56"/>
    <w:rsid w:val="002353CF"/>
    <w:rsid w:val="002626C4"/>
    <w:rsid w:val="002A1831"/>
    <w:rsid w:val="002B156E"/>
    <w:rsid w:val="00307566"/>
    <w:rsid w:val="003869F6"/>
    <w:rsid w:val="003A73AB"/>
    <w:rsid w:val="00404330"/>
    <w:rsid w:val="00424AF7"/>
    <w:rsid w:val="00442F75"/>
    <w:rsid w:val="004A5415"/>
    <w:rsid w:val="004E1359"/>
    <w:rsid w:val="0052453C"/>
    <w:rsid w:val="00653073"/>
    <w:rsid w:val="006560F1"/>
    <w:rsid w:val="006662B8"/>
    <w:rsid w:val="00670FDC"/>
    <w:rsid w:val="00685536"/>
    <w:rsid w:val="006A5107"/>
    <w:rsid w:val="007210E8"/>
    <w:rsid w:val="007475E1"/>
    <w:rsid w:val="007A308E"/>
    <w:rsid w:val="007D2C60"/>
    <w:rsid w:val="007E6D76"/>
    <w:rsid w:val="00816C52"/>
    <w:rsid w:val="0082002B"/>
    <w:rsid w:val="0082408F"/>
    <w:rsid w:val="00825053"/>
    <w:rsid w:val="00836300"/>
    <w:rsid w:val="0085537C"/>
    <w:rsid w:val="008A1179"/>
    <w:rsid w:val="00971D72"/>
    <w:rsid w:val="00977B4E"/>
    <w:rsid w:val="009D35C2"/>
    <w:rsid w:val="009D5540"/>
    <w:rsid w:val="009D6CC2"/>
    <w:rsid w:val="009F0F74"/>
    <w:rsid w:val="00A6410D"/>
    <w:rsid w:val="00B14F40"/>
    <w:rsid w:val="00B90AA9"/>
    <w:rsid w:val="00B9583D"/>
    <w:rsid w:val="00BD77B5"/>
    <w:rsid w:val="00BE7B9D"/>
    <w:rsid w:val="00D37A5F"/>
    <w:rsid w:val="00D41208"/>
    <w:rsid w:val="00D540E3"/>
    <w:rsid w:val="00D64B3E"/>
    <w:rsid w:val="00D663FC"/>
    <w:rsid w:val="00D672C9"/>
    <w:rsid w:val="00DB5344"/>
    <w:rsid w:val="00DD4EA9"/>
    <w:rsid w:val="00E15073"/>
    <w:rsid w:val="00E76514"/>
    <w:rsid w:val="00E82C27"/>
    <w:rsid w:val="00F32487"/>
    <w:rsid w:val="00F8766A"/>
    <w:rsid w:val="00F942A6"/>
    <w:rsid w:val="00F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537C"/>
    <w:pPr>
      <w:keepNext/>
      <w:spacing w:after="60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F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1">
    <w:name w:val="Numbering 1"/>
    <w:basedOn w:val="Normal"/>
    <w:rsid w:val="007210E8"/>
    <w:pPr>
      <w:spacing w:before="120" w:after="120"/>
    </w:pPr>
    <w:rPr>
      <w:sz w:val="22"/>
      <w:szCs w:val="24"/>
    </w:rPr>
  </w:style>
  <w:style w:type="paragraph" w:styleId="Header">
    <w:name w:val="header"/>
    <w:basedOn w:val="Normal"/>
    <w:link w:val="HeaderChar"/>
    <w:unhideWhenUsed/>
    <w:rsid w:val="007210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210E8"/>
  </w:style>
  <w:style w:type="paragraph" w:styleId="Footer">
    <w:name w:val="footer"/>
    <w:basedOn w:val="Normal"/>
    <w:link w:val="FooterChar"/>
    <w:uiPriority w:val="99"/>
    <w:unhideWhenUsed/>
    <w:rsid w:val="007210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0E8"/>
  </w:style>
  <w:style w:type="paragraph" w:styleId="BalloonText">
    <w:name w:val="Balloon Text"/>
    <w:basedOn w:val="Normal"/>
    <w:link w:val="BalloonTextChar"/>
    <w:uiPriority w:val="99"/>
    <w:semiHidden/>
    <w:unhideWhenUsed/>
    <w:rsid w:val="00836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00"/>
    <w:rPr>
      <w:rFonts w:ascii="Tahoma" w:hAnsi="Tahoma" w:cs="Tahoma"/>
      <w:sz w:val="16"/>
      <w:szCs w:val="16"/>
    </w:rPr>
  </w:style>
  <w:style w:type="paragraph" w:customStyle="1" w:styleId="GovWhiteHeading1">
    <w:name w:val="Gov White Heading 1"/>
    <w:basedOn w:val="Normal"/>
    <w:qFormat/>
    <w:rsid w:val="001D035F"/>
    <w:rPr>
      <w:rFonts w:ascii="Gill Sans" w:eastAsia="Cambria" w:hAnsi="Gill Sans"/>
      <w:color w:val="FFFFFF"/>
      <w:sz w:val="88"/>
      <w:szCs w:val="24"/>
      <w:lang w:val="en-US"/>
    </w:rPr>
  </w:style>
  <w:style w:type="paragraph" w:customStyle="1" w:styleId="Default">
    <w:name w:val="Default"/>
    <w:rsid w:val="006662B8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62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B958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5537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85537C"/>
    <w:rPr>
      <w:rFonts w:ascii="Helvetica" w:hAnsi="Helvetica"/>
      <w:color w:val="0000FF"/>
      <w:u w:val="single"/>
    </w:rPr>
  </w:style>
  <w:style w:type="paragraph" w:styleId="ListBullet2">
    <w:name w:val="List Bullet 2"/>
    <w:basedOn w:val="Normal"/>
    <w:rsid w:val="0085537C"/>
    <w:pPr>
      <w:keepLines/>
      <w:numPr>
        <w:ilvl w:val="1"/>
        <w:numId w:val="9"/>
      </w:numPr>
      <w:spacing w:before="240" w:after="100" w:afterAutospacing="1"/>
    </w:pPr>
    <w:rPr>
      <w:rFonts w:ascii="Arial" w:hAnsi="Arial"/>
      <w:sz w:val="22"/>
      <w:szCs w:val="22"/>
      <w:lang w:eastAsia="en-AU"/>
    </w:rPr>
  </w:style>
  <w:style w:type="paragraph" w:styleId="ListBullet">
    <w:name w:val="List Bullet"/>
    <w:basedOn w:val="Normal"/>
    <w:rsid w:val="0085537C"/>
    <w:pPr>
      <w:keepLines/>
      <w:numPr>
        <w:numId w:val="9"/>
      </w:numPr>
      <w:spacing w:before="240" w:after="100" w:afterAutospacing="1"/>
    </w:pPr>
    <w:rPr>
      <w:rFonts w:ascii="Arial" w:hAnsi="Arial"/>
      <w:sz w:val="22"/>
      <w:szCs w:val="22"/>
      <w:lang w:eastAsia="en-AU"/>
    </w:rPr>
  </w:style>
  <w:style w:type="paragraph" w:styleId="ListBullet3">
    <w:name w:val="List Bullet 3"/>
    <w:basedOn w:val="Normal"/>
    <w:rsid w:val="0085537C"/>
    <w:pPr>
      <w:keepLines/>
      <w:numPr>
        <w:ilvl w:val="2"/>
        <w:numId w:val="9"/>
      </w:numPr>
      <w:spacing w:before="240" w:after="100" w:afterAutospacing="1"/>
    </w:pPr>
    <w:rPr>
      <w:rFonts w:ascii="Arial" w:hAnsi="Arial"/>
      <w:sz w:val="22"/>
      <w:szCs w:val="22"/>
      <w:lang w:eastAsia="en-AU"/>
    </w:rPr>
  </w:style>
  <w:style w:type="paragraph" w:styleId="ListBullet4">
    <w:name w:val="List Bullet 4"/>
    <w:basedOn w:val="Normal"/>
    <w:uiPriority w:val="99"/>
    <w:rsid w:val="0085537C"/>
    <w:pPr>
      <w:keepLines/>
      <w:numPr>
        <w:ilvl w:val="3"/>
        <w:numId w:val="9"/>
      </w:numPr>
      <w:spacing w:before="240" w:after="100" w:afterAutospacing="1"/>
    </w:pPr>
    <w:rPr>
      <w:rFonts w:ascii="Arial" w:hAnsi="Arial"/>
      <w:sz w:val="22"/>
      <w:szCs w:val="22"/>
      <w:lang w:eastAsia="en-AU"/>
    </w:rPr>
  </w:style>
  <w:style w:type="character" w:customStyle="1" w:styleId="InstructionText">
    <w:name w:val="Instruction Text"/>
    <w:qFormat/>
    <w:rsid w:val="0085537C"/>
    <w:rPr>
      <w:rFonts w:cs="Times New Roman"/>
      <w:i/>
      <w:color w:val="0070C0"/>
    </w:rPr>
  </w:style>
  <w:style w:type="table" w:styleId="TableGrid">
    <w:name w:val="Table Grid"/>
    <w:basedOn w:val="TableNormal"/>
    <w:uiPriority w:val="59"/>
    <w:rsid w:val="004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autoRedefine/>
    <w:semiHidden/>
    <w:rsid w:val="001232A4"/>
    <w:pPr>
      <w:autoSpaceDE w:val="0"/>
      <w:autoSpaceDN w:val="0"/>
      <w:adjustRightInd w:val="0"/>
      <w:spacing w:before="120" w:after="120"/>
    </w:pPr>
    <w:rPr>
      <w:bCs/>
      <w:sz w:val="20"/>
      <w:lang w:val="en-US"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1232A4"/>
    <w:rPr>
      <w:rFonts w:ascii="Times New Roman" w:eastAsia="Times New Roman" w:hAnsi="Times New Roman" w:cs="Times New Roman"/>
      <w:bCs/>
      <w:sz w:val="20"/>
      <w:szCs w:val="20"/>
      <w:lang w:val="en-US" w:eastAsia="en-AU"/>
    </w:rPr>
  </w:style>
  <w:style w:type="paragraph" w:customStyle="1" w:styleId="Tableheader">
    <w:name w:val="Table header"/>
    <w:basedOn w:val="Heading3"/>
    <w:autoRedefine/>
    <w:rsid w:val="00043F19"/>
    <w:pPr>
      <w:keepLines w:val="0"/>
      <w:spacing w:before="40" w:after="40" w:line="240" w:lineRule="auto"/>
    </w:pPr>
    <w:rPr>
      <w:rFonts w:ascii="Times New Roman" w:eastAsia="Times New Roman" w:hAnsi="Times New Roman" w:cs="Times New Roman"/>
      <w:bCs w:val="0"/>
      <w:color w:val="auto"/>
      <w:sz w:val="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F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32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537C"/>
    <w:pPr>
      <w:keepNext/>
      <w:spacing w:after="60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F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1">
    <w:name w:val="Numbering 1"/>
    <w:basedOn w:val="Normal"/>
    <w:rsid w:val="007210E8"/>
    <w:pPr>
      <w:spacing w:before="120" w:after="120"/>
    </w:pPr>
    <w:rPr>
      <w:sz w:val="22"/>
      <w:szCs w:val="24"/>
    </w:rPr>
  </w:style>
  <w:style w:type="paragraph" w:styleId="Header">
    <w:name w:val="header"/>
    <w:basedOn w:val="Normal"/>
    <w:link w:val="HeaderChar"/>
    <w:unhideWhenUsed/>
    <w:rsid w:val="007210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210E8"/>
  </w:style>
  <w:style w:type="paragraph" w:styleId="Footer">
    <w:name w:val="footer"/>
    <w:basedOn w:val="Normal"/>
    <w:link w:val="FooterChar"/>
    <w:uiPriority w:val="99"/>
    <w:unhideWhenUsed/>
    <w:rsid w:val="007210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0E8"/>
  </w:style>
  <w:style w:type="paragraph" w:styleId="BalloonText">
    <w:name w:val="Balloon Text"/>
    <w:basedOn w:val="Normal"/>
    <w:link w:val="BalloonTextChar"/>
    <w:uiPriority w:val="99"/>
    <w:semiHidden/>
    <w:unhideWhenUsed/>
    <w:rsid w:val="00836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00"/>
    <w:rPr>
      <w:rFonts w:ascii="Tahoma" w:hAnsi="Tahoma" w:cs="Tahoma"/>
      <w:sz w:val="16"/>
      <w:szCs w:val="16"/>
    </w:rPr>
  </w:style>
  <w:style w:type="paragraph" w:customStyle="1" w:styleId="GovWhiteHeading1">
    <w:name w:val="Gov White Heading 1"/>
    <w:basedOn w:val="Normal"/>
    <w:qFormat/>
    <w:rsid w:val="001D035F"/>
    <w:rPr>
      <w:rFonts w:ascii="Gill Sans" w:eastAsia="Cambria" w:hAnsi="Gill Sans"/>
      <w:color w:val="FFFFFF"/>
      <w:sz w:val="88"/>
      <w:szCs w:val="24"/>
      <w:lang w:val="en-US"/>
    </w:rPr>
  </w:style>
  <w:style w:type="paragraph" w:customStyle="1" w:styleId="Default">
    <w:name w:val="Default"/>
    <w:rsid w:val="006662B8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62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B958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5537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semiHidden/>
    <w:rsid w:val="0085537C"/>
    <w:rPr>
      <w:rFonts w:ascii="Helvetica" w:hAnsi="Helvetica"/>
      <w:color w:val="0000FF"/>
      <w:u w:val="single"/>
    </w:rPr>
  </w:style>
  <w:style w:type="paragraph" w:styleId="ListBullet2">
    <w:name w:val="List Bullet 2"/>
    <w:basedOn w:val="Normal"/>
    <w:rsid w:val="0085537C"/>
    <w:pPr>
      <w:keepLines/>
      <w:numPr>
        <w:ilvl w:val="1"/>
        <w:numId w:val="9"/>
      </w:numPr>
      <w:spacing w:before="240" w:after="100" w:afterAutospacing="1"/>
    </w:pPr>
    <w:rPr>
      <w:rFonts w:ascii="Arial" w:hAnsi="Arial"/>
      <w:sz w:val="22"/>
      <w:szCs w:val="22"/>
      <w:lang w:eastAsia="en-AU"/>
    </w:rPr>
  </w:style>
  <w:style w:type="paragraph" w:styleId="ListBullet">
    <w:name w:val="List Bullet"/>
    <w:basedOn w:val="Normal"/>
    <w:rsid w:val="0085537C"/>
    <w:pPr>
      <w:keepLines/>
      <w:numPr>
        <w:numId w:val="9"/>
      </w:numPr>
      <w:spacing w:before="240" w:after="100" w:afterAutospacing="1"/>
    </w:pPr>
    <w:rPr>
      <w:rFonts w:ascii="Arial" w:hAnsi="Arial"/>
      <w:sz w:val="22"/>
      <w:szCs w:val="22"/>
      <w:lang w:eastAsia="en-AU"/>
    </w:rPr>
  </w:style>
  <w:style w:type="paragraph" w:styleId="ListBullet3">
    <w:name w:val="List Bullet 3"/>
    <w:basedOn w:val="Normal"/>
    <w:rsid w:val="0085537C"/>
    <w:pPr>
      <w:keepLines/>
      <w:numPr>
        <w:ilvl w:val="2"/>
        <w:numId w:val="9"/>
      </w:numPr>
      <w:spacing w:before="240" w:after="100" w:afterAutospacing="1"/>
    </w:pPr>
    <w:rPr>
      <w:rFonts w:ascii="Arial" w:hAnsi="Arial"/>
      <w:sz w:val="22"/>
      <w:szCs w:val="22"/>
      <w:lang w:eastAsia="en-AU"/>
    </w:rPr>
  </w:style>
  <w:style w:type="paragraph" w:styleId="ListBullet4">
    <w:name w:val="List Bullet 4"/>
    <w:basedOn w:val="Normal"/>
    <w:uiPriority w:val="99"/>
    <w:rsid w:val="0085537C"/>
    <w:pPr>
      <w:keepLines/>
      <w:numPr>
        <w:ilvl w:val="3"/>
        <w:numId w:val="9"/>
      </w:numPr>
      <w:spacing w:before="240" w:after="100" w:afterAutospacing="1"/>
    </w:pPr>
    <w:rPr>
      <w:rFonts w:ascii="Arial" w:hAnsi="Arial"/>
      <w:sz w:val="22"/>
      <w:szCs w:val="22"/>
      <w:lang w:eastAsia="en-AU"/>
    </w:rPr>
  </w:style>
  <w:style w:type="character" w:customStyle="1" w:styleId="InstructionText">
    <w:name w:val="Instruction Text"/>
    <w:qFormat/>
    <w:rsid w:val="0085537C"/>
    <w:rPr>
      <w:rFonts w:cs="Times New Roman"/>
      <w:i/>
      <w:color w:val="0070C0"/>
    </w:rPr>
  </w:style>
  <w:style w:type="table" w:styleId="TableGrid">
    <w:name w:val="Table Grid"/>
    <w:basedOn w:val="TableNormal"/>
    <w:uiPriority w:val="59"/>
    <w:rsid w:val="004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autoRedefine/>
    <w:semiHidden/>
    <w:rsid w:val="001232A4"/>
    <w:pPr>
      <w:autoSpaceDE w:val="0"/>
      <w:autoSpaceDN w:val="0"/>
      <w:adjustRightInd w:val="0"/>
      <w:spacing w:before="120" w:after="120"/>
    </w:pPr>
    <w:rPr>
      <w:bCs/>
      <w:sz w:val="20"/>
      <w:lang w:val="en-US"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1232A4"/>
    <w:rPr>
      <w:rFonts w:ascii="Times New Roman" w:eastAsia="Times New Roman" w:hAnsi="Times New Roman" w:cs="Times New Roman"/>
      <w:bCs/>
      <w:sz w:val="20"/>
      <w:szCs w:val="20"/>
      <w:lang w:val="en-US" w:eastAsia="en-AU"/>
    </w:rPr>
  </w:style>
  <w:style w:type="paragraph" w:customStyle="1" w:styleId="Tableheader">
    <w:name w:val="Table header"/>
    <w:basedOn w:val="Heading3"/>
    <w:autoRedefine/>
    <w:rsid w:val="00043F19"/>
    <w:pPr>
      <w:keepLines w:val="0"/>
      <w:spacing w:before="40" w:after="40" w:line="240" w:lineRule="auto"/>
    </w:pPr>
    <w:rPr>
      <w:rFonts w:ascii="Times New Roman" w:eastAsia="Times New Roman" w:hAnsi="Times New Roman" w:cs="Times New Roman"/>
      <w:bCs w:val="0"/>
      <w:color w:val="auto"/>
      <w:sz w:val="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F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32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c.tas.gov.au/divisions/ssmo/learning_and_development/leadership/project_no_1/senior_executive_leadership_capabilit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v.burgess@dpac.tas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viv.burgess</dc:creator>
  <cp:lastModifiedBy>viv.burgess</cp:lastModifiedBy>
  <cp:revision>51</cp:revision>
  <cp:lastPrinted>2013-09-02T06:12:00Z</cp:lastPrinted>
  <dcterms:created xsi:type="dcterms:W3CDTF">2014-03-26T22:19:00Z</dcterms:created>
  <dcterms:modified xsi:type="dcterms:W3CDTF">2014-04-10T04:57:00Z</dcterms:modified>
</cp:coreProperties>
</file>